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two-tier scoping review of 799 eligible studies with in-depth classification and validation audit</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become a load-bearing component of modern battery management systems (BMS), but the validation practices behind the literature’s accuracy claims are rarely examined. A structured scoping review with a two-tier evidence base is presented. The *eligible corpus* holds 799 peer-reviewed journal articles admitted from a capped 30-query Crossref retrieval by rule-based screens: 798 dated 2020–2026 plus one early-access record date-stamped 2027. The *classified subset* holds 103 studies — 98 drawn from that pool plus five seed studies retrieved and verified individually, one of them dated 2019 — coded by function, method family, chemistry, data source, and validation practice, with a blind 30-paper reliability check and label-noise scenario envelopes on the coded fields.</w:t>
      </w:r>
    </w:p>
    <w:p>
      <w:pPr>
        <w:spacing w:after="160"/>
        <w:jc w:val="both"/>
      </w:pPr>
      <w:r>
        <w:rPr>
          <w:rFonts w:ascii="Times New Roman" w:hAnsi="Times New Roman"/>
          <w:sz w:val="20"/>
        </w:rPr>
        <w:t>Union-share bibliometrics measured over the eligible corpus locate the screened literature’s center of gravity in health estimation (SOH, 20% of records), state estimation (SOC, 17%), and prognostics (13%) — tag shares inherited from the retrieval queries and read for ordering, not exact rates — with charging control, thermal management, cell balancing, and vehicle- or fleet-level work comparatively thin for a transportation-electrification readership. Within the classified subset, method families stratify by period — classical shallow learners, then deep sequence models, now physics-informed hybrids — a within-subset sequence that the eligible pool’s method-theme tags do not mirror (Section 3.2) — and the subset’s first large-language-model studies appear in 2025–2026.</w:t>
      </w:r>
    </w:p>
    <w:p>
      <w:pPr>
        <w:spacing w:after="160"/>
        <w:jc w:val="both"/>
      </w:pPr>
      <w:r>
        <w:rPr>
          <w:rFonts w:ascii="Times New Roman" w:hAnsi="Times New Roman"/>
          <w:sz w:val="20"/>
        </w:rPr>
        <w:t>Three structural weaknesses recur across the classified subset. Only 8 of the 88 primary-application papers demonstrate their estimators online or on real vehicle or fleet data; 17 rely on within-cell or k-fold splits that can leak trajectory information; and the empirical base is split between three shared public benchmarks (23 papers on Severson/Toyota, NASA, and CALCE) and private laboratory cells (36 papers) that cannot be audited at all. Physics-informed architectures, often assumed more rigorous by construction, show no detectable difference in validation stringency from data-driven peers — a contrast this review’s minimum-detectable-effect analysis shows to be underpowered, so meaningful differences in either direction cannot be excluded — and label-noise scenario envelopes spanning both directions of the observed coder disagreement keep the strong-protocol share between 25% and 59%. A post-hoc recall audit against the reference lists of the included reviews quantifies what the capped retrieval misses; an abstract-level probe tests how far the subset’s validation audit can be generalized; and a baseline-comparison screen asks whether ML studies benchmark against model-based methods at all. The review closes with a requirement-level mapping of BMS functions onto UN GTR 20, GB 38031, and ISO 26262, a positioning against prior reviews, and a twelve-item reporting checklist; the complete evidence base and analysis pipeline are deposited with a DOI.</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high-cycle-life protocols among 224 candidates in 16 days of closed-loop cycling rather than the more than 500 days an exhaustive search without early prediction would take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An early perspective on data-driven SOC and SOH prediction </w:t>
      </w:r>
      <w:r>
        <w:rPr>
          <w:rFonts w:ascii="Times New Roman" w:hAnsi="Times New Roman"/>
          <w:sz w:val="20"/>
        </w:rPr>
        <w:t>[16]</w:t>
      </w:r>
      <w:r>
        <w:rPr>
          <w:rFonts w:ascii="Times New Roman" w:hAnsi="Times New Roman"/>
          <w:b w:val="0"/>
          <w:i w:val="0"/>
          <w:sz w:val="20"/>
        </w:rPr>
        <w:t xml:space="preserve"> set the agenda; function-specific reviews cover SOC estimation </w:t>
      </w:r>
      <w:r>
        <w:rPr>
          <w:rFonts w:ascii="Times New Roman" w:hAnsi="Times New Roman"/>
          <w:sz w:val="20"/>
        </w:rPr>
        <w:t>[17, 18]</w:t>
      </w:r>
      <w:r>
        <w:rPr>
          <w:rFonts w:ascii="Times New Roman" w:hAnsi="Times New Roman"/>
          <w:b w:val="0"/>
          <w:i w:val="0"/>
          <w:sz w:val="20"/>
        </w:rPr>
        <w:t xml:space="preserve">, SOH estimation </w:t>
      </w:r>
      <w:r>
        <w:rPr>
          <w:rFonts w:ascii="Times New Roman" w:hAnsi="Times New Roman"/>
          <w:sz w:val="20"/>
        </w:rPr>
        <w:t>[19]</w:t>
      </w:r>
      <w:r>
        <w:rPr>
          <w:rFonts w:ascii="Times New Roman" w:hAnsi="Times New Roman"/>
          <w:b w:val="0"/>
          <w:i w:val="0"/>
          <w:sz w:val="20"/>
        </w:rPr>
        <w:t xml:space="preserve">, and prognostics </w:t>
      </w:r>
      <w:r>
        <w:rPr>
          <w:rFonts w:ascii="Times New Roman" w:hAnsi="Times New Roman"/>
          <w:sz w:val="20"/>
        </w:rPr>
        <w:t>[20]</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[1]</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w:t>
      </w:r>
    </w:p>
    <w:p>
      <w:pPr>
        <w:spacing w:after="160"/>
        <w:jc w:val="both"/>
      </w:pPr>
      <w:r>
        <w:rPr>
          <w:rFonts w:ascii="Times New Roman" w:hAnsi="Times New Roman"/>
          <w:b w:val="0"/>
          <w:i w:val="0"/>
          <w:sz w:val="20"/>
        </w:rPr>
        <w:t xml:space="preserve">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which examines 240 peer-reviewed publications (included from 361 initially retrieved records under its PRISMA screen) spanning the whole electric-vehicle powertrain — battery management alongside charging systems, motor control, and energy-consumption prediction — and aggregates reported performance metrics (RMSE, R²) into a quantitative benchmarking of algorithm families, concluding that hybrid deep-learning architectures (LSTM-DDQN, CNN-BiGRU, transformer-based frameworks) consistently achieve superior accuracy (R² &gt; 0.95, RMSE &lt; 0.05). This review differs from that work in scope, unit of analysis, and question asked. In scope, it is narrower and deeper: battery-management functions only — estimation, prognostics, charging, thermal, fault and safety, balancing — rather than the powertrain breadth, which permits function-level cuts such as the standards mapping of Section 9.4 and the per-function validation audit. In unit of analysis, it is protocol-centric rather than performance-centric: instead of pooling reported accuracy figures, it codes how each study’s validation protocol isolates (or fails to isolate) its generalization claim — cross-cell holdout versus within-cell splits, benchmark reuse versus private data, laboratory duty versus fleet duty. The two approaches are complementary, and the complementarity is pointed: an aggregation of self-reported RMSE and R² may inherit, unmeasured, precisely the validation weaknesses that this review quantifies within its own subset — there, 17 of 88 primary papers validate on information-leaking splits and headline accuracies concentrate on three shared benchmarks — so where Prasanna et al. answer </w:t>
      </w:r>
      <w:r>
        <w:rPr>
          <w:rFonts w:ascii="Times New Roman" w:hAnsi="Times New Roman"/>
          <w:b w:val="0"/>
          <w:i/>
          <w:sz w:val="20"/>
        </w:rPr>
        <w:t>which algorithm family performs best as reported</w:t>
      </w:r>
      <w:r>
        <w:rPr>
          <w:rFonts w:ascii="Times New Roman" w:hAnsi="Times New Roman"/>
          <w:b w:val="0"/>
          <w:i w:val="0"/>
          <w:sz w:val="20"/>
        </w:rPr>
        <w:t xml:space="preserve">, this review asks </w:t>
      </w:r>
      <w:r>
        <w:rPr>
          <w:rFonts w:ascii="Times New Roman" w:hAnsi="Times New Roman"/>
          <w:b w:val="0"/>
          <w:i/>
          <w:sz w:val="20"/>
        </w:rPr>
        <w:t>how much the reports can be trusted, and what a study must disclose for its claims to be checkable</w:t>
      </w:r>
      <w:r>
        <w:rPr>
          <w:rFonts w:ascii="Times New Roman" w:hAnsi="Times New Roman"/>
          <w:b w:val="0"/>
          <w:i w:val="0"/>
          <w:sz w:val="20"/>
        </w:rPr>
        <w:t>. A third difference is evidentiary: the two-tier design here measures bibliometric shares over a released 799-record eligible corpus with record-level screening provenance, and releases the per-paper protocol audit, codebook, and re-runnable pipeline — an artifact base on which a future performance-centric synthesis could itself be audited. What remains missing from the literature even after these reviews is exactly that junction: a corpus-level account linking method family, data regime, and validation strength across management functions, which this review supplies for the BMS slice.</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 xml:space="preserve">This paper makes five contributions. First, it assembles a two-tier evidence base: a rule-based eligible corpus of 799 Crossref-verified journal articles from which field-level shares are measured within a documented capped retrieval, and an in-depth classified subset of 103 studies in which every reference’s bibliographic metadata was confirmed against the Crossref registry by direct DOI resolution. Second, it develops a classification framework — BMS function × method family, extended with chemistry, data-source, and validation-practice fields — applies it uniformly to all 103 papers, and probes its reliability with a blind 30-paper re-coding under a released codebook. Third, it quantifies the corpus’s composition across functions, methods, data, and validation (Section 3), anchoring function-level baselines on the quota-free eligible pool and reporting validation-practice rates with confidence intervals, label-noise scenario envelopes, a minimum-detectable-effect analysis for the method-family contrast, an abstract-level representativeness probe, a baseline-comparison screen, and a recall audit that quantifies what the capped retrieval itself misses (Section 2.2). Fourth, it provides a critical, function-by-function review of what the corpus actually demonstrates (Sections 4–8), positioned explicitly against prior reviews (Section 9.7), and maps BMS functions onto UN GTR 20 </w:t>
      </w:r>
      <w:r>
        <w:rPr>
          <w:rFonts w:ascii="Times New Roman" w:hAnsi="Times New Roman"/>
          <w:sz w:val="20"/>
        </w:rPr>
        <w:t>[28]</w:t>
      </w:r>
      <w:r>
        <w:rPr>
          <w:rFonts w:ascii="Times New Roman" w:hAnsi="Times New Roman"/>
          <w:b w:val="0"/>
          <w:i w:val="0"/>
          <w:sz w:val="20"/>
        </w:rPr>
        <w:t xml:space="preserve">, GB 38031 </w:t>
      </w:r>
      <w:r>
        <w:rPr>
          <w:rFonts w:ascii="Times New Roman" w:hAnsi="Times New Roman"/>
          <w:sz w:val="20"/>
        </w:rPr>
        <w:t>[29]</w:t>
      </w:r>
      <w:r>
        <w:rPr>
          <w:rFonts w:ascii="Times New Roman" w:hAnsi="Times New Roman"/>
          <w:b w:val="0"/>
          <w:i w:val="0"/>
          <w:sz w:val="20"/>
        </w:rPr>
        <w:t xml:space="preserve">, and ISO 26262 </w:t>
      </w:r>
      <w:r>
        <w:rPr>
          <w:rFonts w:ascii="Times New Roman" w:hAnsi="Times New Roman"/>
          <w:sz w:val="20"/>
        </w:rPr>
        <w:t>[30]</w:t>
      </w:r>
      <w:r>
        <w:rPr>
          <w:rFonts w:ascii="Times New Roman" w:hAnsi="Times New Roman"/>
          <w:b w:val="0"/>
          <w:i w:val="0"/>
          <w:sz w:val="20"/>
        </w:rPr>
        <w:t xml:space="preserve"> requirements (Section 9.4). Fifth, it distills a gap-driven research agenda (Section 9) and a twelve-item reporting checklist (Section 9.9).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classified subset mapped across battery-management functions and method families (88 primary-application papers; see Section 2.5 for terminology). Cell values are paper counts. The 15 review-labelled papers (12 method-family reviews plus 3 review-type syntheses coded under their dominant method family, two of them physics-informed) are excluded here; the Reviews column of Table 3 states the reconciliation directly, so the physics-informed family comprises 22 primary papers plus 2 review-type syntheses (24 family-coded; Table 2 gives the primary counts).</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five passes: a top-cited pass over 2020–2026 sorted by citation count; a relevance-sorted recency pass restricted to mid-2024 onward; two dedicated relevance-sorted passes restricted to 2020–2022 and to 2023; and a mid-window 2021–2023 coverage pass,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spacing w:after="160"/>
        <w:jc w:val="both"/>
      </w:pPr>
      <w:r>
        <w:rPr>
          <w:rFonts w:ascii="Times New Roman" w:hAnsi="Times New Roman"/>
          <w:b w:val="0"/>
          <w:i w:val="0"/>
          <w:sz w:val="20"/>
        </w:rPr>
        <w:t>A third property of the search design is measured rather than asserted. Every query pass returned its top 20 records only, so the 30 queries are design-capped at 100 records per query family: the five passes yielded 3,000 fetched rows, 2,973 after document-type, year, and title-completeness filters, and 1,550 unique records after deduplication — roughly half of what any one query saw was also seen by another, and every yield is a design cap, not a saturated result (the per-query yields are released in recall_audit.json). A post-hoc recall audit therefore asks how much of the literature that this review’s own included reviews cite the retrieval actually captured. Across the deposited reference lists of the 15 included reviews and the six seed studies — 2,508 references in total — 1,367 are dated before 2020 and fall outside the retrieval window by design; of the remaining references that pass the same title gate as the screening pipeline and carry matchable DOIs (649 counted with multiplicity, 586 unique), the 1,550-record retrieval contains 112 (17.3% per-source; 96 of the 586 unique references, 16.4%). The audit’s limits are stated with it: its denominator is a citation-conditioned sample of what the reviews happened to cite, the in-scope gate runs on titles, and references without deposited DOIs cannot be matched. Read as a floor on external validity the number is sobering, and it is reported because retrieval-boundedness should be quantified, not assumed away: theme frequencies, per-family shares, and ‘earliest’ claims in this review are properties of this retrieval and the subset it fed, not of the field — which is why every such claim is subset-scoped (Box 1). The recall miss documented in Section 8.4 fits this pattern exactly: the TEC 2025 GPT-4 estimator it discloses is cited by none of the included reviews either, so no reference-list audit would have surfaced it.</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 xml:space="preserve">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Selection then proceeds in two tiers, and the distinction carries the paper’s evidentiary weight. </w:t>
      </w:r>
      <w:r>
        <w:rPr>
          <w:rFonts w:ascii="Times New Roman" w:hAnsi="Times New Roman"/>
          <w:b w:val="0"/>
          <w:i/>
          <w:sz w:val="20"/>
        </w:rPr>
        <w:t>Tier 1 (eligible corpus).</w:t>
      </w:r>
      <w:r>
        <w:rPr>
          <w:rFonts w:ascii="Times New Roman" w:hAnsi="Times New Roman"/>
          <w:b w:val="0"/>
          <w:i w:val="0"/>
          <w:sz w:val="20"/>
        </w:rPr>
        <w:t xml:space="preserve"> Every one of the 799 eligible records is included, subject only to the venue screen — no function quotas, year caps, or citation thresholds are applied at this tier — and all 1,550 record-level screening decisions are released (screening_log.csv). Function tagging at Tier 1 is inherited from retrieval: each eligible record carries the area of every query theme that returned it (the released query list of Section 2.2), so a record can hold several tags, and per-tag union shares are the pool-level baselines used in Section 3.3. The limits of that scheme are disclosed here rather than footnoted. 24 of the 799 eligible records carry no tag beyond the generic ‘Other’ (the equivalent-circuit-modeling queries map to no area); 202 carry no core-function tag at all (methodological or cross-cutting themes only); and against the subset’s full-text function labels the tags match for 53 of the 75 core-area papers found in the pool (71%, counting a hit when any of a record’s tags matches — a lenient criterion). Pool-level function baselines are therefore retrieval-based indicators rather than classifications, and are read for ordering, not for exact rates. </w:t>
      </w:r>
      <w:r>
        <w:rPr>
          <w:rFonts w:ascii="Times New Roman" w:hAnsi="Times New Roman"/>
          <w:b w:val="0"/>
          <w:i/>
          <w:sz w:val="20"/>
        </w:rPr>
        <w:t>Tier 2 (classified subset).</w:t>
      </w:r>
      <w:r>
        <w:rPr>
          <w:rFonts w:ascii="Times New Roman" w:hAnsi="Times New Roman"/>
          <w:b w:val="0"/>
          <w:i w:val="0"/>
          <w:sz w:val="20"/>
        </w:rPr>
        <w:t xml:space="preserve"> Because in-depth coding of chemistry, data source, and validation practice requires full-text assessment, it was applied to a 103-study subset of the eligible corpus, and the subset’s construction history is disclosed in full. A stratified draw first selected 107 candidates balancing the eight management functions and publication years — within each function stratum deterministic rather than random: records ranked by Crossref citation count and taken from the top of that ranking, with the ranking walked deeper specifically to cover recent publication years that citation sorting alone would have starved. Six landmark seed studies were safeguarded at this point (one already captured by the searches, five retrieved individually), giving 112 candidates. Full-text curation then excluded 19 records — corrigenda, misindexed records, scope mismatches (for example, vehicle-level lifecycle assessment or charging-infrastructure demand modeling without a BMS function), and quota-driven trimming of over-represented function clusters — while 10 targeted additions were made from the screened pool for under-represented themes, a net change of −9 that yields the final classified corpus of 103 studies — 98 drawn from the eligible pool plus the 5 individually retrieved seeds. Per-record reasons for every exclusion and addition are carried in the released screening log and selection files, so the funnel is auditable end to end. Readers should hold the implication of the design plainly in view: the subset is curated, not sampled — function and year distributions inside the 103 partly reflect the quota and citation-ranking choices made here, not only the field’s shape — so all such distributions are reported as corpus composition, the subset is never generalized to the field, and the quota-free Tier-1 measurements are stated wherever they exist (Section 3).</w:t>
      </w:r>
    </w:p>
    <w:tbl>
      <w:tblPr>
        <w:tblStyle w:val="TableGrid"/>
        <w:tblW w:type="auto" w:w="0"/>
        <w:jc w:val="center"/>
        <w:tblLook w:firstColumn="1" w:firstRow="1" w:lastColumn="0" w:lastRow="0" w:noHBand="0" w:noVBand="1" w:val="04A0"/>
      </w:tblPr>
      <w:tblGrid>
        <w:gridCol w:w="9360"/>
      </w:tblGrid>
      <w:tr>
        <w:tc>
          <w:tcPr>
            <w:tcW w:type="dxa" w:w="9360"/>
            <w:shd w:val="clear" w:fill="F2F2F2"/>
          </w:tcPr>
          <w:p>
            <w:pPr>
              <w:spacing w:after="80"/>
            </w:pPr>
            <w:r>
              <w:rPr>
                <w:rFonts w:ascii="Times New Roman" w:hAnsi="Times New Roman"/>
                <w:b/>
                <w:sz w:val="19"/>
              </w:rPr>
              <w:t>Box 1 Interpretation rules for every quantitative claim in this paper</w:t>
            </w:r>
          </w:p>
          <w:p>
            <w:pPr>
              <w:spacing w:after="60"/>
              <w:jc w:val="both"/>
            </w:pPr>
            <w:r>
              <w:rPr>
                <w:rFonts w:ascii="Times New Roman" w:hAnsi="Times New Roman"/>
                <w:b/>
                <w:sz w:val="18"/>
              </w:rPr>
              <w:t xml:space="preserve">1. Subset-scoped claims. </w:t>
            </w:r>
            <w:r>
              <w:rPr>
                <w:rFonts w:ascii="Times New Roman" w:hAnsi="Times New Roman"/>
                <w:sz w:val="18"/>
              </w:rPr>
              <w:t>Anything coded from full texts — function, method family, chemistry, data source, validation protocol, baseline screen — describes the 103-study classified subset only and is never generalized to the field. Headlines that read ‘the subset’s’ or ‘within the classified subset’ invoke this rule.</w:t>
            </w:r>
          </w:p>
          <w:p>
            <w:pPr>
              <w:spacing w:after="60"/>
              <w:jc w:val="both"/>
            </w:pPr>
            <w:r>
              <w:rPr>
                <w:rFonts w:ascii="Times New Roman" w:hAnsi="Times New Roman"/>
                <w:b/>
                <w:sz w:val="18"/>
              </w:rPr>
              <w:t xml:space="preserve">2. Pool-scoped claims. </w:t>
            </w:r>
            <w:r>
              <w:rPr>
                <w:rFonts w:ascii="Times New Roman" w:hAnsi="Times New Roman"/>
                <w:sz w:val="18"/>
              </w:rPr>
              <w:t>Tier-1 counts (799 records) measure a capped 30-query Crossref retrieval, not a census. Per-year counts are observed counts inside that cap; query-theme tag shares are read for ordering, not exact rates; the 2024 window is partially covered; and the recall audit of Section 2.2 (16–17% capture of the reviews’ own cited literature) bounds external validity.</w:t>
            </w:r>
          </w:p>
          <w:p>
            <w:pPr>
              <w:spacing w:after="60"/>
              <w:jc w:val="both"/>
            </w:pPr>
            <w:r>
              <w:rPr>
                <w:rFonts w:ascii="Times New Roman" w:hAnsi="Times New Roman"/>
                <w:b/>
                <w:sz w:val="18"/>
              </w:rPr>
              <w:t xml:space="preserve">3. Earliest means earliest in the classified subset. </w:t>
            </w:r>
            <w:r>
              <w:rPr>
                <w:rFonts w:ascii="Times New Roman" w:hAnsi="Times New Roman"/>
                <w:sz w:val="18"/>
              </w:rPr>
              <w:t>Recall is bounded, so ‘first’ and ‘earliest’ claims are subset-first by construction and are phrased accordingly.</w:t>
            </w:r>
          </w:p>
          <w:p>
            <w:pPr>
              <w:spacing w:after="60"/>
              <w:jc w:val="both"/>
            </w:pPr>
            <w:r>
              <w:rPr>
                <w:rFonts w:ascii="Times New Roman" w:hAnsi="Times New Roman"/>
                <w:b/>
                <w:sz w:val="18"/>
              </w:rPr>
              <w:t xml:space="preserve">4. Non-significance is not equivalence. </w:t>
            </w:r>
            <w:r>
              <w:rPr>
                <w:rFonts w:ascii="Times New Roman" w:hAnsi="Times New Roman"/>
                <w:sz w:val="18"/>
              </w:rPr>
              <w:t>The physics-informed versus data-driven contrast is underpowered (minimum detectable effect roughly 30–35 percentage points, Section 3.4); ‘no detectable difference’ is reported as exactly that.</w:t>
            </w:r>
          </w:p>
          <w:p>
            <w:pPr>
              <w:spacing w:after="60"/>
              <w:jc w:val="both"/>
            </w:pPr>
            <w:r>
              <w:rPr>
                <w:rFonts w:ascii="Times New Roman" w:hAnsi="Times New Roman"/>
                <w:b/>
                <w:sz w:val="18"/>
              </w:rPr>
              <w:t xml:space="preserve">5. Curation conditions the subset. </w:t>
            </w:r>
            <w:r>
              <w:rPr>
                <w:rFonts w:ascii="Times New Roman" w:hAnsi="Times New Roman"/>
                <w:sz w:val="18"/>
              </w:rPr>
              <w:t>Tier-2 selection is quota- and citation-ranking-driven (Section 2.3), so distributions inside the 103 partly reflect those choices and are reported as corpus composition.</w:t>
            </w:r>
          </w:p>
        </w:tc>
      </w:tr>
    </w:tbl>
    <w:p>
      <w:pPr>
        <w:spacing w:after="160"/>
      </w:pPr>
    </w:p>
    <w:tbl>
      <w:tblPr>
        <w:tblStyle w:val="TableGrid"/>
        <w:tblW w:type="auto" w:w="0"/>
        <w:jc w:val="center"/>
        <w:tblLook w:firstColumn="1" w:firstRow="1" w:lastColumn="0" w:lastRow="0" w:noHBand="0" w:noVBand="1" w:val="04A0"/>
      </w:tblPr>
      <w:tblGrid>
        <w:gridCol w:w="9360"/>
      </w:tblGrid>
      <w:tr>
        <w:tc>
          <w:tcPr>
            <w:tcW w:type="dxa" w:w="9360"/>
            <w:shd w:val="clear" w:fill="F2F2F2"/>
          </w:tcPr>
          <w:p>
            <w:pPr>
              <w:spacing w:after="80"/>
            </w:pPr>
            <w:r>
              <w:rPr>
                <w:rFonts w:ascii="Times New Roman" w:hAnsi="Times New Roman"/>
                <w:b/>
                <w:sz w:val="19"/>
              </w:rPr>
              <w:t>Box 2 Terminology and count reconciliation (stated once; used throughout)</w:t>
            </w:r>
          </w:p>
          <w:p>
            <w:pPr>
              <w:spacing w:after="60"/>
              <w:jc w:val="both"/>
            </w:pPr>
            <w:r>
              <w:rPr>
                <w:rFonts w:ascii="Times New Roman" w:hAnsi="Times New Roman"/>
                <w:b/>
                <w:sz w:val="18"/>
              </w:rPr>
              <w:t xml:space="preserve">Eligible corpus (Tier 1). </w:t>
            </w:r>
            <w:r>
              <w:rPr>
                <w:rFonts w:ascii="Times New Roman" w:hAnsi="Times New Roman"/>
                <w:sz w:val="18"/>
              </w:rPr>
              <w:t>The 799 records admitted from the 1,550-record retrieval by the title gate and venue screen; tagged by retrieval theme only, never full-text coded.</w:t>
            </w:r>
          </w:p>
          <w:p>
            <w:pPr>
              <w:spacing w:after="60"/>
              <w:jc w:val="both"/>
            </w:pPr>
            <w:r>
              <w:rPr>
                <w:rFonts w:ascii="Times New Roman" w:hAnsi="Times New Roman"/>
                <w:b/>
                <w:sz w:val="18"/>
              </w:rPr>
              <w:t xml:space="preserve">Classified subset (Tier 2). </w:t>
            </w:r>
            <w:r>
              <w:rPr>
                <w:rFonts w:ascii="Times New Roman" w:hAnsi="Times New Roman"/>
                <w:sz w:val="18"/>
              </w:rPr>
              <w:t>The 103 studies coded from full texts: 98 drawn from the eligible pool plus five individually verified seed studies (one dated 2019; the 2019 seed is therefore part of the 103, not of the 799).</w:t>
            </w:r>
          </w:p>
          <w:p>
            <w:pPr>
              <w:spacing w:after="60"/>
              <w:jc w:val="both"/>
            </w:pPr>
            <w:r>
              <w:rPr>
                <w:rFonts w:ascii="Times New Roman" w:hAnsi="Times New Roman"/>
                <w:b/>
                <w:sz w:val="18"/>
              </w:rPr>
              <w:t xml:space="preserve">Primary and review-labelled papers. </w:t>
            </w:r>
            <w:r>
              <w:rPr>
                <w:rFonts w:ascii="Times New Roman" w:hAnsi="Times New Roman"/>
                <w:sz w:val="18"/>
              </w:rPr>
              <w:t>Primary papers: the 88 subset studies whose contribution is a primary application. Review-labelled: the other 15 — 12 method-family reviews plus 3 review-type syntheses coded under their dominant method family.</w:t>
            </w:r>
          </w:p>
          <w:p>
            <w:pPr>
              <w:spacing w:after="60"/>
              <w:jc w:val="both"/>
            </w:pPr>
            <w:r>
              <w:rPr>
                <w:rFonts w:ascii="Times New Roman" w:hAnsi="Times New Roman"/>
                <w:b/>
                <w:sz w:val="18"/>
              </w:rPr>
              <w:t xml:space="preserve">Family-coded papers. </w:t>
            </w:r>
            <w:r>
              <w:rPr>
                <w:rFonts w:ascii="Times New Roman" w:hAnsi="Times New Roman"/>
                <w:sz w:val="18"/>
              </w:rPr>
              <w:t>Studies carrying a method-family code, including the review-type syntheses — e.g. ‘24 physics-informed family-coded papers’ = 22 primary + 2 syntheses.</w:t>
            </w:r>
          </w:p>
          <w:p>
            <w:pPr>
              <w:spacing w:after="60"/>
              <w:jc w:val="both"/>
            </w:pPr>
            <w:r>
              <w:rPr>
                <w:rFonts w:ascii="Times New Roman" w:hAnsi="Times New Roman"/>
                <w:b/>
                <w:sz w:val="18"/>
              </w:rPr>
              <w:t xml:space="preserve">Funnel. </w:t>
            </w:r>
            <w:r>
              <w:rPr>
                <w:rFonts w:ascii="Times New Roman" w:hAnsi="Times New Roman"/>
                <w:sz w:val="18"/>
              </w:rPr>
              <w:t>3,000 fetched → 2,973 after document-type/year/title filters → 1,550 unique after deduplication → 883 after the title gate → 799 after the venue screen → 98 selected for Tier 2 (+ 5 seeds) = 103 = 88 primary + 15 review-labelled. The 14-paper conference set is separate and descriptive (Section 3.5).</w:t>
            </w:r>
          </w:p>
          <w:p>
            <w:pPr>
              <w:spacing w:after="60"/>
              <w:jc w:val="both"/>
            </w:pPr>
            <w:r>
              <w:rPr>
                <w:rFonts w:ascii="Times New Roman" w:hAnsi="Times New Roman"/>
                <w:b/>
                <w:sz w:val="18"/>
              </w:rPr>
              <w:t xml:space="preserve">Glossary. </w:t>
            </w:r>
            <w:r>
              <w:rPr>
                <w:rFonts w:ascii="Times New Roman" w:hAnsi="Times New Roman"/>
                <w:sz w:val="18"/>
              </w:rPr>
              <w:t>Union share: the share of records carrying a tag, counting overlaps (a record with two tags counts in both), so shares can sum past 100%. Protocol-only vs broader stringency: the two definitions of Section 2.5 (strong = an isolating protocol; the broader definition additionally counts experimental-hardware demonstrations). Environment-only: validation that evidences an operating environment — hardware, simulation, or case study — without a data-isolation protocol. Absorbing rule: each paper is credited with the strongest protocol its full text reports for its headline claim (codebook); on full-text re-check, an unsupported stronger claim absorbs into the weaker class that is evidenced.</w:t>
            </w:r>
          </w:p>
        </w:tc>
      </w:tr>
    </w:tbl>
    <w:p>
      <w:pPr>
        <w:spacing w:after="160"/>
      </w:pPr>
    </w:p>
    <w:p>
      <w:pPr>
        <w:keepNext/>
        <w:spacing w:after="80"/>
        <w:jc w:val="center"/>
      </w:pPr>
      <w:r>
        <w:drawing>
          <wp:inline xmlns:a="http://schemas.openxmlformats.org/drawingml/2006/main" xmlns:pic="http://schemas.openxmlformats.org/drawingml/2006/picture">
            <wp:extent cx="4480560" cy="3640455"/>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640455"/>
                    </a:xfrm>
                    <a:prstGeom prst="rect"/>
                  </pic:spPr>
                </pic:pic>
              </a:graphicData>
            </a:graphic>
          </wp:inline>
        </w:drawing>
      </w:r>
    </w:p>
    <w:p>
      <w:pPr>
        <w:keepLines/>
        <w:spacing w:after="200"/>
        <w:jc w:val="both"/>
      </w:pPr>
      <w:r>
        <w:rPr>
          <w:rFonts w:ascii="Times New Roman" w:hAnsi="Times New Roman"/>
          <w:b w:val="0"/>
          <w:i w:val="0"/>
          <w:sz w:val="18"/>
        </w:rPr>
        <w:t>Fig. 2 Study-selection flowchart with the two-tier design. Records were retrieved from the Crossref REST API on 4–5 September 2026, deduplicated, screened at title level for battery and machine-learning relevance, then at venue and document-type level. Tier 1 includes every eligible record (799, rule-based, no quotas); Tier 2 carries the curated full-text-classified subset of 103 (98 drawn from the pool plus 5 individually retrieved seeds). Record-level provenance for all 1,550 screening decisions is released (screening_log.csv), and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three further review-type syntheses — two physics-informed, one classical — are coded under their dominant method family, so the corpus carries 15 review-labelled papers in total, per the terminology of Section 2.5),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Crossref date-stamps 2020–2027 at retrieval (798 records dated 2020–2026, one early-access record stamped 2027)</w:t>
            </w:r>
          </w:p>
        </w:tc>
        <w:tc>
          <w:tcPr>
            <w:tcW w:type="dxa" w:w="3960"/>
          </w:tcPr>
          <w:p>
            <w:r/>
            <w:r>
              <w:rPr>
                <w:rFonts w:ascii="Times New Roman" w:hAnsi="Times New Roman"/>
                <w:b w:val="0"/>
                <w:i w:val="0"/>
                <w:sz w:val="17"/>
              </w:rPr>
              <w:t>Pre-2020 publications, except the individually verified 2019 seed study admitted to the classified subset</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A seventh, lighter field was added when this review’s own checklist (item 6, Section 9.9) turned on its authors: a </w:t>
      </w:r>
      <w:r>
        <w:rPr>
          <w:rFonts w:ascii="Times New Roman" w:hAnsi="Times New Roman"/>
          <w:b w:val="0"/>
          <w:i/>
          <w:sz w:val="20"/>
        </w:rPr>
        <w:t>baseline-comparison screen</w:t>
      </w:r>
      <w:r>
        <w:rPr>
          <w:rFonts w:ascii="Times New Roman" w:hAnsi="Times New Roman"/>
          <w:b w:val="0"/>
          <w:i w:val="0"/>
          <w:sz w:val="20"/>
        </w:rPr>
        <w:t xml:space="preserve"> recording whether a study’s indexed abstract names a model-based or classical reference method — a Kalman-family filter (EKF/UKF), an observer, an equivalent-circuit or physics-based model, coulomb counting, or a classical regressor such as Gaussian-process regression — as a comparator, with values </w:t>
      </w:r>
      <w:r>
        <w:rPr>
          <w:rFonts w:ascii="Times New Roman" w:hAnsi="Times New Roman"/>
          <w:b w:val="0"/>
          <w:i/>
          <w:sz w:val="20"/>
        </w:rPr>
        <w:t>none</w:t>
      </w:r>
      <w:r>
        <w:rPr>
          <w:rFonts w:ascii="Times New Roman" w:hAnsi="Times New Roman"/>
          <w:b w:val="0"/>
          <w:i w:val="0"/>
          <w:sz w:val="20"/>
        </w:rPr>
        <w:t xml:space="preserve">, </w:t>
      </w:r>
      <w:r>
        <w:rPr>
          <w:rFonts w:ascii="Times New Roman" w:hAnsi="Times New Roman"/>
          <w:b w:val="0"/>
          <w:i/>
          <w:sz w:val="20"/>
        </w:rPr>
        <w:t>mentioned</w:t>
      </w:r>
      <w:r>
        <w:rPr>
          <w:rFonts w:ascii="Times New Roman" w:hAnsi="Times New Roman"/>
          <w:b w:val="0"/>
          <w:i w:val="0"/>
          <w:sz w:val="20"/>
        </w:rPr>
        <w:t xml:space="preserve">, and </w:t>
      </w:r>
      <w:r>
        <w:rPr>
          <w:rFonts w:ascii="Times New Roman" w:hAnsi="Times New Roman"/>
          <w:b w:val="0"/>
          <w:i/>
          <w:sz w:val="20"/>
        </w:rPr>
        <w:t>stated same-data comparison</w:t>
      </w:r>
      <w:r>
        <w:rPr>
          <w:rFonts w:ascii="Times New Roman" w:hAnsi="Times New Roman"/>
          <w:b w:val="0"/>
          <w:i w:val="0"/>
          <w:sz w:val="20"/>
        </w:rPr>
        <w:t xml:space="preserve">. It is coded from abstracts, not full texts; the released rubric (codebook.md) also defines the full-text version of the field for future work, and its results are reported with the validation audit in Section 3.4. The validation categories of field (5) are aggregated into three stringency tiers used throughout the paper. Under the </w:t>
      </w:r>
      <w:r>
        <w:rPr>
          <w:rFonts w:ascii="Times New Roman" w:hAnsi="Times New Roman"/>
          <w:b w:val="0"/>
          <w:i/>
          <w:sz w:val="20"/>
        </w:rPr>
        <w:t>protocol-only definition</w:t>
      </w:r>
      <w:r>
        <w:rPr>
          <w:rFonts w:ascii="Times New Roman" w:hAnsi="Times New Roman"/>
          <w:b w:val="0"/>
          <w:i w:val="0"/>
          <w:sz w:val="20"/>
        </w:rPr>
        <w:t xml:space="preserve">, a </w:t>
      </w:r>
      <w:r>
        <w:rPr>
          <w:rFonts w:ascii="Times New Roman" w:hAnsi="Times New Roman"/>
          <w:b w:val="0"/>
          <w:i/>
          <w:sz w:val="20"/>
        </w:rPr>
        <w:t>strong</w:t>
      </w:r>
      <w:r>
        <w:rPr>
          <w:rFonts w:ascii="Times New Roman" w:hAnsi="Times New Roman"/>
          <w:b w:val="0"/>
          <w:i w:val="0"/>
          <w:sz w:val="20"/>
        </w:rPr>
        <w:t xml:space="preserve"> protocol is one whose design isolates the generalization claim: cross-cell holdout, cross-chemistry holdout, cross-domain holdout, and online or real-vehicle demonstration. </w:t>
      </w:r>
      <w:r>
        <w:rPr>
          <w:rFonts w:ascii="Times New Roman" w:hAnsi="Times New Roman"/>
          <w:b w:val="0"/>
          <w:i/>
          <w:sz w:val="20"/>
        </w:rPr>
        <w:t>Weak</w:t>
      </w:r>
      <w:r>
        <w:rPr>
          <w:rFonts w:ascii="Times New Roman" w:hAnsi="Times New Roman"/>
          <w:b w:val="0"/>
          <w:i w:val="0"/>
          <w:sz w:val="20"/>
        </w:rPr>
        <w:t xml:space="preserve"> splits leak information between train and test: within-cell splits and k-fold cross-validation without cell-level isolation. The remaining classes are </w:t>
      </w:r>
      <w:r>
        <w:rPr>
          <w:rFonts w:ascii="Times New Roman" w:hAnsi="Times New Roman"/>
          <w:b w:val="0"/>
          <w:i/>
          <w:sz w:val="20"/>
        </w:rPr>
        <w:t>environment-only</w:t>
      </w:r>
      <w:r>
        <w:rPr>
          <w:rFonts w:ascii="Times New Roman" w:hAnsi="Times New Roman"/>
          <w:b w:val="0"/>
          <w:i w:val="0"/>
          <w:sz w:val="20"/>
        </w:rPr>
        <w:t xml:space="preserve">: experimental-hardware, simulation, and single-system case-study demonstrations, which evidence an operating environment but not a data-isolation protocol; the </w:t>
      </w:r>
      <w:r>
        <w:rPr>
          <w:rFonts w:ascii="Times New Roman" w:hAnsi="Times New Roman"/>
          <w:b w:val="0"/>
          <w:i/>
          <w:sz w:val="20"/>
        </w:rPr>
        <w:t>broader definition</w:t>
      </w:r>
      <w:r>
        <w:rPr>
          <w:rFonts w:ascii="Times New Roman" w:hAnsi="Times New Roman"/>
          <w:b w:val="0"/>
          <w:i w:val="0"/>
          <w:sz w:val="20"/>
        </w:rPr>
        <w:t xml:space="preserve"> of stringency additionally counts experimental-hardware demonstrations as strong. Every strong-protocol count in Sections 3 and 9 states which definition it uses, and review-labelled studies carry no primary validation. Classification was performed by the lead author with conservative coding from full texts: where a paper’s specifics could not be established confidently, broader categories were assigned. The corpus/subset terminology — corpus paper, primary study, review-labelled, family-coded — and the full count reconciliation (1,550 retrieved → 799 eligible → 103 classified = 88 primary + 15 review-labelled) are stated once, in Box 2, and used consistently hereafter. Papers are assigned a single dominant value per field even where several apply. To probe the reliability of that coding, two co-author coders (S.S.I.A. and J.I.C., the second and third authors) later blind-re-coded a 30-paper stratified random sample (drawn by function and year band, seed-pinned) under the released codebook. The blinding was procedural rather than external: the coders are authors of this study; they coded without access to the released labels or to each other’s sheets, from sheets locked and hash-tracked at completion, with a filed blinding memo documenting what each coder had opened before coding; but they are not independent of the paper, and their later author-contribution roles included verification of classifications and counts. Their access was uneven: coder B worked from 6 full texts plus 1 preprint (23 of 30 papers from abstracts only) and coder C from 2 full texts (28 from abstracts only), so the study measures abstract-level reproducibility of the coding, not full-text agreement. With those scopes stated, agreement passes the κ ≥ 0.66 threshold on management function (κ = 0.92, bootstrap 95% CI 0.80–1.00), method family (0.88, CI 0.73–1.00), and primary data source (0.88, CI 0.72–1.00), and falls below it on chemistry (0.55, CI 0.16–0.83) and validation protocol (0.48, CI 0.31–0.65) — the two fields least often stated at abstract level. On the count-bearing strong-versus-non-strong bucket the two coders agree on 25 of 30 papers (raw agreement 83%, κ = 0.52, CI 0.09–0.84). Against the released labels their bucket kappas are 0.22 and 0.42, with the conservative weak-code fallback for unreported protocols — declared in advance by both coders — driving most of that gap. No full-text dual coding was performed, so the strong/weak counts of Section 3 rest on a single full-text coding by the lead author, with two quantitative buffers: the label-noise sensitivity analysis that propagates the observed coder-versus-label disagreement into the headline counts (Section 3.4), and the complete release of per-paper labels, coder sheets, and the itemized disagreements, so that any reader can re-run, check, correct, or extend the coding — and so that a formal full-text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review-rigor posture of this study should be weighed against PRISMA-ScR practice as plainly as its coding limitations are, and three deviations are disclosed here rather than footnoted. First, no protocol registration exists: PROSPERO does not accept scoping-review registrations and no alternative registry was used, so the a-priori scope decisions are reconstructable only from the released pipeline files and their version history, not from a time-stamped external registration. Second, screening was single-reviewer in design — with the qualification that its first two stages are deterministic rules rather than judgment calls: the title relevance gate and the venue screen are programmatic applications of released term lists, and all 1,555 per-record decisions with their reasons are in the released screening log, so they are exactly reproducible but were not double-screened by a second human; the judgment-bearing stages (the full-text curation of 19 exclusions and 10 additions, and all classification) were likewise single-reviewer, and the only dual-coded element is the 30-paper reliability study, whose coders are co-authors of this paper (Section 2.5). Third, no per-record time-on-task logs were kept for any stage: retrieval ran on 4–5 September 2026, the rule-based screens execute in seconds and were verified spot-wise rather than re-screened record by record, and the human-judgment stages were not time-stamped, so effort cannot be audited after the fact. Tool assistance is bounded exactly as the AI declaration states — scripting, drafting, and figure generation only; no tool-assisted triage or ranking participated in screening, and the one ranking used (citation-count ordering within strata at Tier-2 selection) is a deterministic, released computation (Section 2.3). Against the PRISMA-ScR checklist the study therefore documents eligibility, charting, and synthesis transparently but falls short of dual independent screening and external registration, and readers should weigh the released, re-runnable decision trail accordingly.</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Classification reliability is documented on a 30-paper blind re-coding subset rather than measured corpus-wide (three of five fields above threshold, two below, with sensitivity ranges reported; the re-coding was abstract-level and co-author-coded, per Section 2.5). The classified corpus is additionally quota-curated rather than sampled, and the pool has its own retrieval-design shaping (Box 1, rules 1, 2, and 5); distributional statements in Section 3 are framed as corpus composition, with quota-free pool-level baselines stated where they exist.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 xml:space="preserve">Two layers of trend evidence are reported, and they are kept separate throughout. On the </w:t>
      </w:r>
      <w:r>
        <w:rPr>
          <w:rFonts w:ascii="Times New Roman" w:hAnsi="Times New Roman"/>
          <w:b w:val="0"/>
          <w:i/>
          <w:sz w:val="20"/>
        </w:rPr>
        <w:t>measured</w:t>
      </w:r>
      <w:r>
        <w:rPr>
          <w:rFonts w:ascii="Times New Roman" w:hAnsi="Times New Roman"/>
          <w:b w:val="0"/>
          <w:i w:val="0"/>
          <w:sz w:val="20"/>
        </w:rPr>
        <w:t xml:space="preserve"> tier (eligible corpus, 799 records), the capped retrieval captures 55, 85, 139, and 223 journal articles for 2020–2023, then 56 for 2024 — an observed count inside the capped retrieval, not an estimate of missing volume: the 2024 window is only partially covered, because the mid-window coverage pass ends in 2023 and the recency pass begins mid-2024 (Section 2.2) — then 126 in 2025 and — partial year, retrieval date September 2026 — 114 in 2026, plus one further early-access record date-stamped 2027 by Crossref metadata and omitted from the year chart (Fig. 4, left panel). These are counts within a capped retrieval, not census totals, and they do not support absolute-growth claims: a per-year external denominator was tested and discarded, because Crossref’s reported result totals for the same queries rely on loose token-level bibliographic matches whose totals run into the hundreds of thousands and vary strongly with query phrasing, so they are not interpretable as field denominators (the test script and its output are released). What remains defensible is direction within the sample: the eligible-corpus counts rise through 2020–2023, dip at the retrieval hole, and remain high in 2025–2026.</w:t>
      </w:r>
    </w:p>
    <w:p>
      <w:pPr>
        <w:spacing w:after="160"/>
        <w:jc w:val="both"/>
      </w:pPr>
      <w:r>
        <w:rPr>
          <w:rFonts w:ascii="Times New Roman" w:hAnsi="Times New Roman"/>
          <w:b w:val="0"/>
          <w:i w:val="0"/>
          <w:sz w:val="20"/>
        </w:rPr>
        <w:t>The corpus spans 2019–2026 with the following composition: 9 papers in 2020, 13 in 2021, 13 in 2022, 22 in 2023, 20 in 2024, 18 in 2025, and 7 in the partial year 2026 (retrieval date September 2026), plus the 2019 seed (Fig. 3). This profile should be read as the output of the sampling design, not as a measurement of field output. Three design choices shape it. First, the stratified draw of Section 2.3 balanced publication years by construction, so year-to-year differences inside the subset are muted by design rather than observed. Second, the citation-ranked within-stratum rule preferentially captures highly cited work. Third, the eligible pool itself has a retrieval-shaped year mix — the five query passes of Section 2.2 covered year windows unequally (a dedicated 2023 pass, a recency pass from mid-2024, older passes ending 2022), so the pool’s own year profile (measured above) reflects query coverage as much as publication. Neither level supports a claim that field output rose, fell, or accelerated; what the composition does show, within those limits, is a broadening from single-function estimators toward cross-cutting system-level contributions in the recent quotas.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749435"/>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749435"/>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 Years were balanced by the sampling design of Section 2.3, so the profile is corpus composition, not a field-output trend (Section 3.1).</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across the corpus (Fig. 4, Table 2) — a within-corpus observation under the quota design of Section 2.3, not a field-level growth measurement. Classical ML — Gaussian process regression, support vector machines, ensemble regressors, and shallow networks on engineered features — dominates the early corpus: 12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and grows steadily: counted year by year, the family contributes 1, 2, 3, 3, 4, 4, and 5 primary papers in 2020–2026 — the only family with a monotonically non-decreasing primary trajectory within the subset, with 2026 a partial year at the September 2026 retrieval — so that 13 of its 22 primary papers fall in 2024–2026 and it is the largest single family among the 7 papers published in 2026 (24 family-coded papers including two review-type syntheses; Table 2 gives the primary totals; Fig. 4 the yearly counts). Optimization-augmented learning (Bayesian optimization for protocol design, surrogate-assisted multi-objective schemes, and meta-heuristic-tuned networks) peaks in 2024 (5 of its 11 papers). Transfer and domain-adaptation approaches appear consistently from 2022 and accelerate in 2024–2025 (3 of its 5 papers), reinforcement learning remains scarce but visible (1 primary paper, with RL embedded in further studies), and the subset’s first foundation-model and LLM-based studies appear in 2025–2026 (2 papers) </w:t>
      </w:r>
      <w:r>
        <w:rPr>
          <w:rFonts w:ascii="Times New Roman" w:hAnsi="Times New Roman"/>
          <w:sz w:val="20"/>
        </w:rPr>
        <w:t>[14, 15]</w:t>
      </w:r>
      <w:r>
        <w:rPr>
          <w:rFonts w:ascii="Times New Roman" w:hAnsi="Times New Roman"/>
          <w:b w:val="0"/>
          <w:i w:val="0"/>
          <w:sz w:val="20"/>
        </w:rPr>
        <w:t xml:space="preserve"> — earliest in the classified subset, not in the field: earlier journal-published LLM estimators exist and were missed by this retrieval (Section 8.4).</w:t>
      </w:r>
    </w:p>
    <w:p>
      <w:pPr>
        <w:keepNext/>
        <w:spacing w:after="80"/>
        <w:jc w:val="left"/>
      </w:pPr>
      <w:r>
        <w:rPr>
          <w:rFonts w:ascii="Times New Roman" w:hAnsi="Times New Roman"/>
          <w:b w:val="0"/>
          <w:i w:val="0"/>
          <w:sz w:val="18"/>
        </w:rPr>
        <w:t>Table 2 Method families: representative techniques, strengths, and limitations. Counts are the 88 primary-application papers; the three review-type syntheses coded under a method family plus the 12 method-family reviews are accounted for in the function-by-year composition table.</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28</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22</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 (also an embedded component in further studies)</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LLM incident-risk analysis; LLM-based SOH estimation with uncertainty-gated physics fallback</w:t>
            </w:r>
          </w:p>
        </w:tc>
        <w:tc>
          <w:tcPr>
            <w:tcW w:type="dxa" w:w="2232"/>
          </w:tcPr>
          <w:p>
            <w:r/>
            <w:r>
              <w:rPr>
                <w:rFonts w:ascii="Times New Roman" w:hAnsi="Times New Roman"/>
                <w:b w:val="0"/>
                <w:i w:val="0"/>
                <w:sz w:val="17"/>
              </w:rPr>
              <w:t>Reasoning over heterogeneous text/system context; transferable priors</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1929130"/>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1929130"/>
                    </a:xfrm>
                    <a:prstGeom prst="rect"/>
                  </pic:spPr>
                </pic:pic>
              </a:graphicData>
            </a:graphic>
          </wp:inline>
        </w:drawing>
      </w:r>
    </w:p>
    <w:p>
      <w:pPr>
        <w:keepLines/>
        <w:spacing w:after="200"/>
        <w:jc w:val="both"/>
      </w:pPr>
      <w:r>
        <w:rPr>
          <w:rFonts w:ascii="Times New Roman" w:hAnsi="Times New Roman"/>
          <w:b w:val="0"/>
          <w:i w:val="0"/>
          <w:sz w:val="18"/>
        </w:rPr>
        <w:t>Fig. 4 Left panel: the measured eligible corpus per publication year (Tier 1, n = 799; capped retrieval, Section 3.1; one further record is date-stamped 2027 by Crossref and not shown). Right panel: method-family composition of the classified subset by publication year (Tier 2, paper counts; reviews shown as their own band); yearly totals match the corpus totals of Table 3. Composition of the curated subset under the Section 2.3 quota design; not a field-level trend measurement (Section 3.2).</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LLM-based health estimation, Section 8.4) is appearing in mainstream energy journals at all. A pool-level cross-check bounds these observations: among the 799 eligible records, the physics-informed query theme tags 1, 10, 12, 18, 2, 3, and 9 records in 2020–2026 — 1.8%, 11.8%, 8.6%, 8.1%, 3.6%, 2.4%, and 7.9% of each year’s eligible records — non-monotonic and peaking in 2021, so no field-level physics-informed rise is measurable at either tier (the 2024 trough and the partial-year 2026 count both sit inside unequal retrieval windows), and the family trajectories of this section describe the curated subset alone.</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5). Fig. 5 matches the all-corpus totals of Table 3 (103 papers); Fig. 1, by contrast, is drawn over the 88-paper primary-application corpus and excludes the 15 review-labelled papers, with the per-function reconciliation stated in that figure’s caption and in Table 3’s Reviews column. Because these shares are conditioned on the sampling quotas (Section 2.3), the quota-free eligible pool provides the check. Its query-theme tags (their derivation, lenient validation, and untagged-record counts are disclosed in Section 2.3) give health estimation 158, state estimation 133, prognostics 103, thermal management 99, fault and safety 96, charging control 64, and cell balancing 38 of 799 records. The pool confirms the same ordering at the top: the health-prognostics complex dominates, consistent with the commercial pull of lifetime prediction for warranties and second-life markets. It also confirms the same floor — balancing is the smallest core function at pool level as well as in the subset, so its thin representation is a property of the retrieved literature rather than an artifact of the quotas, and ML has so far contributed mainly at the level of pack-level insight rather than as a balancing controller — the corpus’s most-cited balancing-related result is a single contrarian study reporting that routine balancing can be dispensed with in well-managed packs, reducing hazardous lithium-plating side reactions </w:t>
      </w:r>
      <w:r>
        <w:rPr>
          <w:rFonts w:ascii="Times New Roman" w:hAnsi="Times New Roman"/>
          <w:sz w:val="20"/>
        </w:rPr>
        <w:t>[31]</w:t>
      </w:r>
      <w:r>
        <w:rPr>
          <w:rFonts w:ascii="Times New Roman" w:hAnsi="Times New Roman"/>
          <w:b w:val="0"/>
          <w:i w:val="0"/>
          <w:sz w:val="20"/>
        </w:rPr>
        <w:t xml:space="preserve"> — reproduced here as one study’s claim, not as an established result. Thermal management, by contrast, is not scarce at pool level (99 tagged records, comparable to fault and safety): the subset’s small thermal count reflects the coding scheme — thermal-runaway papers are coded under fault and safety — and the curation quotas, not field scarcity; the genuine thermal deficit is evidential rather than topical, since no subset paper yet closes the thermal control loop on hardware (Section 7.1).</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plus the 3 review-type syntheses coded under their dominant method family; Primary = Total − Reviews is the 88-paper primary-application count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5</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15</w:t>
            </w:r>
          </w:p>
        </w:tc>
        <w:tc>
          <w:tcPr>
            <w:tcW w:type="dxa" w:w="979"/>
          </w:tcPr>
          <w:p>
            <w:pPr>
              <w:jc w:val="center"/>
            </w:pPr>
            <w:r/>
            <w:r>
              <w:rPr>
                <w:rFonts w:ascii="Times New Roman" w:hAnsi="Times New Roman"/>
                <w:b w:val="0"/>
                <w:i w:val="0"/>
                <w:sz w:val="17"/>
              </w:rPr>
              <w:t>88</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54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(15 papers), Energy (13), and Applied Energy (9) head the corpus, with Journal of Power Sources, Energy Storage Materials, and Reliability Engineering &amp; System Safety following; IEEE venues account for 7 of the 103 papers, three of them in IEEE Transactions on Transportation Electrification. The pool shows the same shape — Journal of Energy Storage 103, Energy 61, and Batteries 45 of 799 records, with IEEE-prefixed venues at 9.0% — so for readers the practical consequence is that the ML-BMS literature’s center of gravity sits in energy-systems journals rather than in machine-learning venues: partly a statement about where this work is reviewed and indexed, and partly a Crossref-registry artifact (Section 2.2), rather than evidence about how impact is achieved in this field. A final measured cut matters specifically for readers working on transportation electrification: only about 2% of eligible records (n = 17) carry fleet- or cloud-orchestration-adjacent tags, and in the classified subset only 10 of the 88 primary papers use real vehicle or fleet data as their primary source, against 36 resting on laboratory cells. The classified literature is thus predominantly cell-level and laboratory-scale — one integration level below the pack- and vehicle-level questions that UN GTR 20, GB 38031, and ISO 26262 pose; Section 9.4 maps that mismatch requirement by requirement.</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(n = 103 classified studies; shares are conditioned by the Section 2.3 quotas — Box 1).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8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(9.1%; Wilson 95% CI 4.7–16.9%); 12 are simulation-based; and 15 are reviews or perspectives that synthesize rather than generate data. Chemistry reporting is similarly skewed: 54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and it is now defined and audited explicitly (Section 2.5). Under the protocol-only definition, the </w:t>
      </w:r>
      <w:r>
        <w:rPr>
          <w:rFonts w:ascii="Times New Roman" w:hAnsi="Times New Roman"/>
          <w:b w:val="0"/>
          <w:i/>
          <w:sz w:val="20"/>
        </w:rPr>
        <w:t>strong protocols</w:t>
      </w:r>
      <w:r>
        <w:rPr>
          <w:rFonts w:ascii="Times New Roman" w:hAnsi="Times New Roman"/>
          <w:b w:val="0"/>
          <w:i w:val="0"/>
          <w:sz w:val="20"/>
        </w:rPr>
        <w:t xml:space="preserve"> — cross-cell holdout (24 papers), cross-chemistry holdout (7), cross-domain holdout (3), and online or real-vehicle/fleet validation (8) — together cover 42 of the 88 primary-application papers (48%; Wilson 95% CI 37.6–58.0% — an interval over a curated subset, reflecting its selection as much as sampling). At the weaker end, 12 papers use within-cell splits (training and testing on interleaved segments of the same cell’s life), 5 use k-fold cross-validation without cross-cell isolation, and 15 are reviews without primary validation; the remaining 29 primary papers establish an operating environment (experimental hardware, 20; simulation or case-study evidence, 9) without a data-isolation protocol. The complete per-paper protocol assignment is released (protocol_audit.csv, and the valid field of papers.csv), so the 42-of-88 arithmetic can be verified row by row, and the 30-paper blind re-coding of Section 2.5 re-derived 25 of these primary-paper assignments independently.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6 cross-tabulates them: of the 10 papers whose primary data are real-vehicle or fleet streams, 8 are online-validated and 2 are validated by cross-domain holdout or case-study protocols instead (a laboratory-data paper whose online claim was a desktop demonstration was recoded to experimental hardware after full-text re-check).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the transfer protocols make the strictest demands (10 papers: 7 cross-chemistry, 3 cross-domain — the seven cross-chemistry validators are the studies behind the ‘validated across chemistries’ count of the preceding paragraph). At the weaker end, within-cell splits (12 papers) and unsupervised k-fold cross-validation (5 papers) leak trajectory information between train and test sets and can thereby produce optimistic errors that need not survive cell-to-cell variability; the review literature has long warned of this, and the corpus quantifies how prevalent such splits are. Experimental-hardware demonstrations (20 papers) and online or real-vehicle demonstrations (8 papers) anchor the deployment end of the spectrum, and it is these — not the largest architectures — that carry the field’s deployment evidence. Crossing validation practice with method family substantiates Section 3.2’s remark with numbers: 8 of the 22 physics-informed/hybrid primary papers (36%) use a strong protocol, against 34 of the 66 other primary papers (52%) — Fisher’s exact p = 0.32, odds ratio 0.54 (95% CI 0.21–1.46); under the broader definition of stringency (Section 2.5) that also counts experimental-hardware demonstrations, the contrast is 13 of 22 (59%) versus 49 of 66 (74%), p = 0.19. Neither difference is statistically significant, and neither should be read as equivalence: a minimum-detectable-effect analysis (released as power_analysis.py with its outputs) shows that with 22 versus 66 papers and a 51.5% baseline strong-protocol rate, 80% power at α = 0.05 requires a difference of roughly 30–35 percentage points (odds ratio ≤0.26 or ≥4.0), while the observed 15-point gap is detectable with only about 20–25% power, and the two arms’ Wilson intervals overlap almost completely (19.7–57.0% versus 39.7–63.2%). The honest statement is that no difference is detectable at this scale, and that meaningful differences in either direction — including a physics prior halving or doubling the odds of a strong protocol — remain compatible with these counts. To quantify how much these counts depend on the single-coder labels, a label-noise scenario analysis perturbs them directly. The analysis is a scenario envelope, not an error model. In each of 4,000 seeded Monte Carlo draws (seed 7), a label-flip rate is drawn from a Normal distribution centered on the observed coder-versus-label bucket error rate of the reliability study (0.37 and 0.27 for the two coders; mean 0.32) with standard deviation 0.02, truncated at zero; the drawn rate then flips strong/non-strong bucket labels across the 88 primary papers, and both the overall strong share and the physics-versus-other Fisher exact test are recomputed. Two readings are built into the design. Symmetric random flipping — in either direction — mechanically attenuates contrasts toward the null, whereas the actually observed coder-label disagreements are directional: 16 of the 19 bucket disagreements have the coder assigning weak where the released label says strong, the declared conservative fallback of Section 2.5. A second scenario therefore flips strong labels to weak only, at the same drawn rates, matching that direction. Under the symmetric scenario the strong-protocol count spans 35–52 of the 88 primary papers (39.8–59.1%) and the family contrast remains non-significant in 94.4% of draws; under the strong-to-weak-only scenario the count spans 22–35 (25.0–39.8%) and the contrast remains non-significant in 96.3% of draws. Read together, the two scenarios bound the single-coder counts on both sides of the documented disagreement structure — under either, the physics-versus-other contrast shows no detectable difference and remains underpowered in the sense just quantified.</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20</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Can be 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Can be 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6 Cross-tabulation of fleet-data use against online validation (103 classified papers). Fleet-data use describes the primary data source; online validation describes the validation protocol; their overlap is 8 of 10 fleet-data papers. A laboratory-data online demonstration was recoded to experimental hardware after full-text re-check (per the codebook’s absorbing rule: each paper is credited with the strongest protocol its full text reports for its headline claim, and a stronger claim unsupported at full-text re-check absorbs into the weaker class that is evidenced — Box 2). The right-hand column pools the environment-only validation categories defined with the classification framework.</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(cross-domain holdout;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pPr>
              <w:jc w:val="center"/>
            </w:pPr>
            <w:r/>
            <w:r>
              <w:rPr>
                <w:rFonts w:ascii="Times New Roman" w:hAnsi="Times New Roman"/>
                <w:b w:val="0"/>
                <w:i w:val="0"/>
                <w:sz w:val="17"/>
              </w:rPr>
              <w:t>0</w:t>
            </w:r>
          </w:p>
        </w:tc>
        <w:tc>
          <w:tcPr>
            <w:tcW w:type="dxa" w:w="2340"/>
          </w:tcPr>
          <w:p>
            <w:pPr>
              <w:jc w:val="center"/>
            </w:pPr>
            <w:r/>
            <w:r>
              <w:rPr>
                <w:rFonts w:ascii="Times New Roman" w:hAnsi="Times New Roman"/>
                <w:b w:val="0"/>
                <w:i w:val="0"/>
                <w:sz w:val="17"/>
              </w:rPr>
              <w:t>93</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8</w:t>
            </w:r>
          </w:p>
        </w:tc>
        <w:tc>
          <w:tcPr>
            <w:tcW w:type="dxa" w:w="2340"/>
          </w:tcPr>
          <w:p>
            <w:pPr>
              <w:jc w:val="center"/>
            </w:pPr>
            <w:r/>
            <w:r>
              <w:rPr>
                <w:rFonts w:ascii="Times New Roman" w:hAnsi="Times New Roman"/>
                <w:b w:val="0"/>
                <w:i w:val="0"/>
                <w:sz w:val="17"/>
              </w:rPr>
              <w:t>95</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primary papers — 26% of the 88 primary-application papers — rest on the same three public benchmarks (MATR, NASA, CALCE; Fig. 7). These benchmarks together contain on the order of a few hundred cells, while 36 further papers rest on private laboratory data that are rarely released: the empirical base is therefore not one benchmark monoculture but two poles — a small set of shared benchmarks onto which comparative claims crowd, and many unshared laboratory datasets over which accuracy claims cannot be audited at all. Output rose from single digits per year in 2019–2020 to 18–22 papers per year in 2023–2025, but benchmark reuse itself fluctuates between 1 and 7 papers per year with no trend, so no saturation dynamic is claimed; the structural finding is this two-pole data fragmentation, which inflates apparent comparability on the shared pole and precludes reproducibility on the private one.</w:t>
      </w:r>
    </w:p>
    <w:p>
      <w:pPr>
        <w:keepNext/>
        <w:spacing w:after="80"/>
        <w:jc w:val="center"/>
      </w:pPr>
      <w:r>
        <w:drawing>
          <wp:inline xmlns:a="http://schemas.openxmlformats.org/drawingml/2006/main" xmlns:pic="http://schemas.openxmlformats.org/drawingml/2006/picture">
            <wp:extent cx="4480560" cy="2757268"/>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757268"/>
                    </a:xfrm>
                    <a:prstGeom prst="rect"/>
                  </pic:spPr>
                </pic:pic>
              </a:graphicData>
            </a:graphic>
          </wp:inline>
        </w:drawing>
      </w:r>
    </w:p>
    <w:p>
      <w:pPr>
        <w:keepLines/>
        <w:spacing w:after="200"/>
        <w:jc w:val="both"/>
      </w:pPr>
      <w:r>
        <w:rPr>
          <w:rFonts w:ascii="Times New Roman" w:hAnsi="Times New Roman"/>
          <w:b w:val="0"/>
          <w:i w:val="0"/>
          <w:sz w:val="18"/>
        </w:rPr>
        <w:t>Fig. 7 Benchmark reuse versus classified-subset output. Papers in the classified subset using the three dominant public benchmarks per year (stacked bars, left axis) against classified-subset papers per year (line, right axis). Both series describe the curated 103-study subset, not the eligible corpus; benchmark reuse fluctuates year to year rather than tracking output.</w:t>
      </w:r>
    </w:p>
    <w:p>
      <w:pPr>
        <w:spacing w:after="160"/>
        <w:jc w:val="both"/>
      </w:pPr>
      <w:r>
        <w:rPr>
          <w:rFonts w:ascii="Times New Roman" w:hAnsi="Times New Roman"/>
          <w:b w:val="0"/>
          <w:i w:val="0"/>
          <w:sz w:val="20"/>
        </w:rPr>
        <w:t>Two further audits bound what the subset statistic means. First, a representativeness probe asks whether the curated subset over-states validation evidence relative to the pool it was drawn from — at the one level where the 799-record pool is observable, its indexed abstracts. A seed-pinned uniform sample of 40 eligible records (released, with its codes, as abstract_probe.py and abstract_probe.json) yields 23 abstracts retrievable from public indexes (Elsevier-withheld abstracts dominate the 17 missing); coded under a three-value rubric — isolation or deployment protocol stated, evaluation stated without isolation, nothing stated — none of the 18 primary-looking pool records states an isolation or deployment protocol in its abstract (0 of 18), against 5 of the 38 abstract-screenable subset papers (13%); the difference is not significant (Fisher p = 0.16) and both rates are near zero. The probe’s finding is negative in a useful way: indexed abstracts almost never carry enough protocol information to code validation strength at pool scale, in either tier, so the 48% strong-protocol share cannot be promoted from a curated-subset statistic to a field estimate without full-text access — and the scarcity of protocol statements in abstracts is itself part of what the reporting checklist of Section 9.9 responds to. Second, the baseline-comparison screen (the seventh field of Section 2.5) asks the question this review had not audited of its own corpus: whether ML studies benchmark against model-based methods at all. Of the 38 abstract-screenable primary papers, 32 (84%) name no model-based or classical baseline, 2 name one without stating the comparison, and 4 (11%) state a same-data quantitative comparison — against an SVR, a 0.5C CCCV protocol, an equivalent-circuit/electrochemical model, and a rule-based controller, respectively. These are lower bounds on comparison practice (full texts may compare what abstracts omit) but exact measures of comparison visibility, and visibility is what a reader scanning the literature actually has: at abstract level, the field’s answer to ‘does the learned estimator beat the model-based baseline on the same data?’ is, four times in five, unstated.</w:t>
      </w:r>
    </w:p>
    <w:p>
      <w:pPr>
        <w:keepNext/>
        <w:spacing w:after="80"/>
        <w:jc w:val="left"/>
      </w:pPr>
      <w:r>
        <w:rPr>
          <w:rFonts w:ascii="Times New Roman" w:hAnsi="Times New Roman"/>
          <w:b/>
          <w:i w:val="0"/>
          <w:sz w:val="20"/>
        </w:rPr>
        <w:t>3.5 Conference-venue check (descriptive):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in full as conference_sensitivity.csv). The comparison is descriptive and abstract-level throughout — indexed abstracts versus the full-text coding of the main corpus — so it is reported as a labelled descriptive check rather than a validated sensitivity analysis, and none of its counts enter the headline statistics of Section 3.4. A pre-stated inclusion rule was then applied mechanically to all retrieved proceedings papers (Table 7 lists all 14 with the rule's outcome): a paper enters the learning-path comparison only if machine learning is a substantive component of its contribution. Under this rule 8 of the 14 qualify; the remainder are conventional model-based estimators (Kalman-filter variants, multiple-model adaptive estimation, batch least squares), an EKF-critique, and one overview, and all 14 are released so that the rule can be audited rather than trusted. Validation practice was classified conservatively from the indexed abstracts into four classes: hardware/experimental stated, public dataset, simulation-level, and not stated.</w:t>
      </w:r>
    </w:p>
    <w:p>
      <w:pPr>
        <w:keepNext/>
        <w:spacing w:after="80"/>
        <w:jc w:val="left"/>
      </w:pPr>
      <w:r>
        <w:rPr>
          <w:rFonts w:ascii="Times New Roman" w:hAnsi="Times New Roman"/>
          <w:b w:val="0"/>
          <w:i w:val="0"/>
          <w:sz w:val="18"/>
        </w:rPr>
        <w:t>Table 7 Conference-path descriptive set: all 14 battery papers retrieved from control and transportation-electrification venues (2019–2025), Crossref-verified, with validation evidence stated in their indexed abstracts. The pre-stated inclusion rule (machine learning as a substantive component of the contribution) retains 8 of the 14 for the learning-path comparison; the remainder are conventional model-based estimators or an overview and are retained here for transparency.</w:t>
      </w:r>
    </w:p>
    <w:tbl>
      <w:tblPr>
        <w:tblStyle w:val="TableGrid"/>
        <w:tblW w:type="auto" w:w="0"/>
        <w:jc w:val="center"/>
        <w:tblLayout w:type="fixed"/>
        <w:tblLook w:firstColumn="1" w:firstRow="1" w:lastColumn="0" w:lastRow="0" w:noHBand="0" w:noVBand="1" w:val="04A0"/>
        <w:tblLayout w:type="fixed"/>
      </w:tblPr>
      <w:tblGrid>
        <w:gridCol w:w="1368"/>
        <w:gridCol w:w="1224"/>
        <w:gridCol w:w="2880"/>
        <w:gridCol w:w="1080"/>
        <w:gridCol w:w="2664"/>
      </w:tblGrid>
      <w:tr>
        <w:trPr>
          <w:cantSplit/>
          <w:tblHeader/>
        </w:trPr>
        <w:tc>
          <w:tcPr>
            <w:tcW w:type="dxa" w:w="1368"/>
          </w:tcPr>
          <w:p>
            <w:pPr>
              <w:jc w:val="center"/>
            </w:pPr>
            <w:r/>
            <w:r>
              <w:rPr>
                <w:rFonts w:ascii="Times New Roman" w:hAnsi="Times New Roman"/>
                <w:b/>
                <w:sz w:val="17"/>
              </w:rPr>
              <w:t>Venue (year)</w:t>
            </w:r>
          </w:p>
        </w:tc>
        <w:tc>
          <w:tcPr>
            <w:tcW w:type="dxa" w:w="1224"/>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(short)</w:t>
            </w:r>
          </w:p>
        </w:tc>
        <w:tc>
          <w:tcPr>
            <w:tcW w:type="dxa" w:w="1080"/>
          </w:tcPr>
          <w:p>
            <w:pPr>
              <w:jc w:val="center"/>
            </w:pPr>
            <w:r/>
            <w:r>
              <w:rPr>
                <w:rFonts w:ascii="Times New Roman" w:hAnsi="Times New Roman"/>
                <w:b/>
                <w:sz w:val="17"/>
              </w:rPr>
              <w:t>Learning-based?</w:t>
            </w:r>
          </w:p>
        </w:tc>
        <w:tc>
          <w:tcPr>
            <w:tcW w:type="dxa" w:w="2664"/>
          </w:tcPr>
          <w:p>
            <w:pPr>
              <w:jc w:val="center"/>
            </w:pPr>
            <w:r/>
            <w:r>
              <w:rPr>
                <w:rFonts w:ascii="Times New Roman" w:hAnsi="Times New Roman"/>
                <w:b/>
                <w:sz w:val="17"/>
              </w:rPr>
              <w:t>Validation evidence stated in indexed abstract</w:t>
            </w:r>
          </w:p>
        </w:tc>
      </w:tr>
      <w:tr>
        <w:trPr>
          <w:cantSplit/>
        </w:trPr>
        <w:tc>
          <w:tcPr>
            <w:tcW w:type="dxa" w:w="1368"/>
          </w:tcPr>
          <w:p>
            <w:pPr>
              <w:jc w:val="left"/>
            </w:pPr>
            <w:r/>
            <w:r>
              <w:rPr>
                <w:rFonts w:ascii="Times New Roman" w:hAnsi="Times New Roman"/>
                <w:b w:val="0"/>
                <w:i w:val="0"/>
                <w:sz w:val="17"/>
              </w:rPr>
              <w:t>ITEC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with transfer learning </w:t>
            </w:r>
            <w:r>
              <w:rPr>
                <w:rFonts w:ascii="Times New Roman" w:hAnsi="Times New Roman"/>
                <w:sz w:val="17"/>
              </w:rPr>
              <w:t>[32]</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[33]</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[34]</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ACC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[35]</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[36]</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[37]</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ECC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[38]</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CCDC 2022</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[39]</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 public data</w:t>
            </w:r>
          </w:p>
        </w:tc>
      </w:tr>
      <w:tr>
        <w:trPr>
          <w:cantSplit/>
        </w:trPr>
        <w:tc>
          <w:tcPr>
            <w:tcW w:type="dxa" w:w="1368"/>
          </w:tcPr>
          <w:p>
            <w:pPr>
              <w:jc w:val="left"/>
            </w:pPr>
            <w:r/>
            <w:r>
              <w:rPr>
                <w:rFonts w:ascii="Times New Roman" w:hAnsi="Times New Roman"/>
                <w:b w:val="0"/>
                <w:i w:val="0"/>
                <w:sz w:val="17"/>
              </w:rPr>
              <w:t>VPPC 2022</w:t>
            </w:r>
          </w:p>
        </w:tc>
        <w:tc>
          <w:tcPr>
            <w:tcW w:type="dxa" w:w="1224"/>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[40]</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w:t>
            </w:r>
          </w:p>
        </w:tc>
      </w:tr>
      <w:tr>
        <w:trPr>
          <w:cantSplit/>
        </w:trPr>
        <w:tc>
          <w:tcPr>
            <w:tcW w:type="dxa" w:w="1368"/>
          </w:tcPr>
          <w:p>
            <w:pPr>
              <w:jc w:val="left"/>
            </w:pPr>
            <w:r/>
            <w:r>
              <w:rPr>
                <w:rFonts w:ascii="Times New Roman" w:hAnsi="Times New Roman"/>
                <w:b w:val="0"/>
                <w:i w:val="0"/>
                <w:sz w:val="17"/>
              </w:rPr>
              <w:t>ITEC 2022</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[41]</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ACC 2023</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[42]</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APEC 2023</w:t>
            </w:r>
          </w:p>
        </w:tc>
        <w:tc>
          <w:tcPr>
            <w:tcW w:type="dxa" w:w="1224"/>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[43]</w:t>
            </w:r>
          </w:p>
        </w:tc>
        <w:tc>
          <w:tcPr>
            <w:tcW w:type="dxa" w:w="1080"/>
          </w:tcPr>
          <w:p>
            <w:r/>
            <w:r>
              <w:rPr>
                <w:rFonts w:ascii="Times New Roman" w:hAnsi="Times New Roman"/>
                <w:b w:val="0"/>
                <w:i w:val="0"/>
                <w:sz w:val="17"/>
              </w:rPr>
              <w:t>Overview</w:t>
            </w:r>
          </w:p>
        </w:tc>
        <w:tc>
          <w:tcPr>
            <w:tcW w:type="dxa" w:w="2664"/>
          </w:tcPr>
          <w:p>
            <w:r/>
            <w:r>
              <w:rPr>
                <w:rFonts w:ascii="Times New Roman" w:hAnsi="Times New Roman"/>
                <w:b w:val="0"/>
                <w:i w:val="0"/>
                <w:sz w:val="17"/>
              </w:rPr>
              <w:t>Not applicable</w:t>
            </w:r>
          </w:p>
        </w:tc>
      </w:tr>
      <w:tr>
        <w:trPr>
          <w:cantSplit/>
        </w:trPr>
        <w:tc>
          <w:tcPr>
            <w:tcW w:type="dxa" w:w="1368"/>
          </w:tcPr>
          <w:p>
            <w:pPr>
              <w:jc w:val="left"/>
            </w:pPr>
            <w:r/>
            <w:r>
              <w:rPr>
                <w:rFonts w:ascii="Times New Roman" w:hAnsi="Times New Roman"/>
                <w:b w:val="0"/>
                <w:i w:val="0"/>
                <w:sz w:val="17"/>
              </w:rPr>
              <w:t>ITEC 2023</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[44]</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ACC 2024</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[45]</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does not indicate a venue gap in stated validation evidence. Of the 8 learning-based conference papers, 2 (25%) state hardware or experimental validation in their indexed abstracts, 2 rest on public datasets, 1 describes simulation-level validation, and 3 state no validation basis at all — against 20 of the 88 primary-application journal papers (23%) with experimental-hardware demonstrations. Indexed abstract-level transparency about validation is, if anything, lower on the conference path. Two caveats bound this finding: conference abstracts are frequently truncated in bibliographic indexes, so the comparison measures stated evidence rather than underlying practice; and the sensitivity set is a curated sample, not a census. Within those bounds the comparison remains descriptive — eight truncated abstracts cannot carry an inference about venue populations — but the observed pattern, that stated validation evidence is no more visible in the conference abstracts examined than in the journal corpus, strengthens rather than weakens the case for the reporting standards proposed in Section 9.9.</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[46]</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[47]</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[48]</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[17, 18]</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[49]</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[50]</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[51]</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[52]</w:t>
      </w:r>
      <w:r>
        <w:rPr>
          <w:rFonts w:ascii="Times New Roman" w:hAnsi="Times New Roman"/>
          <w:b w:val="0"/>
          <w:i w:val="0"/>
          <w:sz w:val="20"/>
        </w:rPr>
        <w:t xml:space="preserve">, unified frameworks estimate SOH and SOC jointly from partial charging data </w:t>
      </w:r>
      <w:r>
        <w:rPr>
          <w:rFonts w:ascii="Times New Roman" w:hAnsi="Times New Roman"/>
          <w:sz w:val="20"/>
        </w:rPr>
        <w:t>[53]</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[54, 55]</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[56]</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[57]</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consistently low on the standard drive cycles, yet 12 of the 13 primary SOC papers rest on laboratory-scale data (11 on the authors' own cells, one on laboratory impedance measurements), 9 of the 13 on a single cathode chemistry (NMC), and the thirteenth — the cluster's only operation-scale demonstration — is a simulated stationary containerized storage system rather than a vehicle </w:t>
      </w:r>
      <w:r>
        <w:rPr>
          <w:rFonts w:ascii="Times New Roman" w:hAnsi="Times New Roman"/>
          <w:sz w:val="20"/>
        </w:rPr>
        <w:t>[52]</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[1]</w:t>
      </w:r>
      <w:r>
        <w:rPr>
          <w:rFonts w:ascii="Times New Roman" w:hAnsi="Times New Roman"/>
          <w:b w:val="0"/>
          <w:i w:val="0"/>
          <w:sz w:val="20"/>
        </w:rPr>
        <w:t>. The SOC function is, in other words, an area where the laboratory-regime estimation problem is, by reported metrics, effectively addressed — though those metrics are not comparable across papers (Section 5.6) — while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[57]</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[58]</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(32 primary papers: 19 SOH, 13 RUL; 35 including review-labelled studies).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[59]</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[60]</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[61]</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[62]</w:t>
      </w:r>
      <w:r>
        <w:rPr>
          <w:rFonts w:ascii="Times New Roman" w:hAnsi="Times New Roman"/>
          <w:b w:val="0"/>
          <w:i w:val="0"/>
          <w:sz w:val="20"/>
        </w:rPr>
        <w:t xml:space="preserve">, and charging-segment adjustment refined features for vehicle-level use </w:t>
      </w:r>
      <w:r>
        <w:rPr>
          <w:rFonts w:ascii="Times New Roman" w:hAnsi="Times New Roman"/>
          <w:sz w:val="20"/>
        </w:rPr>
        <w:t>[63]</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[64]</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[64]</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[65]</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[66]</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[67]</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[68]</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[69]</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[70]</w:t>
      </w:r>
      <w:r>
        <w:rPr>
          <w:rFonts w:ascii="Times New Roman" w:hAnsi="Times New Roman"/>
          <w:b w:val="0"/>
          <w:i w:val="0"/>
          <w:sz w:val="20"/>
        </w:rPr>
        <w:t xml:space="preserve">, ML frameworks extract lifetime information from formation-style tests </w:t>
      </w:r>
      <w:r>
        <w:rPr>
          <w:rFonts w:ascii="Times New Roman" w:hAnsi="Times New Roman"/>
          <w:sz w:val="20"/>
        </w:rPr>
        <w:t>[71]</w:t>
      </w:r>
      <w:r>
        <w:rPr>
          <w:rFonts w:ascii="Times New Roman" w:hAnsi="Times New Roman"/>
          <w:b w:val="0"/>
          <w:i w:val="0"/>
          <w:sz w:val="20"/>
        </w:rPr>
        <w:t xml:space="preserve">, hybrid physics-plus-learned models give early RUL from limited cycles </w:t>
      </w:r>
      <w:r>
        <w:rPr>
          <w:rFonts w:ascii="Times New Roman" w:hAnsi="Times New Roman"/>
          <w:sz w:val="20"/>
        </w:rPr>
        <w:t>[72]</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[73]</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[74]</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[75]</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[76]</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[77]</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[78]</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[79]</w:t>
      </w:r>
      <w:r>
        <w:rPr>
          <w:rFonts w:ascii="Times New Roman" w:hAnsi="Times New Roman"/>
          <w:b w:val="0"/>
          <w:i w:val="0"/>
          <w:sz w:val="20"/>
        </w:rPr>
        <w:t xml:space="preserve">. Multi-feature hybrid schemes lift RUL accuracy across datasets </w:t>
      </w:r>
      <w:r>
        <w:rPr>
          <w:rFonts w:ascii="Times New Roman" w:hAnsi="Times New Roman"/>
          <w:sz w:val="20"/>
        </w:rPr>
        <w:t>[80]</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[81]</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[82]</w:t>
      </w:r>
      <w:r>
        <w:rPr>
          <w:rFonts w:ascii="Times New Roman" w:hAnsi="Times New Roman"/>
          <w:b w:val="0"/>
          <w:i w:val="0"/>
          <w:sz w:val="20"/>
        </w:rPr>
        <w:t xml:space="preserve">; transfer-learning-based EIS estimation crosses chemistries </w:t>
      </w:r>
      <w:r>
        <w:rPr>
          <w:rFonts w:ascii="Times New Roman" w:hAnsi="Times New Roman"/>
          <w:sz w:val="20"/>
        </w:rPr>
        <w:t>[83]</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[84]</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[85]</w:t>
      </w:r>
      <w:r>
        <w:rPr>
          <w:rFonts w:ascii="Times New Roman" w:hAnsi="Times New Roman"/>
          <w:b w:val="0"/>
          <w:i w:val="0"/>
          <w:sz w:val="20"/>
        </w:rPr>
        <w:t xml:space="preserve"> and reviews charting non-probabilistic estimation techniques </w:t>
      </w:r>
      <w:r>
        <w:rPr>
          <w:rFonts w:ascii="Times New Roman" w:hAnsi="Times New Roman"/>
          <w:sz w:val="20"/>
        </w:rPr>
        <w:t>[19]</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The cluster's accuracy claims are established overwhelmingly on public benchmark cells: the Severson-MATR dataset alone appears in 11 corpus papers, NASA and CALCE in 12 more. Within-cell splits and k-fold protocols — which leak trajectory information between train and test — account for 10 of the 32 primary studies in the health-prognostics complex, and for 17 of the 88 primary papers in total.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20]</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high-cycle-life protocols among 224 candidates in 16 days — against the more than 500 days an exhaustive search without early prediction would have taken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[86]</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[87]</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[88]</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[89]</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[90]</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[91]</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[92]</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[90]</w:t>
      </w:r>
      <w:r>
        <w:rPr>
          <w:rFonts w:ascii="Times New Roman" w:hAnsi="Times New Roman"/>
          <w:b w:val="0"/>
          <w:i w:val="0"/>
          <w:sz w:val="20"/>
        </w:rPr>
        <w:t xml:space="preserve"> and balance-aware pack charging </w:t>
      </w:r>
      <w:r>
        <w:rPr>
          <w:rFonts w:ascii="Times New Roman" w:hAnsi="Times New Roman"/>
          <w:sz w:val="20"/>
        </w:rPr>
        <w:t>[91]</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further papers validate on laboratory hardware, and the remaining four rest on simulation-level evidence (three simulation-only, one with hardware spot-checks).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[88]</w:t>
      </w:r>
      <w:r>
        <w:rPr>
          <w:rFonts w:ascii="Times New Roman" w:hAnsi="Times New Roman"/>
          <w:b w:val="0"/>
          <w:i w:val="0"/>
          <w:sz w:val="20"/>
        </w:rPr>
        <w:t xml:space="preserve"> are the most deployment-relevant results in this cluster. Table 8 collects representative studies across functions and method families.</w:t>
      </w:r>
    </w:p>
    <w:p>
      <w:pPr>
        <w:keepNext/>
        <w:spacing w:after="80"/>
        <w:jc w:val="left"/>
      </w:pPr>
      <w:r>
        <w:rPr>
          <w:rFonts w:ascii="Times New Roman" w:hAnsi="Times New Roman"/>
          <w:b w:val="0"/>
          <w:i w:val="0"/>
          <w:sz w:val="18"/>
        </w:rPr>
        <w:t>Table 8 Representative classified-subset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[49]</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[56]</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[64]</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[69]</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[79]</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224 candidates in 16 days vs &gt;500 days of exhaustive search)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[88]</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[86]</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[93]</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[94]</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[95]</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[96]</w:t>
            </w:r>
            <w:r>
              <w:rPr>
                <w:rFonts w:ascii="Times New Roman" w:hAnsi="Times New Roman"/>
                <w:b w:val="0"/>
                <w:i w:val="0"/>
                <w:sz w:val="17"/>
              </w:rPr>
              <w:t xml:space="preserve">; cross-fleet runaway-diagnosis transfer (fleet data; small-sample diagnosis) </w:t>
            </w:r>
            <w:r>
              <w:rPr>
                <w:rFonts w:ascii="Times New Roman" w:hAnsi="Times New Roman"/>
                <w:sz w:val="17"/>
              </w:rPr>
              <w:t>[97]</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[98]</w:t>
            </w:r>
            <w:r>
              <w:rPr>
                <w:rFonts w:ascii="Times New Roman" w:hAnsi="Times New Roman"/>
                <w:b w:val="0"/>
                <w:i w:val="0"/>
                <w:sz w:val="17"/>
              </w:rPr>
              <w:t xml:space="preserve">; LLM-based SOH estimation with uncertainty-aware fallback (field data; subset’s earliest LLM estimator — an earlier journal study was missed by the retrieval, Section 8.4)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(7 primary papers; 8 including a review) but a disproportionately safety-critical one. Data-driven temperature estimation ranges from ANN models predicting cell temperature across operating conditions </w:t>
      </w:r>
      <w:r>
        <w:rPr>
          <w:rFonts w:ascii="Times New Roman" w:hAnsi="Times New Roman"/>
          <w:sz w:val="20"/>
        </w:rPr>
        <w:t>[93]</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[99]</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[94, 100]</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[101]</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[102]</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[94, 100]</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[102]</w:t>
      </w:r>
      <w:r>
        <w:rPr>
          <w:rFonts w:ascii="Times New Roman" w:hAnsi="Times New Roman"/>
          <w:b w:val="0"/>
          <w:i w:val="0"/>
          <w:sz w:val="20"/>
        </w:rPr>
        <w:t>, but no subset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(7 primary papers; 9 including reviews) divide into diagnosis of realized faults and prediction of impending hazards. On the diagnosis side, grid-search-optimized support vector machines classify sensor and connection faults </w:t>
      </w:r>
      <w:r>
        <w:rPr>
          <w:rFonts w:ascii="Times New Roman" w:hAnsi="Times New Roman"/>
          <w:sz w:val="20"/>
        </w:rPr>
        <w:t>[95]</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[103]</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[104]</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[105]</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[96]</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[106]</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[97]</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[106]</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Within the classified subset, physics-informed and hybrid model–data learning is the most consistently rising methodological theme (24 family-coded papers across all functions; 22 of them primary applications; the only family with a monotonically non-decreasing primary trajectory within the subset — a pattern the eligible pool’s query-theme tags do not mirror, Section 3.2). Beyond the prognostics applications of Section 5.4, physics-informed structures appear in state estimation </w:t>
      </w:r>
      <w:r>
        <w:rPr>
          <w:rFonts w:ascii="Times New Roman" w:hAnsi="Times New Roman"/>
          <w:sz w:val="20"/>
        </w:rPr>
        <w:t>[10, 107]</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[108]</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[109]</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[110]</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[111]</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[112]</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[113]</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[98]</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[59]</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[98]</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[114]</w:t>
      </w:r>
      <w:r>
        <w:rPr>
          <w:rFonts w:ascii="Times New Roman" w:hAnsi="Times New Roman"/>
          <w:b w:val="0"/>
          <w:i w:val="0"/>
          <w:sz w:val="20"/>
        </w:rPr>
        <w:t xml:space="preserve"> and couple LSTM surrogates with real-time thermal observation </w:t>
      </w:r>
      <w:r>
        <w:rPr>
          <w:rFonts w:ascii="Times New Roman" w:hAnsi="Times New Roman"/>
          <w:sz w:val="20"/>
        </w:rPr>
        <w:t>[115]</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[116]</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[117]</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[58]</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[57, 118]</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[119]</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[114]</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[116]</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[117]</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classified subset’s youngest theme is generative, and its two studies divide the labor differently.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 a reasoning-and-synthesis role. The second study, HA-LLM </w:t>
      </w:r>
      <w:r>
        <w:rPr>
          <w:rFonts w:ascii="Times New Roman" w:hAnsi="Times New Roman"/>
          <w:sz w:val="20"/>
        </w:rPr>
        <w:t>[15]</w:t>
      </w:r>
      <w:r>
        <w:rPr>
          <w:rFonts w:ascii="Times New Roman" w:hAnsi="Times New Roman"/>
          <w:b w:val="0"/>
          <w:i w:val="0"/>
          <w:sz w:val="20"/>
        </w:rPr>
        <w:t xml:space="preserve">, is an LLM-based SOH estimator: it aligns resampled charging-current sequences with the LLM embedding space, injects battery degradation priors through prefix adaptation, and — most notably for safety — wraps the LLM in an uncertainty-aware module that estimates predictive uncertainty by Monte Carlo sampling and selectively substitutes a physics-consistent estimator when uncertainty is high. It is validated on one year of field data from 100 production vehicles on a vehicle-cloud platform, with an independent teardown and bench capacity calibration on an unseen vehicle model, and it remains robust in few-shot and zero-shot cross-vehicle evaluations. The published work therefore already spans both the orchestration seat and the estimator seat, and the estimator-seat study is instructive precisely because its authors treated hallucination risk as a design constraint: uncertainty-triggered fallback to a physics-consistent estimator is exactly the guardrail this review argues should be mandatory (Table 9). The appearance of both roles in mainstream energy journals in 2025–2026 marks a new phase: the management stack is beginning to absorb foundation-model components. Earliest-here claims are bounded by retrieval: a GPT-4-based health estimator by Poh et al. </w:t>
      </w:r>
      <w:r>
        <w:rPr>
          <w:rFonts w:ascii="Times New Roman" w:hAnsi="Times New Roman"/>
          <w:sz w:val="20"/>
        </w:rPr>
        <w:t>[120]</w:t>
      </w:r>
      <w:r>
        <w:rPr>
          <w:rFonts w:ascii="Times New Roman" w:hAnsi="Times New Roman"/>
          <w:b w:val="0"/>
          <w:i w:val="0"/>
          <w:sz w:val="20"/>
        </w:rPr>
        <w:t xml:space="preserve"> appeared in IEEE Transactions on Energy Conversion in 2025, predating both studies, and it appears nowhere in the released 1,550-record retrieval — a recall miss of the query design, not a venue exclusion. The recall audit of Section 2.2 shows such misses are structural rather than exceptional: the capped queries contain only 16–17% of the in-scope, 2020-onward literature cited by this review’s own included reviews, and the missed TEC paper is cited by none of those reviews either, so even a reference-list-driven search would not have surfaced it. Studies in this subset are therefore described as the earliest in the classified subset, not the first in the field.</w:t>
      </w:r>
    </w:p>
    <w:p>
      <w:pPr>
        <w:spacing w:after="160"/>
        <w:jc w:val="both"/>
      </w:pPr>
      <w:r>
        <w:rPr>
          <w:rFonts w:ascii="Times New Roman" w:hAnsi="Times New Roman"/>
          <w:b w:val="0"/>
          <w:i w:val="0"/>
          <w:sz w:val="20"/>
        </w:rPr>
        <w:t xml:space="preserve">Because BMS software is safety-critical, this review argues for an explicit division of labor before that absorption goes further, and Table 9 makes it concrete. The table contrasts established practice for classical and deep learning estimators with what the corpus’s two LLM studies actually demonstrate, and states the guardrails this review regards as mandatory before any LLM component touches a safety-relevant path. The right-hand column is normative guidance proposed here, not claims about the published studies. The notable point is that the subset’s earliest LLM estimator study </w:t>
      </w:r>
      <w:r>
        <w:rPr>
          <w:rFonts w:ascii="Times New Roman" w:hAnsi="Times New Roman"/>
          <w:sz w:val="20"/>
        </w:rPr>
        <w:t>[15]</w:t>
      </w:r>
      <w:r>
        <w:rPr>
          <w:rFonts w:ascii="Times New Roman" w:hAnsi="Times New Roman"/>
          <w:b w:val="0"/>
          <w:i w:val="0"/>
          <w:sz w:val="20"/>
        </w:rPr>
        <w:t xml:space="preserve"> already implements two of those guardrails — Monte-Carlo uncertainty gating and substitution by a physics-consistent estimator — while leaving direct cell-level safety authority undefined, which is where the line should stay for now.</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Stationary-BESS incident risk analysis </w:t>
            </w:r>
            <w:r>
              <w:rPr>
                <w:rFonts w:ascii="Times New Roman" w:hAnsi="Times New Roman"/>
                <w:sz w:val="17"/>
              </w:rPr>
              <w:t>[14]</w:t>
            </w:r>
            <w:r>
              <w:rPr>
                <w:rFonts w:ascii="Times New Roman" w:hAnsi="Times New Roman"/>
                <w:b w:val="0"/>
                <w:i w:val="0"/>
                <w:sz w:val="17"/>
              </w:rPr>
              <w:t xml:space="preserve">; LLM-based SOH estimation with uncertainty-aware control on field vehicle data </w:t>
            </w:r>
            <w:r>
              <w:rPr>
                <w:rFonts w:ascii="Times New Roman" w:hAnsi="Times New Roman"/>
                <w:sz w:val="17"/>
              </w:rPr>
              <w:t>[15]</w:t>
            </w:r>
          </w:p>
        </w:tc>
        <w:tc>
          <w:tcPr>
            <w:tcW w:type="dxa" w:w="2592"/>
          </w:tcPr>
          <w:p>
            <w:r/>
            <w:r>
              <w:rPr>
                <w:rFonts w:ascii="Times New Roman" w:hAnsi="Times New Roman"/>
                <w:b w:val="0"/>
                <w:i w:val="0"/>
                <w:sz w:val="17"/>
              </w:rPr>
              <w:t xml:space="preserve">Estimation should belong to calibrated ML; the LLM SOH estimator of </w:t>
            </w:r>
            <w:r>
              <w:rPr>
                <w:rFonts w:ascii="Times New Roman" w:hAnsi="Times New Roman"/>
                <w:sz w:val="17"/>
              </w:rPr>
              <w:t>[15]</w:t>
            </w:r>
            <w:r>
              <w:rPr>
                <w:rFonts w:ascii="Times New Roman" w:hAnsi="Times New Roman"/>
                <w:b w:val="0"/>
                <w:i w:val="0"/>
                <w:sz w:val="17"/>
              </w:rPr>
              <w:t xml:space="preserve"> is the earliest in the classified subset — an earlier journal-published LLM estimator, missed by this review’s retrieval, is </w:t>
            </w:r>
            <w:r>
              <w:rPr>
                <w:rFonts w:ascii="Times New Roman" w:hAnsi="Times New Roman"/>
                <w:sz w:val="17"/>
              </w:rPr>
              <w:t>[120]</w:t>
            </w:r>
            <w:r>
              <w:rPr>
                <w:rFonts w:ascii="Times New Roman" w:hAnsi="Times New Roman"/>
                <w:b w:val="0"/>
                <w:i w:val="0"/>
                <w:sz w:val="17"/>
              </w:rPr>
              <w:t xml:space="preserve"> (Section 8.4) — and must show calibrated intervals before any actuation-adjacent role</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 xml:space="preserve">Not reported for incident risk analysis </w:t>
            </w:r>
            <w:r>
              <w:rPr>
                <w:rFonts w:ascii="Times New Roman" w:hAnsi="Times New Roman"/>
                <w:sz w:val="17"/>
              </w:rPr>
              <w:t>[14]</w:t>
            </w:r>
            <w:r>
              <w:rPr>
                <w:rFonts w:ascii="Times New Roman" w:hAnsi="Times New Roman"/>
                <w:b w:val="0"/>
                <w:i w:val="0"/>
                <w:sz w:val="17"/>
              </w:rPr>
              <w:t xml:space="preserve">; Monte-Carlo uncertainty estimates with selective physics-estimator substitution demonstrated in the SOH estimator </w:t>
            </w:r>
            <w:r>
              <w:rPr>
                <w:rFonts w:ascii="Times New Roman" w:hAnsi="Times New Roman"/>
                <w:sz w:val="17"/>
              </w:rPr>
              <w:t>[15]</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[121]</w:t>
      </w:r>
      <w:r>
        <w:rPr>
          <w:rFonts w:ascii="Times New Roman" w:hAnsi="Times New Roman"/>
          <w:b w:val="0"/>
          <w:i w:val="0"/>
          <w:sz w:val="20"/>
        </w:rPr>
        <w:t xml:space="preserve">, complementing the coating-quality interpretability work </w:t>
      </w:r>
      <w:r>
        <w:rPr>
          <w:rFonts w:ascii="Times New Roman" w:hAnsi="Times New Roman"/>
          <w:sz w:val="20"/>
        </w:rPr>
        <w:t>[112]</w:t>
      </w:r>
      <w:r>
        <w:rPr>
          <w:rFonts w:ascii="Times New Roman" w:hAnsi="Times New Roman"/>
          <w:b w:val="0"/>
          <w:i w:val="0"/>
          <w:sz w:val="20"/>
        </w:rPr>
        <w:t xml:space="preserve"> and manufacturing defect detection </w:t>
      </w:r>
      <w:r>
        <w:rPr>
          <w:rFonts w:ascii="Times New Roman" w:hAnsi="Times New Roman"/>
          <w:sz w:val="20"/>
        </w:rPr>
        <w:t>[105]</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[31]</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[122]</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11, previewed against the field's milestones in Fig. 8, and then operationalized into a concrete reporting checklist in Section 9.9.</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of the 88 primary papers use within-cell splits or unsupervised k-folds, and only 8 of the 88 demonstrate their systems online or on real fleets. Until cross-cell, cross-temperature, and cross-protocol holdout protocols become reporting norms, published accuracy figures will continue to carry a systematic risk of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[83, 84]</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In our full-text reading of the corpus we did not routinely encounter disclosed split definitions, random seeds, or compute budgets; only the validation, data-source, and artifact items were systematically score-counted (Section 9.9), so this is a qualitative observation rather than a measured rate. Either way, such omissions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benchmark concentration</w:t>
      </w:r>
    </w:p>
    <w:p>
      <w:pPr>
        <w:spacing w:after="160"/>
        <w:jc w:val="both"/>
      </w:pPr>
      <w:r>
        <w:rPr>
          <w:rFonts w:ascii="Times New Roman" w:hAnsi="Times New Roman"/>
          <w:b w:val="0"/>
          <w:i w:val="0"/>
          <w:sz w:val="20"/>
        </w:rPr>
        <w:t xml:space="preserve">Twenty-three primary papers rest on the same three public benchmarks (Severson-MATR 11, NASA 6, CALCE 6), and 36 use private laboratory cells whose data are not released. This two-pole fragmentation inflates apparent comparability on the shared benchmarks and hides dataset-specific failure modes, while precluding audit altogether on the private pole. Federated learning over fleet data, standardized anonymized fleet-data releases, and multi-institution cycling campaigns — in the spirit of the 179-cell pipeline </w:t>
      </w:r>
      <w:r>
        <w:rPr>
          <w:rFonts w:ascii="Times New Roman" w:hAnsi="Times New Roman"/>
          <w:sz w:val="20"/>
        </w:rPr>
        <w:t>[64]</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[74, 85]</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[74]</w:t>
      </w:r>
      <w:r>
        <w:rPr>
          <w:rFonts w:ascii="Times New Roman" w:hAnsi="Times New Roman"/>
          <w:b w:val="0"/>
          <w:i w:val="0"/>
          <w:sz w:val="20"/>
        </w:rPr>
        <w:t xml:space="preserve"> and real-time feature-extraction studies </w:t>
      </w:r>
      <w:r>
        <w:rPr>
          <w:rFonts w:ascii="Times New Roman" w:hAnsi="Times New Roman"/>
          <w:sz w:val="20"/>
        </w:rPr>
        <w:t>[85]</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and safety standards</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[98]</w:t>
      </w:r>
      <w:r>
        <w:rPr>
          <w:rFonts w:ascii="Times New Roman" w:hAnsi="Times New Roman"/>
          <w:b w:val="0"/>
          <w:i w:val="0"/>
          <w:sz w:val="20"/>
        </w:rPr>
        <w:t xml:space="preserve">, explainability-driven </w:t>
      </w:r>
      <w:r>
        <w:rPr>
          <w:rFonts w:ascii="Times New Roman" w:hAnsi="Times New Roman"/>
          <w:sz w:val="20"/>
        </w:rPr>
        <w:t>[111]</w:t>
      </w:r>
      <w:r>
        <w:rPr>
          <w:rFonts w:ascii="Times New Roman" w:hAnsi="Times New Roman"/>
          <w:b w:val="0"/>
          <w:i w:val="0"/>
          <w:sz w:val="20"/>
        </w:rPr>
        <w:t xml:space="preserve">, and Gaussian-process lineages </w:t>
      </w:r>
      <w:r>
        <w:rPr>
          <w:rFonts w:ascii="Times New Roman" w:hAnsi="Times New Roman"/>
          <w:sz w:val="20"/>
        </w:rPr>
        <w:t>[59]</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spacing w:after="160"/>
        <w:jc w:val="both"/>
      </w:pPr>
      <w:r>
        <w:rPr>
          <w:rFonts w:ascii="Times New Roman" w:hAnsi="Times New Roman"/>
          <w:b w:val="0"/>
          <w:i w:val="0"/>
          <w:sz w:val="20"/>
        </w:rPr>
        <w:t xml:space="preserve">The safety standards invoked in the introduction — UN GTR No. 20 on electric-vehicle safety (established in the UN Global Registry in 2018 </w:t>
      </w:r>
      <w:r>
        <w:rPr>
          <w:rFonts w:ascii="Times New Roman" w:hAnsi="Times New Roman"/>
          <w:sz w:val="20"/>
        </w:rPr>
        <w:t>[28]</w:t>
      </w:r>
      <w:r>
        <w:rPr>
          <w:rFonts w:ascii="Times New Roman" w:hAnsi="Times New Roman"/>
          <w:b w:val="0"/>
          <w:i w:val="0"/>
          <w:sz w:val="20"/>
        </w:rPr>
        <w:t xml:space="preserve">; its Amendment 1, adding thermal-propagation requirements with two compliance options — a physical propagation test or a documented risk-management approach — was proposed by the UNECE informal working group on electric vehicle safety as document EVS-30-C01/Rev.4 in September 2025 </w:t>
      </w:r>
      <w:r>
        <w:rPr>
          <w:rFonts w:ascii="Times New Roman" w:hAnsi="Times New Roman"/>
          <w:sz w:val="20"/>
        </w:rPr>
        <w:t>[123]</w:t>
      </w:r>
      <w:r>
        <w:rPr>
          <w:rFonts w:ascii="Times New Roman" w:hAnsi="Times New Roman"/>
          <w:b w:val="0"/>
          <w:i w:val="0"/>
          <w:sz w:val="20"/>
        </w:rPr>
        <w:t xml:space="preserve"> and stood, at this review’s September 2026 retrieval date, pending before WP.29 with adoption listed for its 17–20 November 2026 session), GB 38031 (GB 38031-2020, superseded for new type approvals by GB 38031-2025 from July 2026, with existing models transitioning through July 2027; GB 38031-2025 requires a thermal-propagation warning ahead of hazard and no fire or explosion of the pack beyond the triggered cell — superseding GB 38031-2020’s five-minute pre-warning criterion — and adds bottom-impact and 300-cycle fast-charge safety tests </w:t>
      </w:r>
      <w:r>
        <w:rPr>
          <w:rFonts w:ascii="Times New Roman" w:hAnsi="Times New Roman"/>
          <w:sz w:val="20"/>
        </w:rPr>
        <w:t>[29]</w:t>
      </w:r>
      <w:r>
        <w:rPr>
          <w:rFonts w:ascii="Times New Roman" w:hAnsi="Times New Roman"/>
          <w:b w:val="0"/>
          <w:i w:val="0"/>
          <w:sz w:val="20"/>
        </w:rPr>
        <w:t xml:space="preserve">), ISO 26262:2018 (functional safety of road-vehicle E/E systems </w:t>
      </w:r>
      <w:r>
        <w:rPr>
          <w:rFonts w:ascii="Times New Roman" w:hAnsi="Times New Roman"/>
          <w:sz w:val="20"/>
        </w:rPr>
        <w:t>[30]</w:t>
      </w:r>
      <w:r>
        <w:rPr>
          <w:rFonts w:ascii="Times New Roman" w:hAnsi="Times New Roman"/>
          <w:b w:val="0"/>
          <w:i w:val="0"/>
          <w:sz w:val="20"/>
        </w:rPr>
        <w:t xml:space="preserve">), ISO/PAS 8800:2024 (safety and artificial intelligence — the road-vehicle extension of ISO 26262 and ISO 21448 to learned components </w:t>
      </w:r>
      <w:r>
        <w:rPr>
          <w:rFonts w:ascii="Times New Roman" w:hAnsi="Times New Roman"/>
          <w:sz w:val="20"/>
        </w:rPr>
        <w:t>[124]</w:t>
      </w:r>
      <w:r>
        <w:rPr>
          <w:rFonts w:ascii="Times New Roman" w:hAnsi="Times New Roman"/>
          <w:b w:val="0"/>
          <w:i w:val="0"/>
          <w:sz w:val="20"/>
        </w:rPr>
        <w:t xml:space="preserve">), and ISO 21448 (SOTIF </w:t>
      </w:r>
      <w:r>
        <w:rPr>
          <w:rFonts w:ascii="Times New Roman" w:hAnsi="Times New Roman"/>
          <w:sz w:val="20"/>
        </w:rPr>
        <w:t>[125]</w:t>
      </w:r>
      <w:r>
        <w:rPr>
          <w:rFonts w:ascii="Times New Roman" w:hAnsi="Times New Roman"/>
          <w:b w:val="0"/>
          <w:i w:val="0"/>
          <w:sz w:val="20"/>
        </w:rPr>
        <w:t xml:space="preserve">) — do not prescribe estimation algorithms, but they define what a deployed estimator or controller must be able to evidence, and Table 10 translates the subset’s gaps into those terms. The mapping is this review’s synthesis at requirement level rather than clause level, and it is stated so that it can be checked against the standards texts themselves: the point is not legal advice but that a validation protocol reported in a paper corresponds, or does not, to evidence a safety case can use. The inference rule behind every ‘supports a standards argument’ statement in this section is explicit: a paper’s evidence can support such an argument only if it demonstrates performance on at least one held-out integration unit (a cross-cell holdout or stronger isolation protocol, Section 2.5) and reports the environment in which that evidence was obtained; by construction, within-cell and k-fold evidence cannot support the argument, because the safety case is about unseen cells and unseen duty. Three consequences stand out for automotive deployment. Within-cell and k-fold validation (17 primary papers) cannot support an ISO 26262 argument, because the safety case is about unseen cells and unseen duty and the protocol never tests an unseen unit; a standards argument must therefore be </w:t>
      </w:r>
      <w:r>
        <w:rPr>
          <w:rFonts w:ascii="Times New Roman" w:hAnsi="Times New Roman"/>
          <w:b w:val="0"/>
          <w:i/>
          <w:sz w:val="20"/>
        </w:rPr>
        <w:t>argued</w:t>
      </w:r>
      <w:r>
        <w:rPr>
          <w:rFonts w:ascii="Times New Roman" w:hAnsi="Times New Roman"/>
          <w:b w:val="0"/>
          <w:i w:val="0"/>
          <w:sz w:val="20"/>
        </w:rPr>
        <w:t xml:space="preserve"> from the isolation evidence, not </w:t>
      </w:r>
      <w:r>
        <w:rPr>
          <w:rFonts w:ascii="Times New Roman" w:hAnsi="Times New Roman"/>
          <w:b w:val="0"/>
          <w:i/>
          <w:sz w:val="20"/>
        </w:rPr>
        <w:t>asserted</w:t>
      </w:r>
      <w:r>
        <w:rPr>
          <w:rFonts w:ascii="Times New Roman" w:hAnsi="Times New Roman"/>
          <w:b w:val="0"/>
          <w:i w:val="0"/>
          <w:sz w:val="20"/>
        </w:rPr>
        <w:t xml:space="preserve"> from headline accuracy. Thermal-propagation early-warning latency is a timing requirement, so fault-detection papers evaluated on curated laboratory windows under-report both the false-alarm rate and the detection-delay distribution that the GB 38031-2025 / GTR-20 escape window needs. And charging or thermal control strategies validated only in simulation lack the hardware-in-the-loop evidence base an automotive release process expects. The reporting checklist of Section 9.9 is deliberately aligned with this mapping — reporting an isolation argument and a validation environment is the minimum on which any standards conversation can start.</w:t>
      </w:r>
    </w:p>
    <w:p>
      <w:pPr>
        <w:keepNext/>
        <w:spacing w:after="80"/>
        <w:jc w:val="left"/>
      </w:pPr>
      <w:r>
        <w:rPr>
          <w:rFonts w:ascii="Times New Roman" w:hAnsi="Times New Roman"/>
          <w:b w:val="0"/>
          <w:i w:val="0"/>
          <w:sz w:val="18"/>
        </w:rPr>
        <w:t>Table 10 Mapping BMS functions to requirements in UN GTR 20 (Amendment 1 thermal-propagation provisions, EVS-30-C01/Rev.4), GB 38031-2020/2025, ISO 26262:2018 with ISO/PAS 8800:2024, and ISO 21448 (SOTIF): what deployed ML components must be able to evidence. Regulatory statuses are stated as of the September 2026 retrieval date; throughout the table, a ‘strong protocol’ means the protocol-only definition of Section 2.5 (cross-cell, cross-chemistry, or cross-domain holdout, or online/real-vehicle demonstration). The mapping is this review’s synthesis at requirement level (not clause-level legal citation); the right-hand column gives the corresponding classified-subset primary-paper counts from Section 3.4.</w:t>
      </w:r>
    </w:p>
    <w:tbl>
      <w:tblPr>
        <w:tblStyle w:val="TableGrid"/>
        <w:tblW w:type="auto" w:w="0"/>
        <w:jc w:val="center"/>
        <w:tblLayout w:type="fixed"/>
        <w:tblLook w:firstColumn="1" w:firstRow="1" w:lastColumn="0" w:lastRow="0" w:noHBand="0" w:noVBand="1" w:val="04A0"/>
        <w:tblLayout w:type="fixed"/>
      </w:tblPr>
      <w:tblGrid>
        <w:gridCol w:w="1440"/>
        <w:gridCol w:w="3024"/>
        <w:gridCol w:w="2736"/>
      </w:tblGrid>
      <w:tr>
        <w:trPr>
          <w:cantSplit/>
          <w:tblHeader/>
        </w:trPr>
        <w:tc>
          <w:tcPr>
            <w:tcW w:type="dxa" w:w="1440"/>
          </w:tcPr>
          <w:p>
            <w:pPr>
              <w:jc w:val="center"/>
            </w:pPr>
            <w:r/>
            <w:r>
              <w:rPr>
                <w:rFonts w:ascii="Times New Roman" w:hAnsi="Times New Roman"/>
                <w:b/>
                <w:sz w:val="17"/>
              </w:rPr>
              <w:t>BMS function</w:t>
            </w:r>
          </w:p>
        </w:tc>
        <w:tc>
          <w:tcPr>
            <w:tcW w:type="dxa" w:w="3024"/>
          </w:tcPr>
          <w:p>
            <w:pPr>
              <w:jc w:val="center"/>
            </w:pPr>
            <w:r/>
            <w:r>
              <w:rPr>
                <w:rFonts w:ascii="Times New Roman" w:hAnsi="Times New Roman"/>
                <w:b/>
                <w:sz w:val="17"/>
              </w:rPr>
              <w:t>What the standard demands of a deployed function</w:t>
            </w:r>
          </w:p>
        </w:tc>
        <w:tc>
          <w:tcPr>
            <w:tcW w:type="dxa" w:w="2736"/>
          </w:tcPr>
          <w:p>
            <w:pPr>
              <w:jc w:val="center"/>
            </w:pPr>
            <w:r/>
            <w:r>
              <w:rPr>
                <w:rFonts w:ascii="Times New Roman" w:hAnsi="Times New Roman"/>
                <w:b/>
                <w:sz w:val="17"/>
              </w:rPr>
              <w:t>Current subset status</w:t>
            </w:r>
          </w:p>
        </w:tc>
      </w:tr>
      <w:tr>
        <w:trPr>
          <w:cantSplit/>
        </w:trPr>
        <w:tc>
          <w:tcPr>
            <w:tcW w:type="dxa" w:w="1440"/>
          </w:tcPr>
          <w:p>
            <w:pPr>
              <w:jc w:val="left"/>
            </w:pPr>
            <w:r/>
            <w:r>
              <w:rPr>
                <w:rFonts w:ascii="Times New Roman" w:hAnsi="Times New Roman"/>
                <w:b w:val="0"/>
                <w:i w:val="0"/>
                <w:sz w:val="17"/>
              </w:rPr>
              <w:t>SOC estimation</w:t>
            </w:r>
          </w:p>
        </w:tc>
        <w:tc>
          <w:tcPr>
            <w:tcW w:type="dxa" w:w="3024"/>
          </w:tcPr>
          <w:p>
            <w:r/>
            <w:r>
              <w:rPr>
                <w:rFonts w:ascii="Times New Roman" w:hAnsi="Times New Roman"/>
                <w:b w:val="0"/>
                <w:i w:val="0"/>
                <w:sz w:val="17"/>
              </w:rPr>
              <w:t xml:space="preserve">ISO 26262:2018 treats estimation error that can enable overcharge/overdischarge as an E/E-system safety hazard to be handled through the safety lifecycle; ISO/PAS 8800:2024 extends this to learned elements (assurance argument over data, model, and known insufficiencies); UN GTR 20 / GB 38031-2025 treat overcharge as an abuse-protection requirement </w:t>
            </w:r>
            <w:r>
              <w:rPr>
                <w:rFonts w:ascii="Times New Roman" w:hAnsi="Times New Roman"/>
                <w:sz w:val="17"/>
              </w:rPr>
              <w:t>[28]</w:t>
            </w:r>
            <w:r>
              <w:rPr>
                <w:rFonts w:ascii="Times New Roman" w:hAnsi="Times New Roman"/>
                <w:sz w:val="17"/>
              </w:rPr>
              <w:t>[29]</w:t>
            </w:r>
            <w:r>
              <w:rPr>
                <w:rFonts w:ascii="Times New Roman" w:hAnsi="Times New Roman"/>
                <w:sz w:val="17"/>
              </w:rPr>
              <w:t>[30]</w:t>
            </w:r>
          </w:p>
        </w:tc>
        <w:tc>
          <w:tcPr>
            <w:tcW w:type="dxa" w:w="2736"/>
          </w:tcPr>
          <w:p>
            <w:r/>
            <w:r>
              <w:rPr>
                <w:rFonts w:ascii="Times New Roman" w:hAnsi="Times New Roman"/>
                <w:b w:val="0"/>
                <w:i w:val="0"/>
                <w:sz w:val="17"/>
              </w:rPr>
              <w:t>3 of 13 SOC primary papers use a strong isolation protocol; none validate on real-vehicle data; 12 rest on laboratory-scale data</w:t>
            </w:r>
          </w:p>
        </w:tc>
      </w:tr>
      <w:tr>
        <w:trPr>
          <w:cantSplit/>
        </w:trPr>
        <w:tc>
          <w:tcPr>
            <w:tcW w:type="dxa" w:w="1440"/>
          </w:tcPr>
          <w:p>
            <w:pPr>
              <w:jc w:val="left"/>
            </w:pPr>
            <w:r/>
            <w:r>
              <w:rPr>
                <w:rFonts w:ascii="Times New Roman" w:hAnsi="Times New Roman"/>
                <w:b w:val="0"/>
                <w:i w:val="0"/>
                <w:sz w:val="17"/>
              </w:rPr>
              <w:t>SOH / RUL prognosis</w:t>
            </w:r>
          </w:p>
        </w:tc>
        <w:tc>
          <w:tcPr>
            <w:tcW w:type="dxa" w:w="3024"/>
          </w:tcPr>
          <w:p>
            <w:r/>
            <w:r>
              <w:rPr>
                <w:rFonts w:ascii="Times New Roman" w:hAnsi="Times New Roman"/>
                <w:b w:val="0"/>
                <w:i w:val="0"/>
                <w:sz w:val="17"/>
              </w:rPr>
              <w:t xml:space="preserve">Capacity and power fade margins underpin thermal-propagation early warning and end-of-service decisions; degradation assumptions must hold across chemistry, duty, and environment (ISO 26262 hazard analysis; ISO 21448 for performance limitations </w:t>
            </w:r>
            <w:r>
              <w:rPr>
                <w:rFonts w:ascii="Times New Roman" w:hAnsi="Times New Roman"/>
                <w:sz w:val="17"/>
              </w:rPr>
              <w:t>[125]</w:t>
            </w:r>
            <w:r>
              <w:rPr>
                <w:rFonts w:ascii="Times New Roman" w:hAnsi="Times New Roman"/>
                <w:b w:val="0"/>
                <w:i w:val="0"/>
                <w:sz w:val="17"/>
              </w:rPr>
              <w:t>)</w:t>
            </w:r>
          </w:p>
        </w:tc>
        <w:tc>
          <w:tcPr>
            <w:tcW w:type="dxa" w:w="2736"/>
          </w:tcPr>
          <w:p>
            <w:r/>
            <w:r>
              <w:rPr>
                <w:rFonts w:ascii="Times New Roman" w:hAnsi="Times New Roman"/>
                <w:b w:val="0"/>
                <w:i w:val="0"/>
                <w:sz w:val="17"/>
              </w:rPr>
              <w:t>20 of 32 SOH/RUL primary papers use a strong protocol; 4 use real-vehicle data; accuracy claims rest mostly on three public benchmarks (23 primary papers in the subset)</w:t>
            </w:r>
          </w:p>
        </w:tc>
      </w:tr>
      <w:tr>
        <w:trPr>
          <w:cantSplit/>
        </w:trPr>
        <w:tc>
          <w:tcPr>
            <w:tcW w:type="dxa" w:w="1440"/>
          </w:tcPr>
          <w:p>
            <w:pPr>
              <w:jc w:val="left"/>
            </w:pPr>
            <w:r/>
            <w:r>
              <w:rPr>
                <w:rFonts w:ascii="Times New Roman" w:hAnsi="Times New Roman"/>
                <w:b w:val="0"/>
                <w:i w:val="0"/>
                <w:sz w:val="17"/>
              </w:rPr>
              <w:t>Fault detection</w:t>
            </w:r>
          </w:p>
        </w:tc>
        <w:tc>
          <w:tcPr>
            <w:tcW w:type="dxa" w:w="3024"/>
          </w:tcPr>
          <w:p>
            <w:r/>
            <w:r>
              <w:rPr>
                <w:rFonts w:ascii="Times New Roman" w:hAnsi="Times New Roman"/>
                <w:b w:val="0"/>
                <w:i w:val="0"/>
                <w:sz w:val="17"/>
              </w:rPr>
              <w:t xml:space="preserve">Thermal-propagation early warning must provide the escape window: GB 38031-2025 requires a thermal-propagation warning ahead of hazard and no fire or explosion of the pack beyond the triggered cell, superseding GB 38031-2020’s five-minute pre-warning criterion; the GTR 20 Amendment 1 proposal (EVS-30-C01/Rev.4) carries a ≥5-min advance-warning requirement before cabin hazards, with test or risk-management compliance options </w:t>
            </w:r>
            <w:r>
              <w:rPr>
                <w:rFonts w:ascii="Times New Roman" w:hAnsi="Times New Roman"/>
                <w:sz w:val="17"/>
              </w:rPr>
              <w:t>[123]</w:t>
            </w:r>
            <w:r>
              <w:rPr>
                <w:rFonts w:ascii="Times New Roman" w:hAnsi="Times New Roman"/>
                <w:b w:val="0"/>
                <w:i w:val="0"/>
                <w:sz w:val="17"/>
              </w:rPr>
              <w:t xml:space="preserve">; coverage must be argued and audited (ISO/PAS 8800 assurance argument </w:t>
            </w:r>
            <w:r>
              <w:rPr>
                <w:rFonts w:ascii="Times New Roman" w:hAnsi="Times New Roman"/>
                <w:sz w:val="17"/>
              </w:rPr>
              <w:t>[124]</w:t>
            </w:r>
            <w:r>
              <w:rPr>
                <w:rFonts w:ascii="Times New Roman" w:hAnsi="Times New Roman"/>
                <w:b w:val="0"/>
                <w:i w:val="0"/>
                <w:sz w:val="17"/>
              </w:rPr>
              <w:t>)</w:t>
            </w:r>
          </w:p>
        </w:tc>
        <w:tc>
          <w:tcPr>
            <w:tcW w:type="dxa" w:w="2736"/>
          </w:tcPr>
          <w:p>
            <w:r/>
            <w:r>
              <w:rPr>
                <w:rFonts w:ascii="Times New Roman" w:hAnsi="Times New Roman"/>
                <w:b w:val="0"/>
                <w:i w:val="0"/>
                <w:sz w:val="17"/>
              </w:rPr>
              <w:t>2 of 7 fault/safety primary papers validate online on fleet data; detection-latency and false-alarm distributions are rarely reported</w:t>
            </w:r>
          </w:p>
        </w:tc>
      </w:tr>
      <w:tr>
        <w:trPr>
          <w:cantSplit/>
        </w:trPr>
        <w:tc>
          <w:tcPr>
            <w:tcW w:type="dxa" w:w="1440"/>
          </w:tcPr>
          <w:p>
            <w:pPr>
              <w:jc w:val="left"/>
            </w:pPr>
            <w:r/>
            <w:r>
              <w:rPr>
                <w:rFonts w:ascii="Times New Roman" w:hAnsi="Times New Roman"/>
                <w:b w:val="0"/>
                <w:i w:val="0"/>
                <w:sz w:val="17"/>
              </w:rPr>
              <w:t>Charging control</w:t>
            </w:r>
          </w:p>
        </w:tc>
        <w:tc>
          <w:tcPr>
            <w:tcW w:type="dxa" w:w="3024"/>
          </w:tcPr>
          <w:p>
            <w:r/>
            <w:r>
              <w:rPr>
                <w:rFonts w:ascii="Times New Roman" w:hAnsi="Times New Roman"/>
                <w:b w:val="0"/>
                <w:i w:val="0"/>
                <w:sz w:val="17"/>
              </w:rPr>
              <w:t>Overcharge, over-temperature, and thermal-cycling limits are hard constraints under GB 38031-2020/2025; adaptive strategies must be bounded by protection envelopes and argued in the safety case</w:t>
            </w:r>
          </w:p>
        </w:tc>
        <w:tc>
          <w:tcPr>
            <w:tcW w:type="dxa" w:w="2736"/>
          </w:tcPr>
          <w:p>
            <w:r/>
            <w:r>
              <w:rPr>
                <w:rFonts w:ascii="Times New Roman" w:hAnsi="Times New Roman"/>
                <w:b w:val="0"/>
                <w:i w:val="0"/>
                <w:sz w:val="17"/>
              </w:rPr>
              <w:t>0 of 8 charging primary papers use a strong protocol; 4 demonstrate on laboratory hardware, none online</w:t>
            </w:r>
          </w:p>
        </w:tc>
      </w:tr>
      <w:tr>
        <w:trPr>
          <w:cantSplit/>
        </w:trPr>
        <w:tc>
          <w:tcPr>
            <w:tcW w:type="dxa" w:w="1440"/>
          </w:tcPr>
          <w:p>
            <w:pPr>
              <w:jc w:val="left"/>
            </w:pPr>
            <w:r/>
            <w:r>
              <w:rPr>
                <w:rFonts w:ascii="Times New Roman" w:hAnsi="Times New Roman"/>
                <w:b w:val="0"/>
                <w:i w:val="0"/>
                <w:sz w:val="17"/>
              </w:rPr>
              <w:t>Thermal management</w:t>
            </w:r>
          </w:p>
        </w:tc>
        <w:tc>
          <w:tcPr>
            <w:tcW w:type="dxa" w:w="3024"/>
          </w:tcPr>
          <w:p>
            <w:r/>
            <w:r>
              <w:rPr>
                <w:rFonts w:ascii="Times New Roman" w:hAnsi="Times New Roman"/>
                <w:b w:val="0"/>
                <w:i w:val="0"/>
                <w:sz w:val="17"/>
              </w:rPr>
              <w:t>Temperature-gradient and propagation-containment requirements after fast-charge or abuse (GB 38031-2025 thermal diffusion, bottom-impact, fast-charge-cycle tests); the cooling function must be verified on hardware</w:t>
            </w:r>
          </w:p>
        </w:tc>
        <w:tc>
          <w:tcPr>
            <w:tcW w:type="dxa" w:w="2736"/>
          </w:tcPr>
          <w:p>
            <w:r/>
            <w:r>
              <w:rPr>
                <w:rFonts w:ascii="Times New Roman" w:hAnsi="Times New Roman"/>
                <w:b w:val="0"/>
                <w:i w:val="0"/>
                <w:sz w:val="17"/>
              </w:rPr>
              <w:t>0 of 7 thermal primary papers use a strong protocol; 2 exercise laboratory hardware; no learned control loop is validated on hardware</w:t>
            </w:r>
          </w:p>
        </w:tc>
      </w:tr>
    </w:tbl>
    <w:p>
      <w:pPr>
        <w:spacing w:after="120"/>
        <w:jc w:val="both"/>
      </w:pP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corpus's first LLM-based management studies (2025–2026, with LLM-based estimation prior art that this review’s retrieval missed — Section 8.4) </w:t>
      </w:r>
      <w:r>
        <w:rPr>
          <w:rFonts w:ascii="Times New Roman" w:hAnsi="Times New Roman"/>
          <w:sz w:val="20"/>
        </w:rPr>
        <w:t>[14, 15]</w:t>
      </w:r>
      <w:r>
        <w:rPr>
          <w:rFonts w:ascii="Times New Roman" w:hAnsi="Times New Roman"/>
          <w:b w:val="0"/>
          <w:i w:val="0"/>
          <w:sz w:val="20"/>
        </w:rPr>
        <w:t xml:space="preserve"> suggest a division of labor worth formalizing — with the caveat that HA-LLM </w:t>
      </w:r>
      <w:r>
        <w:rPr>
          <w:rFonts w:ascii="Times New Roman" w:hAnsi="Times New Roman"/>
          <w:sz w:val="20"/>
        </w:rPr>
        <w:t>[15]</w:t>
      </w:r>
      <w:r>
        <w:rPr>
          <w:rFonts w:ascii="Times New Roman" w:hAnsi="Times New Roman"/>
          <w:b w:val="0"/>
          <w:i w:val="0"/>
          <w:sz w:val="20"/>
        </w:rPr>
        <w:t xml:space="preserve"> already occupies the estimator seat under exactly the guardrails proposed here: foundation models as reasoning, orchestration, and human-interface layers, and as estimators only where uncertainty-gated and protected by physics-fallback substitution;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 read at both levels of the evidence base. Cell balancing is the smallest core function both in the curated subset (2 papers) and in the quota-free eligible pool (38 of 799 tagged records, Section 3.3), so its under-representation is a property of the retrieved literature rather than of the quotas; ML has so far contributed mainly at the level of pack-level insight rather than as a balancing controller </w:t>
      </w:r>
      <w:r>
        <w:rPr>
          <w:rFonts w:ascii="Times New Roman" w:hAnsi="Times New Roman"/>
          <w:sz w:val="20"/>
        </w:rPr>
        <w:t>[31]</w:t>
      </w:r>
      <w:r>
        <w:rPr>
          <w:rFonts w:ascii="Times New Roman" w:hAnsi="Times New Roman"/>
          <w:b w:val="0"/>
          <w:i w:val="0"/>
          <w:sz w:val="20"/>
        </w:rPr>
        <w:t xml:space="preserve">. Thermal management is not scarce as a theme in the pool (99 tagged records), but closed-loop thermal control has not yet been demonstrated on hardware in the subset, and the cluster remains simulation-dominated </w:t>
      </w:r>
      <w:r>
        <w:rPr>
          <w:rFonts w:ascii="Times New Roman" w:hAnsi="Times New Roman"/>
          <w:sz w:val="20"/>
        </w:rPr>
        <w:t>[25]</w:t>
      </w:r>
      <w:r>
        <w:rPr>
          <w:rFonts w:ascii="Times New Roman" w:hAnsi="Times New Roman"/>
          <w:b w:val="0"/>
          <w:i w:val="0"/>
          <w:sz w:val="20"/>
        </w:rPr>
        <w:t xml:space="preserve"> — the deficit is evidential, not topical. Charging control needs certifiable adaptive protocols. These functions share a property that explains the pattern: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11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of 88 primary papers use within-cell or k-fold validation; 8 of 88 primary papers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Two-pole data fragmentation</w:t>
            </w:r>
          </w:p>
        </w:tc>
        <w:tc>
          <w:tcPr>
            <w:tcW w:type="dxa" w:w="3672"/>
          </w:tcPr>
          <w:p>
            <w:r/>
            <w:r>
              <w:rPr>
                <w:rFonts w:ascii="Times New Roman" w:hAnsi="Times New Roman"/>
                <w:b w:val="0"/>
                <w:i w:val="0"/>
                <w:sz w:val="17"/>
              </w:rPr>
              <w:t>23 primary papers on three public benchmarks; 36 on rarely released private laboratory cells</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Subset’s 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smallest core function in subset (2 papers) and pool (38 of 799 tagged); closed-loop thermal control not yet shown on hardware</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Position relative to prior reviews</w:t>
      </w:r>
    </w:p>
    <w:p>
      <w:pPr>
        <w:spacing w:after="160"/>
        <w:jc w:val="both"/>
      </w:pPr>
      <w:r>
        <w:rPr>
          <w:rFonts w:ascii="Times New Roman" w:hAnsi="Times New Roman"/>
          <w:b w:val="0"/>
          <w:i w:val="0"/>
          <w:sz w:val="20"/>
        </w:rPr>
        <w:t xml:space="preserve">Section 1.3 situated this review against the function-specific and method-specific reviews that dominate the field; the positioning deserves its own statement because reviewers and readers routinely ask what a new review adds when several exist. 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(240 studies, included from 361 screened records, across the EV powertrain, aggregating reported RMSE and R²); adjacent cross-functional surveys exist for degradation and estimation methods. This review is distinguished by what those studies do not attempt, and Table 12 states the comparison axis by axis: a two-tier corpus with record-level screening provenance (799 eligible records released in full, 103 classified in depth); a within-corpus measurement of validation-protocol strength across functions, with per-paper assignments released and method-family contrasts tested rather than asserted; a requirement-level mapping onto UN GTR 20, GB 38031, and ISO 26262; and a released, re-runnable analysis pipeline behind every count and figure. Where prior reviews ask </w:t>
      </w:r>
      <w:r>
        <w:rPr>
          <w:rFonts w:ascii="Times New Roman" w:hAnsi="Times New Roman"/>
          <w:b w:val="0"/>
          <w:i/>
          <w:sz w:val="20"/>
        </w:rPr>
        <w:t>which method works best for function X</w:t>
      </w:r>
      <w:r>
        <w:rPr>
          <w:rFonts w:ascii="Times New Roman" w:hAnsi="Times New Roman"/>
          <w:b w:val="0"/>
          <w:i w:val="0"/>
          <w:sz w:val="20"/>
        </w:rPr>
        <w:t xml:space="preserve">, this review asks </w:t>
      </w:r>
      <w:r>
        <w:rPr>
          <w:rFonts w:ascii="Times New Roman" w:hAnsi="Times New Roman"/>
          <w:b w:val="0"/>
          <w:i/>
          <w:sz w:val="20"/>
        </w:rPr>
        <w:t>which claims can actually be checked — and what it would cost the reader to trust them</w:t>
      </w:r>
      <w:r>
        <w:rPr>
          <w:rFonts w:ascii="Times New Roman" w:hAnsi="Times New Roman"/>
          <w:b w:val="0"/>
          <w:i w:val="0"/>
          <w:sz w:val="20"/>
        </w:rPr>
        <w:t xml:space="preserve"> — which is the question a scoping review with a curated classified subset is positioned to answer, and the question that performance-centric aggregation cannot ask of itself.</w:t>
      </w:r>
    </w:p>
    <w:p>
      <w:pPr>
        <w:keepNext/>
        <w:spacing w:after="80"/>
        <w:jc w:val="left"/>
      </w:pPr>
      <w:r>
        <w:rPr>
          <w:rFonts w:ascii="Times New Roman" w:hAnsi="Times New Roman"/>
          <w:b w:val="0"/>
          <w:i w:val="0"/>
          <w:sz w:val="18"/>
        </w:rPr>
        <w:t>Table 12 Position relative to prior reviews. “Prasanna 2026” denotes the 2026 performance-centric ML review of EV powertrains with BMS and charging scope (240 studies, included from 361 screened records; aggregated reported RMSE/R²). The function-specific and method-specific reviews named in Section 1.3 cover single functions or methods, so none of them, to our knowledge, addresses the axes below; the comparison is per axis, not per review. This review differs most in the validation measurement (within a curated subset), standards linkage, and released record-level artifacts.</w:t>
      </w:r>
    </w:p>
    <w:tbl>
      <w:tblPr>
        <w:tblStyle w:val="TableGrid"/>
        <w:tblW w:type="auto" w:w="0"/>
        <w:jc w:val="center"/>
        <w:tblLayout w:type="fixed"/>
        <w:tblLook w:firstColumn="1" w:firstRow="1" w:lastColumn="0" w:lastRow="0" w:noHBand="0" w:noVBand="1" w:val="04A0"/>
        <w:tblLayout w:type="fixed"/>
      </w:tblPr>
      <w:tblGrid>
        <w:gridCol w:w="1296"/>
        <w:gridCol w:w="2808"/>
        <w:gridCol w:w="3096"/>
      </w:tblGrid>
      <w:tr>
        <w:trPr>
          <w:cantSplit/>
          <w:tblHeader/>
        </w:trPr>
        <w:tc>
          <w:tcPr>
            <w:tcW w:type="dxa" w:w="1296"/>
          </w:tcPr>
          <w:p>
            <w:pPr>
              <w:jc w:val="center"/>
            </w:pPr>
            <w:r/>
            <w:r>
              <w:rPr>
                <w:rFonts w:ascii="Times New Roman" w:hAnsi="Times New Roman"/>
                <w:b/>
                <w:sz w:val="17"/>
              </w:rPr>
              <w:t>Axis</w:t>
            </w:r>
          </w:p>
        </w:tc>
        <w:tc>
          <w:tcPr>
            <w:tcW w:type="dxa" w:w="2808"/>
          </w:tcPr>
          <w:p>
            <w:pPr>
              <w:jc w:val="center"/>
            </w:pPr>
            <w:r/>
            <w:r>
              <w:rPr>
                <w:rFonts w:ascii="Times New Roman" w:hAnsi="Times New Roman"/>
                <w:b/>
                <w:sz w:val="17"/>
              </w:rPr>
              <w:t>This review</w:t>
            </w:r>
          </w:p>
        </w:tc>
        <w:tc>
          <w:tcPr>
            <w:tcW w:type="dxa" w:w="3096"/>
          </w:tcPr>
          <w:p>
            <w:pPr>
              <w:jc w:val="center"/>
            </w:pPr>
            <w:r/>
            <w:r>
              <w:rPr>
                <w:rFonts w:ascii="Times New Roman" w:hAnsi="Times New Roman"/>
                <w:b/>
                <w:sz w:val="17"/>
              </w:rPr>
              <w:t>Prior cross-functional / powertrain reviews</w:t>
            </w:r>
          </w:p>
        </w:tc>
      </w:tr>
      <w:tr>
        <w:trPr>
          <w:cantSplit/>
        </w:trPr>
        <w:tc>
          <w:tcPr>
            <w:tcW w:type="dxa" w:w="1296"/>
          </w:tcPr>
          <w:p>
            <w:pPr>
              <w:jc w:val="left"/>
            </w:pPr>
            <w:r/>
            <w:r>
              <w:rPr>
                <w:rFonts w:ascii="Times New Roman" w:hAnsi="Times New Roman"/>
                <w:b w:val="0"/>
                <w:i w:val="0"/>
                <w:sz w:val="17"/>
              </w:rPr>
              <w:t>Corpus</w:t>
            </w:r>
          </w:p>
        </w:tc>
        <w:tc>
          <w:tcPr>
            <w:tcW w:type="dxa" w:w="2808"/>
          </w:tcPr>
          <w:p>
            <w:r/>
            <w:r>
              <w:rPr>
                <w:rFonts w:ascii="Times New Roman" w:hAnsi="Times New Roman"/>
                <w:b w:val="0"/>
                <w:i w:val="0"/>
                <w:sz w:val="17"/>
              </w:rPr>
              <w:t>Two-tier: 799 rule-based eligible records + 103 classified subset</w:t>
            </w:r>
          </w:p>
        </w:tc>
        <w:tc>
          <w:tcPr>
            <w:tcW w:type="dxa" w:w="3096"/>
          </w:tcPr>
          <w:p>
            <w:r/>
            <w:r>
              <w:rPr>
                <w:rFonts w:ascii="Times New Roman" w:hAnsi="Times New Roman"/>
                <w:b w:val="0"/>
                <w:i w:val="0"/>
                <w:sz w:val="17"/>
              </w:rPr>
              <w:t>Fixed study lists; no record-level selection provenance in the works we examined</w:t>
            </w:r>
          </w:p>
        </w:tc>
      </w:tr>
      <w:tr>
        <w:trPr>
          <w:cantSplit/>
        </w:trPr>
        <w:tc>
          <w:tcPr>
            <w:tcW w:type="dxa" w:w="1296"/>
          </w:tcPr>
          <w:p>
            <w:pPr>
              <w:jc w:val="left"/>
            </w:pPr>
            <w:r/>
            <w:r>
              <w:rPr>
                <w:rFonts w:ascii="Times New Roman" w:hAnsi="Times New Roman"/>
                <w:b w:val="0"/>
                <w:i w:val="0"/>
                <w:sz w:val="17"/>
              </w:rPr>
              <w:t>Validation analysis</w:t>
            </w:r>
          </w:p>
        </w:tc>
        <w:tc>
          <w:tcPr>
            <w:tcW w:type="dxa" w:w="2808"/>
          </w:tcPr>
          <w:p>
            <w:r/>
            <w:r>
              <w:rPr>
                <w:rFonts w:ascii="Times New Roman" w:hAnsi="Times New Roman"/>
                <w:b w:val="0"/>
                <w:i w:val="0"/>
                <w:sz w:val="17"/>
              </w:rPr>
              <w:t>Protocol classes defined, per-paper assignments released, method-family contrast tested with sensitivity ranges; within-corpus measurement, not a field census</w:t>
            </w:r>
          </w:p>
        </w:tc>
        <w:tc>
          <w:tcPr>
            <w:tcW w:type="dxa" w:w="3096"/>
          </w:tcPr>
          <w:p>
            <w:r/>
            <w:r>
              <w:rPr>
                <w:rFonts w:ascii="Times New Roman" w:hAnsi="Times New Roman"/>
                <w:b w:val="0"/>
                <w:i w:val="0"/>
                <w:sz w:val="17"/>
              </w:rPr>
              <w:t>Narrative remarks on data scarcity; protocol strength not quantified, to our knowledge</w:t>
            </w:r>
          </w:p>
        </w:tc>
      </w:tr>
      <w:tr>
        <w:trPr>
          <w:cantSplit/>
        </w:trPr>
        <w:tc>
          <w:tcPr>
            <w:tcW w:type="dxa" w:w="1296"/>
          </w:tcPr>
          <w:p>
            <w:pPr>
              <w:jc w:val="left"/>
            </w:pPr>
            <w:r/>
            <w:r>
              <w:rPr>
                <w:rFonts w:ascii="Times New Roman" w:hAnsi="Times New Roman"/>
                <w:b w:val="0"/>
                <w:i w:val="0"/>
                <w:sz w:val="17"/>
              </w:rPr>
              <w:t>Standards linkage</w:t>
            </w:r>
          </w:p>
        </w:tc>
        <w:tc>
          <w:tcPr>
            <w:tcW w:type="dxa" w:w="2808"/>
          </w:tcPr>
          <w:p>
            <w:r/>
            <w:r>
              <w:rPr>
                <w:rFonts w:ascii="Times New Roman" w:hAnsi="Times New Roman"/>
                <w:b w:val="0"/>
                <w:i w:val="0"/>
                <w:sz w:val="17"/>
              </w:rPr>
              <w:t>Function-to-requirement mapping vs. UN GTR 20, GB 38031-2020/2025, ISO 26262:2018, ISO/PAS 8800:2024</w:t>
            </w:r>
          </w:p>
        </w:tc>
        <w:tc>
          <w:tcPr>
            <w:tcW w:type="dxa" w:w="3096"/>
          </w:tcPr>
          <w:p>
            <w:r/>
            <w:r>
              <w:rPr>
                <w:rFonts w:ascii="Times New Roman" w:hAnsi="Times New Roman"/>
                <w:b w:val="0"/>
                <w:i w:val="0"/>
                <w:sz w:val="17"/>
              </w:rPr>
              <w:t>Not addressed or addressed qualitatively</w:t>
            </w:r>
          </w:p>
        </w:tc>
      </w:tr>
      <w:tr>
        <w:trPr>
          <w:cantSplit/>
        </w:trPr>
        <w:tc>
          <w:tcPr>
            <w:tcW w:type="dxa" w:w="1296"/>
          </w:tcPr>
          <w:p>
            <w:pPr>
              <w:jc w:val="left"/>
            </w:pPr>
            <w:r/>
            <w:r>
              <w:rPr>
                <w:rFonts w:ascii="Times New Roman" w:hAnsi="Times New Roman"/>
                <w:b w:val="0"/>
                <w:i w:val="0"/>
                <w:sz w:val="17"/>
              </w:rPr>
              <w:t>Recommendations</w:t>
            </w:r>
          </w:p>
        </w:tc>
        <w:tc>
          <w:tcPr>
            <w:tcW w:type="dxa" w:w="2808"/>
          </w:tcPr>
          <w:p>
            <w:r/>
            <w:r>
              <w:rPr>
                <w:rFonts w:ascii="Times New Roman" w:hAnsi="Times New Roman"/>
                <w:b w:val="0"/>
                <w:i w:val="0"/>
                <w:sz w:val="17"/>
              </w:rPr>
              <w:t>Twelve-item reporting checklist (BMS-ML-RC) + six research directions</w:t>
            </w:r>
          </w:p>
        </w:tc>
        <w:tc>
          <w:tcPr>
            <w:tcW w:type="dxa" w:w="3096"/>
          </w:tcPr>
          <w:p>
            <w:r/>
            <w:r>
              <w:rPr>
                <w:rFonts w:ascii="Times New Roman" w:hAnsi="Times New Roman"/>
                <w:b w:val="0"/>
                <w:i w:val="0"/>
                <w:sz w:val="17"/>
              </w:rPr>
              <w:t>General future-work statements</w:t>
            </w:r>
          </w:p>
        </w:tc>
      </w:tr>
      <w:tr>
        <w:trPr>
          <w:cantSplit/>
        </w:trPr>
        <w:tc>
          <w:tcPr>
            <w:tcW w:type="dxa" w:w="1296"/>
          </w:tcPr>
          <w:p>
            <w:pPr>
              <w:jc w:val="left"/>
            </w:pPr>
            <w:r/>
            <w:r>
              <w:rPr>
                <w:rFonts w:ascii="Times New Roman" w:hAnsi="Times New Roman"/>
                <w:b w:val="0"/>
                <w:i w:val="0"/>
                <w:sz w:val="17"/>
              </w:rPr>
              <w:t>Reproducibility</w:t>
            </w:r>
          </w:p>
        </w:tc>
        <w:tc>
          <w:tcPr>
            <w:tcW w:type="dxa" w:w="2808"/>
          </w:tcPr>
          <w:p>
            <w:r/>
            <w:r>
              <w:rPr>
                <w:rFonts w:ascii="Times New Roman" w:hAnsi="Times New Roman"/>
                <w:b w:val="0"/>
                <w:i w:val="0"/>
                <w:sz w:val="17"/>
              </w:rPr>
              <w:t>Released papers.csv, screening provenance, codebook, and statistics scripts</w:t>
            </w:r>
          </w:p>
        </w:tc>
        <w:tc>
          <w:tcPr>
            <w:tcW w:type="dxa" w:w="3096"/>
          </w:tcPr>
          <w:p>
            <w:r/>
            <w:r>
              <w:rPr>
                <w:rFonts w:ascii="Times New Roman" w:hAnsi="Times New Roman"/>
                <w:b w:val="0"/>
                <w:i w:val="0"/>
                <w:sz w:val="17"/>
              </w:rPr>
              <w:t>No released record-level dataset that we could locate</w:t>
            </w:r>
          </w:p>
        </w:tc>
      </w:tr>
    </w:tbl>
    <w:p>
      <w:pPr>
        <w:spacing w:after="120"/>
        <w:jc w:val="both"/>
      </w:pPr>
    </w:p>
    <w:p>
      <w:pPr>
        <w:keepNext/>
        <w:spacing w:after="80"/>
        <w:jc w:val="left"/>
      </w:pPr>
      <w:r>
        <w:rPr>
          <w:rFonts w:ascii="Times New Roman" w:hAnsi="Times New Roman"/>
          <w:b/>
          <w:i w:val="0"/>
          <w:sz w:val="20"/>
        </w:rPr>
        <w:t>9.8 Outlook: what the next revision cycle of this literature should produce</w:t>
      </w:r>
    </w:p>
    <w:p>
      <w:pPr>
        <w:spacing w:after="160"/>
        <w:jc w:val="both"/>
      </w:pPr>
      <w:r>
        <w:rPr>
          <w:rFonts w:ascii="Times New Roman" w:hAnsi="Times New Roman"/>
          <w:b w:val="0"/>
          <w:i w:val="0"/>
          <w:sz w:val="20"/>
        </w:rPr>
        <w:t xml:space="preserve">Concretely, and tied to the gaps above, the highest-value near-term work falls in six directions. (a) </w:t>
      </w:r>
      <w:r>
        <w:rPr>
          <w:rFonts w:ascii="Times New Roman" w:hAnsi="Times New Roman"/>
          <w:b w:val="0"/>
          <w:i/>
          <w:sz w:val="20"/>
        </w:rPr>
        <w:t>Duty-cycle-aware validation</w:t>
      </w:r>
      <w:r>
        <w:rPr>
          <w:rFonts w:ascii="Times New Roman" w:hAnsi="Times New Roman"/>
          <w:b w:val="0"/>
          <w:i w:val="0"/>
          <w:sz w:val="20"/>
        </w:rPr>
        <w:t xml:space="preserve">: public cross-cell benchmarks that pair cycling data with recorded EV drive profiles, so that cross-chemistry and cross-domain generalization can be tested against transportation duty rather than laboratory schedules. (b) </w:t>
      </w:r>
      <w:r>
        <w:rPr>
          <w:rFonts w:ascii="Times New Roman" w:hAnsi="Times New Roman"/>
          <w:b w:val="0"/>
          <w:i/>
          <w:sz w:val="20"/>
        </w:rPr>
        <w:t>Federated fleet evidence</w:t>
      </w:r>
      <w:r>
        <w:rPr>
          <w:rFonts w:ascii="Times New Roman" w:hAnsi="Times New Roman"/>
          <w:b w:val="0"/>
          <w:i w:val="0"/>
          <w:sz w:val="20"/>
        </w:rPr>
        <w:t xml:space="preserve">: privacy-preserving SOH/SOC studies over live fleets (about 2% of the eligible corpus today), with the 179-cell pipeline </w:t>
      </w:r>
      <w:r>
        <w:rPr>
          <w:rFonts w:ascii="Times New Roman" w:hAnsi="Times New Roman"/>
          <w:sz w:val="20"/>
        </w:rPr>
        <w:t>[64]</w:t>
      </w:r>
      <w:r>
        <w:rPr>
          <w:rFonts w:ascii="Times New Roman" w:hAnsi="Times New Roman"/>
          <w:b w:val="0"/>
          <w:i w:val="0"/>
          <w:sz w:val="20"/>
        </w:rPr>
        <w:t xml:space="preserve"> as the template. (c) </w:t>
      </w:r>
      <w:r>
        <w:rPr>
          <w:rFonts w:ascii="Times New Roman" w:hAnsi="Times New Roman"/>
          <w:b w:val="0"/>
          <w:i/>
          <w:sz w:val="20"/>
        </w:rPr>
        <w:t>Benchmark diversification</w:t>
      </w:r>
      <w:r>
        <w:rPr>
          <w:rFonts w:ascii="Times New Roman" w:hAnsi="Times New Roman"/>
          <w:b w:val="0"/>
          <w:i w:val="0"/>
          <w:sz w:val="20"/>
        </w:rPr>
        <w:t xml:space="preserve">: multi-institution cycling campaigns two orders of magnitude larger than MATR/NASA/CALCE and released with DOI-backed artifacts, addressing the two-pole fragmentation of Section 3.4. (d) </w:t>
      </w:r>
      <w:r>
        <w:rPr>
          <w:rFonts w:ascii="Times New Roman" w:hAnsi="Times New Roman"/>
          <w:b w:val="0"/>
          <w:i/>
          <w:sz w:val="20"/>
        </w:rPr>
        <w:t>Pack- and vehicle-level ML</w:t>
      </w:r>
      <w:r>
        <w:rPr>
          <w:rFonts w:ascii="Times New Roman" w:hAnsi="Times New Roman"/>
          <w:b w:val="0"/>
          <w:i w:val="0"/>
          <w:sz w:val="20"/>
        </w:rPr>
        <w:t xml:space="preserve">: estimation validated at the integration level where UN GTR 20 and GB 38031 requirements bite, instead of cell-level evidence transplanted upward. (e) </w:t>
      </w:r>
      <w:r>
        <w:rPr>
          <w:rFonts w:ascii="Times New Roman" w:hAnsi="Times New Roman"/>
          <w:b w:val="0"/>
          <w:i/>
          <w:sz w:val="20"/>
        </w:rPr>
        <w:t>Functionally safe learning</w:t>
      </w:r>
      <w:r>
        <w:rPr>
          <w:rFonts w:ascii="Times New Roman" w:hAnsi="Times New Roman"/>
          <w:b w:val="0"/>
          <w:i w:val="0"/>
          <w:sz w:val="20"/>
        </w:rPr>
        <w:t xml:space="preserve">: ML estimators whose uncertainty handling and assurance arguments are specified against ISO 26262 safety goals and ISO/PAS 8800, with ISO 21448/SOTIF reasoning for capability limitations, making certifiable charging and thermal control reachable. And (f) </w:t>
      </w:r>
      <w:r>
        <w:rPr>
          <w:rFonts w:ascii="Times New Roman" w:hAnsi="Times New Roman"/>
          <w:b w:val="0"/>
          <w:i/>
          <w:sz w:val="20"/>
        </w:rPr>
        <w:t>honest foundation-model integration</w:t>
      </w:r>
      <w:r>
        <w:rPr>
          <w:rFonts w:ascii="Times New Roman" w:hAnsi="Times New Roman"/>
          <w:b w:val="0"/>
          <w:i w:val="0"/>
          <w:sz w:val="20"/>
        </w:rPr>
        <w:t xml:space="preserve">: retrieval-grounded LLM agents with published latency and calibration budgets, capable of the coordination role while estimation authority stays with calibrated numeric models — extending, not contradicting, the corpus’s LLM estimator </w:t>
      </w:r>
      <w:r>
        <w:rPr>
          <w:rFonts w:ascii="Times New Roman" w:hAnsi="Times New Roman"/>
          <w:sz w:val="20"/>
        </w:rPr>
        <w:t>[15]</w:t>
      </w:r>
      <w:r>
        <w:rPr>
          <w:rFonts w:ascii="Times New Roman" w:hAnsi="Times New Roman"/>
          <w:b w:val="0"/>
          <w:i w:val="0"/>
          <w:sz w:val="20"/>
        </w:rPr>
        <w:t>. A guardrail on all six directions: the BMS-ML-RC checklist of Section 9.9 is designed to be attached to a paper at submission, so that the next revision cycle of this literature arrives auditable by construction.</w:t>
      </w:r>
    </w:p>
    <w:p>
      <w:pPr>
        <w:keepNext/>
        <w:spacing w:after="80"/>
        <w:jc w:val="left"/>
      </w:pPr>
      <w:r>
        <w:rPr>
          <w:rFonts w:ascii="Times New Roman" w:hAnsi="Times New Roman"/>
          <w:b/>
          <w:i w:val="0"/>
          <w:sz w:val="20"/>
        </w:rPr>
        <w:t>9.9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13 proposes a twelve-item BMS-ML reporting checklist: the minimum metadata a study should disclose for its accuracy claims to be comparable, reproducible, and poolable in future syntheses. None of the items is onerous. Items 4, 5, and 11 operationalize the validation-protocol classes that the corpus analysis measured directly (Section 3.4); the remaining items respond to reporting omissions observed qualitatively across Sections 3–8 — undisclosed splits, uncalibrated uncertainty, unnamed datasets, unquantified compute — but only the validation, data-source, and artifact items are score-measured in this corpus, and the checklist has not been applied as an audit to all 103 studies. We suggest journals adopt it as a submission checklist and that authors attach it to their released datasets.</w:t>
      </w:r>
    </w:p>
    <w:p>
      <w:pPr>
        <w:keepNext/>
        <w:spacing w:after="80"/>
        <w:jc w:val="left"/>
      </w:pPr>
      <w:r>
        <w:rPr>
          <w:rFonts w:ascii="Times New Roman" w:hAnsi="Times New Roman"/>
          <w:b w:val="0"/>
          <w:i w:val="0"/>
          <w:sz w:val="18"/>
        </w:rPr>
        <w:t>Table 13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dating follows the cited studies’ publication years and is therefore citation- and retrieval-conditioned (Sections 2.2 and 3.1):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[64]</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116]</w:t>
      </w:r>
      <w:r>
        <w:rPr>
          <w:rFonts w:ascii="Times New Roman" w:hAnsi="Times New Roman"/>
          <w:b w:val="0"/>
          <w:i w:val="0"/>
          <w:sz w:val="18"/>
        </w:rPr>
        <w:t xml:space="preserve">, optimization-augmented and transfer learning </w:t>
      </w:r>
      <w:r>
        <w:rPr>
          <w:rFonts w:ascii="Times New Roman" w:hAnsi="Times New Roman"/>
          <w:sz w:val="18"/>
        </w:rPr>
        <w:t>[87, 97]</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corpus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machine learning in battery management on a two-tier evidence base: a rule-based eligible corpus of 799 journal articles from which field-level shares are measured within a documented capped retrieval, and an in-depth classified subset of 103 studies through which method, data, and validation practice are examined with a blind 30-paper reliability check and label-noise sensitivity ranges. Three conclusions stand out. First, within the classified subset the method families stratify cleanly by period: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measured as shares of the eligible corpus, the SOC–SOH–prognostics union covers about half of eligible records, where learning systems report laboratory-regime success — on metrics that this review argues cannot be pooled across papers (Section 5.6) — while control functions (charging, thermal, balancing) remain demonstrably transformable but under-evidenced for deployment, and vehicle- and pack-level practice stays thin relative to the level at which UN GTR 20, GB 38031, and ISO 26262 pose their requirements (Section 9.4). Third, and most critically, the subset’s published accuracy claims have outpaced the validation evidence behind them: online or fleet-level demonstration appears in fewer than one primary study in ten, 17 of 88 primary papers use isolation-weakened splits, benchmark concentration and private-data fragmentation distort the apparent state of the art, and the favored remedy — physics-informed architecture — shows no detectable substitution for validation rigor in these counts: physics-informed papers use strong protocols at rates statistically indistinguishable from data-driven peers (36% versus 52% under the protocol-only definition, p = 0.32; 59% versus 74% under the broader definition, p = 0.19), a contrast too underpowered to rule out meaningful differences in either direction (Section 3.4), and therefore retained as an open hypothesis rather than a settled result.</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full-text classification and analysis, coded the released labels, and drafted the manuscript. S.S.I.A. and J.I.C. performed the blind 30-paper re-coding of the reliability study (coders B and C, Section 2.5) before any verification work, and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complete evidence base is deposited at Zenodo, DOI 10.5281/zenodo.23436202 (deposit of record; the GitHub repository of the same name is a development mirror). The deposit includes: the classified 103-study dataset (papers.csv, papers_final.json) with per-paper citation counts; the 799-record rule-based eligible pool (eligible_corpus.json, pool.csv) with per-record query-theme tags; the record-level screening log (screening_log.csv); the per-paper validation-protocol audit (protocol_audit.csv); the codebook and coding protocol (codebook.md, coding_protocol.md); the locked blind coder sheets, agreement report, itemized disagreements, and hash-tracked reliability log (corpus/reliability/); the conference sensitivity set with all 14 retrieved papers and the pre-stated inclusion rule (conference_sensitivity.csv); the withheld released labels for the reliability sample (gold_labels_30.csv); the label-noise sensitivity script and outputs (sensitivity_label_noise.py/.json); the Crossref verification audit trail (final_audit.json, external_verified.json, conference_verified.json); the seed-study register (seeds.json); the screening statistics (stats.json); the recall audit with its cached Crossref responses (recall_audit.py, recall_audit.json, raw_cache/); the minimum-detectable-effect analysis (power_analysis.py, power_analysis.json); and the abstract-level probes with their codes and rubric (abstract_probe.py, abstract_probe_raw.json, abstract_probe_codes.py, abstract_probe.json). One registry-metadata note: the Crossref record for one reference (DOI 10.1016/j.jechem.2023.03.026) deposits two author names with the given and family fields transposed and the surname ‘Store’ for ‘Stroe’; the reference list normalizes them to the published forms (Vilsen, S. B.; Stroe, D. I.), and all other bibliographic metadata is reproduced exactly as deposited.</w:t>
      </w:r>
    </w:p>
    <w:p>
      <w:pPr>
        <w:spacing w:after="80"/>
        <w:jc w:val="both"/>
      </w:pPr>
      <w:r>
        <w:rPr>
          <w:rFonts w:ascii="Times New Roman" w:hAnsi="Times New Roman"/>
          <w:b/>
          <w:sz w:val="20"/>
        </w:rPr>
        <w:t xml:space="preserve">Code availability. </w:t>
      </w:r>
      <w:r>
        <w:rPr>
          <w:rFonts w:ascii="Times New Roman" w:hAnsi="Times New Roman"/>
          <w:sz w:val="20"/>
        </w:rPr>
        <w:t>All search, screening, selection, verification, classification, reliability, sensitivity, statistics, figure-generation, and manuscript-build scripts are included in the same Zenodo deposit (DOI 10.5281/zenodo.23436202), so that every figure and every count in Sections 3 and 3.5 can be regenerated deterministically from the released data.</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the following tools, each for a stated purpose: an AI language model (GLM, Z.ai) assisted in drafting and adapting the literature-pooling, analysis, and figure-generation scripts; OpenAI ChatGPT, Grammarly, and QuillBot were used for language editing (grammar, readability, and sentence restructuring). No AI tool decided study inclusion, and no AI tool assigned or altered any classification label: all screening decisions and all released labels were made by the authors (Section 2.5 documents who coded what, and the reliability files release the coding evidence). All included references were verified against the Crossref registry by direct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17.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18.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19.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20. </w:t>
      </w:r>
      <w:r>
        <w:rPr>
          <w:rFonts w:ascii="Times New Roman" w:hAnsi="Times New Roman"/>
          <w:sz w:val="18"/>
        </w:rPr>
        <w:t>Li, X., Yu, D., Vilsen, S. B., Stroe, D. I.,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Prasanna, R., Kumar, R. S., Bhuvaneswari, N. S., Karthik, C., “Performance centric review of machine learning techniques for electric vehicle powertrain with battery management and charging systems,” Discover Artificial Intelligence, vol. 6, Art. no. 141, 2026, doi: 10.1007/s44163-025-00721-y.</w:t>
      </w:r>
    </w:p>
    <w:p>
      <w:pPr>
        <w:spacing w:after="60"/>
        <w:ind w:left="360" w:hanging="360"/>
        <w:jc w:val="both"/>
      </w:pPr>
      <w:r>
        <w:rPr>
          <w:rFonts w:ascii="Times New Roman" w:hAnsi="Times New Roman"/>
          <w:sz w:val="18"/>
        </w:rPr>
        <w:t xml:space="preserve">28. </w:t>
      </w:r>
      <w:r>
        <w:rPr>
          <w:rFonts w:ascii="Times New Roman" w:hAnsi="Times New Roman"/>
          <w:sz w:val="18"/>
        </w:rPr>
        <w:t>United Nations Economic Commission for Europe, “Global technical regulation No. 20: Electric vehicle safety (EVS),” UN Global Registry, ECE/TRANS/180/Add.20, 2018. Established in the Global Registry on 13 June 2018. [Online]. Available: https://unece.org/transport/standards/transport/vehicle-regulations-wp29/global-technical-regulations-gtrs</w:t>
      </w:r>
    </w:p>
    <w:p>
      <w:pPr>
        <w:spacing w:after="60"/>
        <w:ind w:left="360" w:hanging="360"/>
        <w:jc w:val="both"/>
      </w:pPr>
      <w:r>
        <w:rPr>
          <w:rFonts w:ascii="Times New Roman" w:hAnsi="Times New Roman"/>
          <w:sz w:val="18"/>
        </w:rPr>
        <w:t xml:space="preserve">29. </w:t>
      </w:r>
      <w:r>
        <w:rPr>
          <w:rFonts w:ascii="Times New Roman" w:hAnsi="Times New Roman"/>
          <w:sz w:val="18"/>
        </w:rPr>
        <w:t>State Administration for Market Regulation, Standardization Administration of China, “Safety requirements for power batteries for electric vehicles,” GB 38031-2025, 2025. Published 28 March 2025; effective 1 July 2026 for new type approvals and 1 July 2027 for existing models; supersedes GB 38031-2020.</w:t>
      </w:r>
    </w:p>
    <w:p>
      <w:pPr>
        <w:spacing w:after="60"/>
        <w:ind w:left="360" w:hanging="360"/>
        <w:jc w:val="both"/>
      </w:pPr>
      <w:r>
        <w:rPr>
          <w:rFonts w:ascii="Times New Roman" w:hAnsi="Times New Roman"/>
          <w:sz w:val="18"/>
        </w:rPr>
        <w:t xml:space="preserve">30. </w:t>
      </w:r>
      <w:r>
        <w:rPr>
          <w:rFonts w:ascii="Times New Roman" w:hAnsi="Times New Roman"/>
          <w:sz w:val="18"/>
        </w:rPr>
        <w:t>International Organization for Standardization, “Road vehicles — Functional safety,” ISO 26262:2018, 2018.</w:t>
      </w:r>
    </w:p>
    <w:p>
      <w:pPr>
        <w:spacing w:after="60"/>
        <w:ind w:left="360" w:hanging="360"/>
        <w:jc w:val="both"/>
      </w:pPr>
      <w:r>
        <w:rPr>
          <w:rFonts w:ascii="Times New Roman" w:hAnsi="Times New Roman"/>
          <w:sz w:val="18"/>
        </w:rPr>
        <w:t xml:space="preserve">31.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32.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33.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34.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35.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36.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37.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38.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39.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40.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41.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42.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43.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44.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45.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46.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47.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48.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49.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50.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51.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52.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53.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54.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55.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56.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57.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58.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59.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60.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61.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62.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63.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64.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65.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66.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67.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68.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69.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70.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71.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72.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73.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74.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75.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76.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77.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78.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79.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80.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81.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82.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83.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84.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85.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86.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87.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88.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89.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90.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91.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92.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93.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94.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95.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96.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97.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98.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99.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100.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101.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102.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103.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104.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105.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106.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107.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108.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109.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110.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111.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112.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113.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114.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115.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116.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117.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118.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119.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120. </w:t>
      </w:r>
      <w:r>
        <w:rPr>
          <w:rFonts w:ascii="Times New Roman" w:hAnsi="Times New Roman"/>
          <w:sz w:val="18"/>
        </w:rPr>
        <w:t>Poh, W. Q. T., Xu, Y., Tan, R. T. P., “Data-Driven Estimation of Li-Ion Battery Health: Integrating GPT-4 With Distilled Lifelong Learning,” IEEE Transactions on Energy Conversion, vol. 40, 1682-1685, 2025, doi: 10.1109/tec.2025.3548400.</w:t>
      </w:r>
    </w:p>
    <w:p>
      <w:pPr>
        <w:spacing w:after="60"/>
        <w:ind w:left="360" w:hanging="360"/>
        <w:jc w:val="both"/>
      </w:pPr>
      <w:r>
        <w:rPr>
          <w:rFonts w:ascii="Times New Roman" w:hAnsi="Times New Roman"/>
          <w:sz w:val="18"/>
        </w:rPr>
        <w:t xml:space="preserve">121.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122.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p>
      <w:pPr>
        <w:spacing w:after="60"/>
        <w:ind w:left="360" w:hanging="360"/>
        <w:jc w:val="both"/>
      </w:pPr>
      <w:r>
        <w:rPr>
          <w:rFonts w:ascii="Times New Roman" w:hAnsi="Times New Roman"/>
          <w:sz w:val="18"/>
        </w:rPr>
        <w:t xml:space="preserve">123. </w:t>
      </w:r>
      <w:r>
        <w:rPr>
          <w:rFonts w:ascii="Times New Roman" w:hAnsi="Times New Roman"/>
          <w:sz w:val="18"/>
        </w:rPr>
        <w:t>UNECE Informal Working Group on Electric Vehicle Safety, “GTR No. 20 Electric vehicle safety: Proposal for Amendment 1 (thermal-propagation requirements with two compliance options),” UN ECE document EVS-30-C01/Rev.4, 2025. Proposal of 11 September 2025; listed for the WP.29 session of 17-20 November 2026. [Online]. Available: https://unece.org/transport/standards/transport/vehicle-regulations-wp29/global-technical-regulations-gtrs</w:t>
      </w:r>
    </w:p>
    <w:p>
      <w:pPr>
        <w:spacing w:after="60"/>
        <w:ind w:left="360" w:hanging="360"/>
        <w:jc w:val="both"/>
      </w:pPr>
      <w:r>
        <w:rPr>
          <w:rFonts w:ascii="Times New Roman" w:hAnsi="Times New Roman"/>
          <w:sz w:val="18"/>
        </w:rPr>
        <w:t xml:space="preserve">124. </w:t>
      </w:r>
      <w:r>
        <w:rPr>
          <w:rFonts w:ascii="Times New Roman" w:hAnsi="Times New Roman"/>
          <w:sz w:val="18"/>
        </w:rPr>
        <w:t>International Organization for Standardization, “Road vehicles — Safety and artificial intelligence,” ISO/PAS 8800:2024, 2024. Published December 2024. [Online]. Available: https://www.iso.org/standard/83303.html</w:t>
      </w:r>
    </w:p>
    <w:p>
      <w:pPr>
        <w:spacing w:after="60"/>
        <w:ind w:left="360" w:hanging="360"/>
        <w:jc w:val="both"/>
      </w:pPr>
      <w:r>
        <w:rPr>
          <w:rFonts w:ascii="Times New Roman" w:hAnsi="Times New Roman"/>
          <w:sz w:val="18"/>
        </w:rPr>
        <w:t xml:space="preserve">125. </w:t>
      </w:r>
      <w:r>
        <w:rPr>
          <w:rFonts w:ascii="Times New Roman" w:hAnsi="Times New Roman"/>
          <w:sz w:val="18"/>
        </w:rPr>
        <w:t>International Organization for Standardization, “Road vehicles — Safety of the intended functionality,” ISO 21448:2022,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