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confirming that 4 cells provide insufficient signal for leave-battery-out learning. A Monte Carlo scaling study (20 seeds, N=2–20) on synthetic data, whose degradation distributions differ significantly from real NASA data (KS test D=0.33, p&lt;0.001, KL divergence 0.22 nats), establishes an optimistic upper bound: AUC rises from 0.84 (N=2) to 0.99 (N=20) with continued improvement and no clear plateau. A synthetic-to-real transfer test (train N=20, test on NASA 4-cell) produces AUC 0.88, confirming the model works on real data with sufficient training. Censoring sensitivity experiments show graceful degradation (AUC drops 0.05 at 10% censoring). The curve shape is robust to SOH threshold choice (0.70, 0.75, 0.80). Code, data, and environment are archived at https://github.com/touhidsiddiqueeraj-bit/An-Open-Python-Framework-for-Battery-Operational-Reliability-Estimation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verify the framework works on real data at all (as opposed to a fundamental modeling error),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The high AUC values across all horizons confirm that the framework produces meaningful discrimination on real data when sufficient training examples are available. The negative Brier skill scores (model Brier &gt; baseline constant-hazard Brier) indicate the model's probability estimates are not well-calibrated for rare events on this small test set — a known limitation of isotonic regression on imbalanced data — but the rank-order discrimination (AUC) is strong. This transfer test also confirms that the near-random result on 4-cell leave-battery-out is due to insufficient training data, not a modeling error. The scaling study in §5.2 quantifies this data requirement.</w:t>
      </w:r>
    </w:p>
    <w:p>
      <w:pPr>
        <w:spacing w:after="80" w:line="276" w:lineRule="auto"/>
      </w:pPr>
      <w:r>
        <w:rPr>
          <w:rFonts w:ascii="Times New Roman" w:hAnsi="Times New Roman"/>
          <w:sz w:val="22"/>
        </w:rPr>
        <w:t>This result is not surprising: the original paper used 37 cells (9.25× more data) to achieve AUC 0.944. The NASA 4-cell dataset is simply too small for leave-battery-out cross-validation to produce meaningful results. This motivates the synthetic scaling study in §5.2.</w:t>
      </w:r>
    </w:p>
    <w:p>
      <w:pPr>
        <w:spacing w:after="120" w:before="160"/>
      </w:pPr>
      <w:r>
        <w:rPr>
          <w:rFonts w:ascii="Times New Roman" w:hAnsi="Times New Roman"/>
          <w:b/>
          <w:i w:val="0"/>
          <w:sz w:val="22"/>
        </w:rPr>
        <w:t>5.2 Synthetic Scaling Study</w:t>
      </w:r>
    </w:p>
    <w:p>
      <w:pPr>
        <w:spacing w:after="80" w:line="276" w:lineRule="auto"/>
      </w:pPr>
      <w:r>
        <w:rPr>
          <w:rFonts w:ascii="Times New Roman" w:hAnsi="Times New Roman"/>
          <w:sz w:val="22"/>
        </w:rPr>
        <w:t>To establish quantitative minimum-data guidelines,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clear plateau observed:** AUC continues to improve from 0.980 (N=12) to 0.986 (N=20). Fitting an asymptotic model AUC = a − b/N^c yields â = 1.008 (95% CI: very wide, indicating insufficient curvature to estimate the plateau), b̂ = 0.331, ĉ = 0.978, with predicted AUC 1.001 at N=50 and 1.005 at N=100. The wide plateau CI (−282 to +182) confirms the curve has not saturated. For real-world data with measurement noise and correlated degradation, substantially more cells (likely N≥50) would be needed to match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may render standard AUC evaluation impossible because too few failure events remain for any horizon. Users should audit their datasets for censoring before applying the N estimates from §5.2. Datasets with &gt;20% censoring may require specialized survival methods (e.g., inverse probability of censoring weighting, time-dependent AUC) to maintain model discrimination.</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The reported AUC of 0.74 after probability calibration is attributable entirely to calibration data leakage (fitting the isotonic regressor on the test set). With the correct held-out calibration procedure, the calibrated AUC is 0.50 — indistinguishable from random.</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batteries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N (synthetic, 20 seeds)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3</w:t>
            </w:r>
          </w:p>
        </w:tc>
      </w:tr>
      <w:tr>
        <w:tc>
          <w:tcPr>
            <w:tcW w:type="dxa" w:w="4703"/>
          </w:tcPr>
          <w:p>
            <w:r/>
            <w:r>
              <w:rPr>
                <w:rFonts w:ascii="Times New Roman" w:hAnsi="Times New Roman"/>
                <w:sz w:val="20"/>
              </w:rPr>
              <w:t>0.95</w:t>
            </w:r>
          </w:p>
        </w:tc>
        <w:tc>
          <w:tcPr>
            <w:tcW w:type="dxa" w:w="4703"/>
          </w:tcPr>
          <w:p>
            <w:r/>
            <w:r>
              <w:rPr>
                <w:rFonts w:ascii="Times New Roman" w:hAnsi="Times New Roman"/>
                <w:sz w:val="20"/>
              </w:rPr>
              <w:t>5–8</w:t>
            </w:r>
          </w:p>
        </w:tc>
      </w:tr>
      <w:tr>
        <w:tc>
          <w:tcPr>
            <w:tcW w:type="dxa" w:w="4703"/>
          </w:tcPr>
          <w:p>
            <w:r/>
            <w:r>
              <w:rPr>
                <w:rFonts w:ascii="Times New Roman" w:hAnsi="Times New Roman"/>
                <w:sz w:val="20"/>
              </w:rPr>
              <w:t>0.98</w:t>
            </w:r>
          </w:p>
        </w:tc>
        <w:tc>
          <w:tcPr>
            <w:tcW w:type="dxa" w:w="4703"/>
          </w:tcPr>
          <w:p>
            <w:r/>
            <w:r>
              <w:rPr>
                <w:rFonts w:ascii="Times New Roman" w:hAnsi="Times New Roman"/>
                <w:sz w:val="20"/>
              </w:rPr>
              <w:t>12</w:t>
            </w:r>
          </w:p>
        </w:tc>
      </w:tr>
    </w:tbl>
    <w:p>
      <w:pPr>
        <w:spacing w:after="80"/>
      </w:pPr>
    </w:p>
    <w:p>
      <w:pPr>
        <w:spacing w:after="80" w:line="276" w:lineRule="auto"/>
      </w:pPr>
      <w:r>
        <w:rPr>
          <w:rFonts w:ascii="Times New Roman" w:hAnsi="Times New Roman"/>
          <w:sz w:val="22"/>
        </w:rPr>
        <w:t>Real-world data will require more cells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graceful AUC degradation at 10% censoring (0.98→0.93), but datasets with &gt;30% censoring cannot produce valid AUC estimates without specialized survival methods.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clear plateau, with bootstrap CIs and DeLong significance confirming all adjacent-N differences are meaningful.</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The synthetic generator is statistically distinguishable from real NASA data via KS test (D=0.33, p&lt;0.001), KL divergence (0.22 nats), and Wasserstein distance (0.42),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Previous reports of AUC 0.74 on this data are attributable to calibration data leakage (§6.1).</w:t>
      </w:r>
      <w:r>
        <w:rPr>
          <w:sz w:val="22"/>
        </w:rPr>
        <w:br/>
      </w:r>
      <w:r>
        <w:rPr>
          <w:rFonts w:ascii="Times New Roman" w:hAnsi="Times New Roman"/>
          <w:sz w:val="22"/>
        </w:rPr>
        <w:t>• This confirms that the framework needs substantial data (≥12 cells) to produce meaningful results, but does **not** validate the specific N estimates from the synthetic curve.</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N requirement is unknown and cannot be estimated from synthetic data alone. The curve continues to improve up to N=20 (0.986 AUC), and likely further; N≈50+ may be needed for equivalent real-data performance.</w:t>
      </w:r>
      <w:r>
        <w:rPr>
          <w:sz w:val="22"/>
        </w:rPr>
        <w:br/>
      </w:r>
      <w:r>
        <w:rPr>
          <w:rFonts w:ascii="Times New Roman" w:hAnsi="Times New Roman"/>
          <w:sz w:val="22"/>
        </w:rPr>
        <w:t>• The scaling curve has not been validated on any multi-cell real dataset with diverse degradation.</w:t>
      </w:r>
      <w:r>
        <w:rPr>
          <w:sz w:val="22"/>
        </w:rPr>
        <w:br/>
      </w:r>
      <w:r>
        <w:rPr>
          <w:rFonts w:ascii="Times New Roman" w:hAnsi="Times New Roman"/>
          <w:sz w:val="22"/>
        </w:rPr>
        <w:t>• Deep learning model variants could not be evaluated under CPU constraints.</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