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An Open Python Framework for Battery Operational Reliability Estimation</w:t>
      </w:r>
    </w:p>
    <w:p>
      <w:pPr>
        <w:spacing w:after="240" w:before="0"/>
        <w:jc w:val="center"/>
      </w:pPr>
      <w:r>
        <w:rPr>
          <w:rFonts w:ascii="Times New Roman" w:hAnsi="Times New Roman"/>
          <w:b w:val="0"/>
          <w:i w:val="0"/>
          <w:sz w:val="24"/>
        </w:rPr>
        <w:t>Author: Team Dynamic</w:t>
      </w:r>
    </w:p>
    <w:p>
      <w:pPr>
        <w:spacing w:after="120" w:before="240"/>
      </w:pPr>
      <w:r>
        <w:rPr>
          <w:rFonts w:ascii="Times New Roman" w:hAnsi="Times New Roman"/>
          <w:b/>
          <w:i w:val="0"/>
          <w:sz w:val="28"/>
        </w:rPr>
        <w:t>An Open Python Framework for Battery Operational Reliability Estimation</w:t>
      </w:r>
    </w:p>
    <w:p>
      <w:pPr>
        <w:spacing w:after="80" w:line="276" w:lineRule="auto"/>
      </w:pPr>
      <w:r>
        <w:rPr>
          <w:rFonts w:ascii="Times New Roman" w:hAnsi="Times New Roman"/>
          <w:sz w:val="22"/>
        </w:rPr>
      </w:r>
      <w:r>
        <w:rPr>
          <w:rFonts w:ascii="Times New Roman" w:hAnsi="Times New Roman"/>
          <w:b/>
          <w:sz w:val="22"/>
        </w:rPr>
        <w:t>Author:</w:t>
      </w:r>
      <w:r>
        <w:rPr>
          <w:rFonts w:ascii="Times New Roman" w:hAnsi="Times New Roman"/>
          <w:sz w:val="22"/>
        </w:rPr>
        <w:t xml:space="preserve"> Team Dynamic</w:t>
      </w:r>
    </w:p>
    <w:p>
      <w:pPr>
        <w:spacing w:after="120" w:before="160"/>
      </w:pPr>
      <w:r>
        <w:rPr>
          <w:rFonts w:ascii="Times New Roman" w:hAnsi="Times New Roman"/>
          <w:b/>
          <w:i w:val="0"/>
          <w:sz w:val="24"/>
        </w:rPr>
        <w:t>Abstract</w:t>
      </w:r>
    </w:p>
    <w:p>
      <w:pPr>
        <w:spacing w:after="80" w:line="276" w:lineRule="auto"/>
      </w:pPr>
      <w:r>
        <w:rPr>
          <w:rFonts w:ascii="Times New Roman" w:hAnsi="Times New Roman"/>
          <w:sz w:val="22"/>
        </w:rPr>
        <w:t>Shikdar and Laaksonen (2026) introduced a multihorizon discrete-time hazard framework for battery operational reliability, reporting macro-averaged AUC 0.944 on 37 cells via leave-battery-out cross-validation. We implement this framework as open-source Python code and conduct a reproducibility and scaling study. Three methodological pitfalls—calibration data leakage, a 1000× energy unit error, and inconsistent ablation baselines—are identified and corrected. On the NASA PCoE 4-cell dataset, the corrected evaluation yields per-fold macro AUC 0.50 (exactly random), and our initial implementation which inflated this to 0.74 via calibration leakage is explicitly documented. The direct real-data experiment (training on NASA 4-cell, testing on NASA) demonstrates that this dataset is too small for leave-battery-out learning — only approximately 2 EOL events exist across training cells. While a synthetic-to-real transfer test (train on N=20 synthetic, test on NASA 4-cell) yields macro AUC 0.88 (95% CI: [0.860, 0.900]), indicating synthetic pre-training captures some real-world structure, this does not validate the framework for direct real-data learning. An exploratory Monte Carlo scaling analysis (20 seeds, N=2–20) on synthetic data, whose degradation distributions differ significantly from real NASA data (KS D=0.33, p&lt;0.001), provides an optimistic upper bound: AUC rises from 0.84 (N=2) to 0.99 (N=20) with no plateau observed within this range. Analysis of event count vs cell count reveals that ≥200 failure events (not cell count per se) drive meaningful discrimination. The scaling curve shape is robust to SOH threshold choice (0.70, 0.75, 0.80). Censoring sensitivity experiments show AUC degrades gracefully at 10% censoring (0.98→0.92). These results are specific to the synthetic generator and do not transfer quantitatively to real datasets; validated minimum-data guidelines await real-data scaling studies with ≥15 cells. Code, data, and environment are archived at the repository URL (DOI: 10.5281/zenodo.20532600).</w:t>
      </w:r>
    </w:p>
    <w:p>
      <w:pPr>
        <w:spacing w:after="120" w:before="160"/>
      </w:pPr>
      <w:r>
        <w:rPr>
          <w:rFonts w:ascii="Times New Roman" w:hAnsi="Times New Roman"/>
          <w:b/>
          <w:i w:val="0"/>
          <w:sz w:val="24"/>
        </w:rPr>
        <w:t>1 Introduction</w:t>
      </w:r>
    </w:p>
    <w:p>
      <w:pPr>
        <w:spacing w:after="80" w:line="276" w:lineRule="auto"/>
      </w:pPr>
      <w:r>
        <w:rPr>
          <w:rFonts w:ascii="Times New Roman" w:hAnsi="Times New Roman"/>
          <w:sz w:val="22"/>
        </w:rPr>
        <w:t>Battery energy storage systems (BESSs) are critical for grid-scale renewable integration, providing frequency regulation, peak shaving, and ancillary services [1]. Shikdar and Laaksonen [2] reframed battery prognostics from lifetime prediction to operational reliability estimation: instead of predicting remaining useful life, their multihorizon discrete-time hazard model predicts the probability of failure within a given service window. They reported AUC 0.944 before calibration (20-cycle horizon) across 37 lithium-ion cells using leave-battery-out cross-validation.</w:t>
      </w:r>
    </w:p>
    <w:p>
      <w:pPr>
        <w:spacing w:after="80" w:line="276" w:lineRule="auto"/>
      </w:pPr>
      <w:r>
        <w:rPr>
          <w:rFonts w:ascii="Times New Roman" w:hAnsi="Times New Roman"/>
          <w:sz w:val="22"/>
        </w:rPr>
        <w:t>This paper makes three contributions:</w:t>
      </w:r>
    </w:p>
    <w:p>
      <w:pPr>
        <w:spacing w:after="40"/>
        <w:ind w:left="567"/>
      </w:pPr>
      <w:r>
        <w:rPr>
          <w:rFonts w:ascii="Times New Roman" w:hAnsi="Times New Roman"/>
          <w:sz w:val="22"/>
        </w:rPr>
        <w:t>• **A reproducibility study with quantitative scaling guidelines** for the Shikdar–Laaksonen framework. We implement the complete pipeline and perform a controlled Monte Carlo scaling study (20 seeds per N, bootstrap confidence intervals) that establishes the relationship between dataset size and model discrimination.</w:t>
      </w:r>
    </w:p>
    <w:p>
      <w:pPr>
        <w:spacing w:after="40"/>
        <w:ind w:left="567"/>
      </w:pPr>
      <w:r>
        <w:rPr>
          <w:rFonts w:ascii="Times New Roman" w:hAnsi="Times New Roman"/>
          <w:sz w:val="22"/>
        </w:rPr>
        <w:t>• **A quantitative scaling curve** showing that AUC improves rapidly from N=2 to N=8 and continues to improve beyond N=12, with no clear plateau observed up to N=20 (AUC 0.99). Statistical significance (DeLong test) confirms that adjacent N values produce meaningfully different AUCs. We validate the curve's robustness to SOH threshold choice, censoring rate, and provide bootstrap CIs.</w:t>
      </w:r>
    </w:p>
    <w:p>
      <w:pPr>
        <w:spacing w:after="40"/>
        <w:ind w:left="567"/>
      </w:pPr>
      <w:r>
        <w:rPr>
          <w:rFonts w:ascii="Times New Roman" w:hAnsi="Times New Roman"/>
          <w:sz w:val="22"/>
        </w:rPr>
        <w:t>• **Documentation of three methodological pitfalls** encountered during implementation — calibration data leakage, energy unit errors, and inconsistent ablation baselines — each demonstrated with quantitative impact on a working model.</w:t>
      </w:r>
    </w:p>
    <w:p>
      <w:pPr>
        <w:spacing w:after="120" w:before="160"/>
      </w:pPr>
      <w:r>
        <w:rPr>
          <w:rFonts w:ascii="Times New Roman" w:hAnsi="Times New Roman"/>
          <w:b/>
          <w:i w:val="0"/>
          <w:sz w:val="22"/>
        </w:rPr>
        <w:t>1.1 Relationship to Shikdar and Laaksonen (2026)</w:t>
      </w:r>
    </w:p>
    <w:p>
      <w:pPr>
        <w:spacing w:after="80" w:line="276" w:lineRule="auto"/>
      </w:pPr>
      <w:r>
        <w:rPr>
          <w:rFonts w:ascii="Times New Roman" w:hAnsi="Times New Roman"/>
          <w:sz w:val="22"/>
        </w:rPr>
        <w:t>This paper builds directly on the multihorizon discrete-time hazard framework introduced by Shikdar and Laaksonen (2026) [2]. We clarify what originates from their work and what is novel:</w:t>
      </w:r>
    </w:p>
    <w:p>
      <w:pPr>
        <w:spacing w:after="80" w:line="276" w:lineRule="auto"/>
      </w:pPr>
      <w:r>
        <w:rPr>
          <w:rFonts w:ascii="Times New Roman" w:hAnsi="Times New Roman"/>
          <w:sz w:val="22"/>
        </w:rPr>
      </w:r>
      <w:r>
        <w:rPr>
          <w:rFonts w:ascii="Times New Roman" w:hAnsi="Times New Roman"/>
          <w:b/>
          <w:sz w:val="22"/>
        </w:rPr>
        <w:t>From the original paper (§§2–3 of their work):</w:t>
      </w:r>
      <w:r>
        <w:rPr>
          <w:rFonts w:ascii="Times New Roman" w:hAnsi="Times New Roman"/>
          <w:sz w:val="22"/>
        </w:rPr>
        <w:t xml:space="preserve"> The core framework — hazard modeling via per-horizon XGBoost classifiers, isotonic probability calibration, threshold and derating dispatch policies, and AR(1) market simulation — follows the architecture they described. Our implementation replicates their design.</w:t>
      </w:r>
    </w:p>
    <w:p>
      <w:pPr>
        <w:spacing w:after="80" w:line="276" w:lineRule="auto"/>
      </w:pPr>
      <w:r>
        <w:rPr>
          <w:rFonts w:ascii="Times New Roman" w:hAnsi="Times New Roman"/>
          <w:sz w:val="22"/>
        </w:rPr>
      </w:r>
      <w:r>
        <w:rPr>
          <w:rFonts w:ascii="Times New Roman" w:hAnsi="Times New Roman"/>
          <w:b/>
          <w:sz w:val="22"/>
        </w:rPr>
        <w:t>Novel contributions (§§4–9):</w:t>
      </w:r>
      <w:r>
        <w:rPr>
          <w:rFonts w:ascii="Times New Roman" w:hAnsi="Times New Roman"/>
          <w:sz w:val="22"/>
        </w:rPr>
        <w:t xml:space="preserve"> The synthetic data generator with statistical validation (KS test, per-feature KL divergence, negative control), Monte Carlo scaling study (20 seeds, N=2–20), SOH threshold sensitivity analysis, and identification of three methodological pitfalls (calibration leakage, energy unit error, inconsistent baselines) are original to this paper. The open-source release with pinned environment and reproducibility scripts is also new.</w:t>
      </w:r>
    </w:p>
    <w:p>
      <w:pPr>
        <w:spacing w:after="80" w:line="276" w:lineRule="auto"/>
      </w:pPr>
      <w:r>
        <w:rPr>
          <w:rFonts w:ascii="Times New Roman" w:hAnsi="Times New Roman"/>
          <w:sz w:val="22"/>
        </w:rPr>
      </w:r>
      <w:r>
        <w:rPr>
          <w:rFonts w:ascii="Times New Roman" w:hAnsi="Times New Roman"/>
          <w:b/>
          <w:sz w:val="22"/>
        </w:rPr>
        <w:t>Bugs found and fixed:</w:t>
      </w:r>
      <w:r>
        <w:rPr>
          <w:rFonts w:ascii="Times New Roman" w:hAnsi="Times New Roman"/>
          <w:sz w:val="22"/>
        </w:rPr>
        <w:t xml:space="preserve"> All three bugs documented in §6 were identified in our own re-implementation. They are not errors in the original authors' published code or paper. The original authors' conceptual framework — multihorizon hazard modeling for battery operational reliability — remains valid and is the foundation of this work. A detailed contribution statement is provided in CONTRIBUTION.md in the repository.</w:t>
      </w:r>
    </w:p>
    <w:p>
      <w:pPr>
        <w:spacing w:after="80" w:line="276" w:lineRule="auto"/>
      </w:pPr>
      <w:r>
        <w:rPr>
          <w:rFonts w:ascii="Times New Roman" w:hAnsi="Times New Roman"/>
          <w:sz w:val="22"/>
        </w:rPr>
        <w:t>All code, data, and results are publicly available at https://github.com/teamdynamic/battery-reliability-extension (DOI: 10.5281/zenodo.20532600).</w:t>
      </w:r>
    </w:p>
    <w:p>
      <w:pPr>
        <w:spacing w:after="120" w:before="160"/>
      </w:pPr>
      <w:r>
        <w:rPr>
          <w:rFonts w:ascii="Times New Roman" w:hAnsi="Times New Roman"/>
          <w:b/>
          <w:i w:val="0"/>
          <w:sz w:val="24"/>
        </w:rPr>
        <w:t>2 Related Work</w:t>
      </w:r>
    </w:p>
    <w:p>
      <w:pPr>
        <w:spacing w:after="120" w:before="160"/>
      </w:pPr>
      <w:r>
        <w:rPr>
          <w:rFonts w:ascii="Times New Roman" w:hAnsi="Times New Roman"/>
          <w:b/>
          <w:i w:val="0"/>
          <w:sz w:val="22"/>
        </w:rPr>
        <w:t>2.1 Battery Machine Learning Software</w:t>
      </w:r>
    </w:p>
    <w:p>
      <w:pPr>
        <w:spacing w:after="80" w:line="276" w:lineRule="auto"/>
      </w:pPr>
      <w:r>
        <w:rPr>
          <w:rFonts w:ascii="Times New Roman" w:hAnsi="Times New Roman"/>
          <w:sz w:val="22"/>
        </w:rPr>
        <w:t xml:space="preserve">Several open-source frameworks support battery ML research. </w:t>
      </w:r>
      <w:r>
        <w:rPr>
          <w:rFonts w:ascii="Times New Roman" w:hAnsi="Times New Roman"/>
          <w:b/>
          <w:sz w:val="22"/>
        </w:rPr>
        <w:t>BatteryML</w:t>
      </w:r>
      <w:r>
        <w:rPr>
          <w:rFonts w:ascii="Times New Roman" w:hAnsi="Times New Roman"/>
          <w:sz w:val="22"/>
        </w:rPr>
        <w:t xml:space="preserve"> [3] provides a taxonomy-driven pipeline for battery degradation modeling with built-in benchmark datasets and model zoo. </w:t>
      </w:r>
      <w:r>
        <w:rPr>
          <w:rFonts w:ascii="Times New Roman" w:hAnsi="Times New Roman"/>
          <w:b/>
          <w:sz w:val="22"/>
        </w:rPr>
        <w:t>PyBaMM</w:t>
      </w:r>
      <w:r>
        <w:rPr>
          <w:rFonts w:ascii="Times New Roman" w:hAnsi="Times New Roman"/>
          <w:sz w:val="22"/>
        </w:rPr>
        <w:t xml:space="preserve"> [4] focuses on electrochemical physics-based simulation rather than data-driven prognostics. </w:t>
      </w:r>
      <w:r>
        <w:rPr>
          <w:rFonts w:ascii="Times New Roman" w:hAnsi="Times New Roman"/>
          <w:b/>
          <w:sz w:val="22"/>
        </w:rPr>
        <w:t>BEEP</w:t>
      </w:r>
      <w:r>
        <w:rPr>
          <w:rFonts w:ascii="Times New Roman" w:hAnsi="Times New Roman"/>
          <w:sz w:val="22"/>
        </w:rPr>
        <w:t xml:space="preserve"> [5] processes cycling data into featurized formats for cycle-life prediction. Our package differs from these by implementing the complete operational reliability pipeline — from hazard modeling through dispatch to market simulation — as a modular, experiment-driven framework.</w:t>
      </w:r>
    </w:p>
    <w:p>
      <w:pPr>
        <w:spacing w:after="120" w:before="160"/>
      </w:pPr>
      <w:r>
        <w:rPr>
          <w:rFonts w:ascii="Times New Roman" w:hAnsi="Times New Roman"/>
          <w:b/>
          <w:i w:val="0"/>
          <w:sz w:val="22"/>
        </w:rPr>
        <w:t>2.2 Scaling Laws in Machine Learning</w:t>
      </w:r>
    </w:p>
    <w:p>
      <w:pPr>
        <w:spacing w:after="80" w:line="276" w:lineRule="auto"/>
      </w:pPr>
      <w:r>
        <w:rPr>
          <w:rFonts w:ascii="Times New Roman" w:hAnsi="Times New Roman"/>
          <w:sz w:val="22"/>
        </w:rPr>
        <w:t>The relationship between training data volume and model performance is well studied in supervised learning. Kaplan et al. [6] demonstrated power-law scaling of language model perplexity with dataset size. In medical imaging, Cho et al. [7] showed that AUC improves log-linearly with training set size for deep learning classifiers. To our knowledge, no prior work has established a quantitative scaling curve for battery operational reliability models, which is the primary contribution of this study.</w:t>
      </w:r>
    </w:p>
    <w:p>
      <w:pPr>
        <w:spacing w:after="120" w:before="160"/>
      </w:pPr>
      <w:r>
        <w:rPr>
          <w:rFonts w:ascii="Times New Roman" w:hAnsi="Times New Roman"/>
          <w:b/>
          <w:i w:val="0"/>
          <w:sz w:val="22"/>
        </w:rPr>
        <w:t>2.3 Reproducibility in Battery Prognostics</w:t>
      </w:r>
    </w:p>
    <w:p>
      <w:pPr>
        <w:spacing w:after="80" w:line="276" w:lineRule="auto"/>
      </w:pPr>
      <w:r>
        <w:rPr>
          <w:rFonts w:ascii="Times New Roman" w:hAnsi="Times New Roman"/>
          <w:sz w:val="22"/>
        </w:rPr>
        <w:t>Reproducibility challenges in battery ML have been highlighted by multiple authors [8, 9]. Ibraheem et al. [10] noted that variations in cross-validation strategy and failure definition can produce AUC differences exceeding 0.10 on the same dataset. Severson et al. [11] established the importance of standardized data processing for cycle-life prediction. Our work contributes to this stream by documenting three specific methodological pitfalls and their quantitative impact.</w:t>
      </w:r>
    </w:p>
    <w:p>
      <w:pPr>
        <w:spacing w:after="80" w:line="276" w:lineRule="auto"/>
      </w:pPr>
      <w:r>
        <w:rPr>
          <w:rFonts w:ascii="Times New Roman" w:hAnsi="Times New Roman"/>
          <w:sz w:val="22"/>
        </w:rPr>
      </w:r>
      <w:r>
        <w:rPr>
          <w:rFonts w:ascii="Times New Roman" w:hAnsi="Times New Roman"/>
          <w:b/>
          <w:sz w:val="22"/>
        </w:rPr>
        <w:t>Feature comparison with existing frameworks:</w:t>
      </w:r>
      <w:r>
        <w:rPr>
          <w:rFonts w:ascii="Times New Roman" w:hAnsi="Times New Roman"/>
          <w:sz w:val="22"/>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b/>
                <w:sz w:val="20"/>
              </w:rPr>
              <w:t>Feature</w:t>
            </w:r>
          </w:p>
        </w:tc>
        <w:tc>
          <w:tcPr>
            <w:tcW w:type="dxa" w:w="1881"/>
          </w:tcPr>
          <w:p>
            <w:pPr>
              <w:jc w:val="center"/>
            </w:pPr>
            <w:r/>
            <w:r>
              <w:rPr>
                <w:rFonts w:ascii="Times New Roman" w:hAnsi="Times New Roman"/>
                <w:b/>
                <w:sz w:val="20"/>
              </w:rPr>
              <w:t>BatteryML [3]</w:t>
            </w:r>
          </w:p>
        </w:tc>
        <w:tc>
          <w:tcPr>
            <w:tcW w:type="dxa" w:w="1881"/>
          </w:tcPr>
          <w:p>
            <w:pPr>
              <w:jc w:val="center"/>
            </w:pPr>
            <w:r/>
            <w:r>
              <w:rPr>
                <w:rFonts w:ascii="Times New Roman" w:hAnsi="Times New Roman"/>
                <w:b/>
                <w:sz w:val="20"/>
              </w:rPr>
              <w:t>PyBaMM [4]</w:t>
            </w:r>
          </w:p>
        </w:tc>
        <w:tc>
          <w:tcPr>
            <w:tcW w:type="dxa" w:w="1881"/>
          </w:tcPr>
          <w:p>
            <w:pPr>
              <w:jc w:val="center"/>
            </w:pPr>
            <w:r/>
            <w:r>
              <w:rPr>
                <w:rFonts w:ascii="Times New Roman" w:hAnsi="Times New Roman"/>
                <w:b/>
                <w:sz w:val="20"/>
              </w:rPr>
              <w:t>BEEP [5]</w:t>
            </w:r>
          </w:p>
        </w:tc>
        <w:tc>
          <w:tcPr>
            <w:tcW w:type="dxa" w:w="1881"/>
          </w:tcPr>
          <w:p>
            <w:pPr>
              <w:jc w:val="center"/>
            </w:pPr>
            <w:r/>
            <w:r>
              <w:rPr>
                <w:rFonts w:ascii="Times New Roman" w:hAnsi="Times New Roman"/>
                <w:b/>
                <w:sz w:val="20"/>
              </w:rPr>
              <w:t>**This work**</w:t>
            </w:r>
          </w:p>
        </w:tc>
      </w:tr>
      <w:tr>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Data loading (NASA, CALCE)</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Physics-based simulation</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Data-driven degradation</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Hazard / survival model</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Probability calibration</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Dispatch policy simulation</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Market / economic analysis</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Scaling study (min-N guidelines)</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Synthetic data generator</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Reproducibility config</w:t>
            </w:r>
          </w:p>
        </w:tc>
        <w:tc>
          <w:tcPr>
            <w:tcW w:type="dxa" w:w="1881"/>
          </w:tcPr>
          <w:p>
            <w:r/>
            <w:r>
              <w:rPr>
                <w:rFonts w:ascii="Times New Roman" w:hAnsi="Times New Roman"/>
                <w:sz w:val="20"/>
              </w:rPr>
              <w:t>partial</w:t>
            </w:r>
          </w:p>
        </w:tc>
        <w:tc>
          <w:tcPr>
            <w:tcW w:type="dxa" w:w="1881"/>
          </w:tcPr>
          <w:p>
            <w:r/>
            <w:r>
              <w:rPr>
                <w:rFonts w:ascii="Times New Roman" w:hAnsi="Times New Roman"/>
                <w:sz w:val="20"/>
              </w:rPr>
              <w:t>✓</w:t>
            </w:r>
          </w:p>
        </w:tc>
        <w:tc>
          <w:tcPr>
            <w:tcW w:type="dxa" w:w="1881"/>
          </w:tcPr>
          <w:p>
            <w:r/>
            <w:r>
              <w:rPr>
                <w:rFonts w:ascii="Times New Roman" w:hAnsi="Times New Roman"/>
                <w:sz w:val="20"/>
              </w:rPr>
              <w:t>partial</w:t>
            </w:r>
          </w:p>
        </w:tc>
        <w:tc>
          <w:tcPr>
            <w:tcW w:type="dxa" w:w="1881"/>
          </w:tcPr>
          <w:p>
            <w:r/>
            <w:r>
              <w:rPr>
                <w:rFonts w:ascii="Times New Roman" w:hAnsi="Times New Roman"/>
                <w:sz w:val="20"/>
              </w:rPr>
              <w:t>✓</w:t>
            </w:r>
          </w:p>
        </w:tc>
      </w:tr>
      <w:tr>
        <w:tc>
          <w:tcPr>
            <w:tcW w:type="dxa" w:w="1881"/>
          </w:tcPr>
          <w:p>
            <w:r/>
            <w:r>
              <w:rPr>
                <w:rFonts w:ascii="Times New Roman" w:hAnsi="Times New Roman"/>
                <w:sz w:val="20"/>
              </w:rPr>
              <w:t>Reproducibility pitfalls documented</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CPU-only pipeline</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bl>
    <w:p>
      <w:pPr>
        <w:spacing w:after="80"/>
      </w:pPr>
    </w:p>
    <w:p>
      <w:pPr>
        <w:spacing w:after="120" w:before="160"/>
      </w:pPr>
      <w:r>
        <w:rPr>
          <w:rFonts w:ascii="Times New Roman" w:hAnsi="Times New Roman"/>
          <w:b/>
          <w:i w:val="0"/>
          <w:sz w:val="24"/>
        </w:rPr>
        <w:t>3 The Framework</w:t>
      </w:r>
    </w:p>
    <w:p>
      <w:pPr>
        <w:spacing w:after="120" w:before="160"/>
      </w:pPr>
      <w:r>
        <w:rPr>
          <w:rFonts w:ascii="Times New Roman" w:hAnsi="Times New Roman"/>
          <w:b/>
          <w:i w:val="0"/>
          <w:sz w:val="22"/>
        </w:rPr>
        <w:t>2.1 Software Architecture</w:t>
      </w:r>
    </w:p>
    <w:p>
      <w:pPr>
        <w:spacing w:after="80" w:line="276" w:lineRule="auto"/>
      </w:pPr>
      <w:r>
        <w:rPr>
          <w:rFonts w:ascii="Times New Roman" w:hAnsi="Times New Roman"/>
          <w:sz w:val="22"/>
        </w:rPr>
        <w:t>The framework is organized into five layers: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Layer</w:t>
            </w:r>
          </w:p>
        </w:tc>
        <w:tc>
          <w:tcPr>
            <w:tcW w:type="dxa" w:w="2351"/>
          </w:tcPr>
          <w:p>
            <w:pPr>
              <w:jc w:val="center"/>
            </w:pPr>
            <w:r/>
            <w:r>
              <w:rPr>
                <w:rFonts w:ascii="Times New Roman" w:hAnsi="Times New Roman"/>
                <w:b/>
                <w:sz w:val="20"/>
              </w:rPr>
              <w:t>Modules</w:t>
            </w:r>
          </w:p>
        </w:tc>
        <w:tc>
          <w:tcPr>
            <w:tcW w:type="dxa" w:w="2351"/>
          </w:tcPr>
          <w:p>
            <w:pPr>
              <w:jc w:val="center"/>
            </w:pPr>
            <w:r/>
            <w:r>
              <w:rPr>
                <w:rFonts w:ascii="Times New Roman" w:hAnsi="Times New Roman"/>
                <w:b/>
                <w:sz w:val="20"/>
              </w:rPr>
              <w:t>Key Classes</w:t>
            </w:r>
          </w:p>
        </w:tc>
        <w:tc>
          <w:tcPr>
            <w:tcW w:type="dxa" w:w="2351"/>
          </w:tcPr>
          <w:p>
            <w:pPr>
              <w:jc w:val="center"/>
            </w:pPr>
            <w:r/>
            <w:r>
              <w:rPr>
                <w:rFonts w:ascii="Times New Roman" w:hAnsi="Times New Roman"/>
                <w:b/>
                <w:sz w:val="20"/>
              </w:rPr>
              <w:t>Responsibility</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Data</w:t>
            </w:r>
          </w:p>
        </w:tc>
        <w:tc>
          <w:tcPr>
            <w:tcW w:type="dxa" w:w="2351"/>
          </w:tcPr>
          <w:p>
            <w:r/>
            <w:r>
              <w:rPr>
                <w:rFonts w:ascii="Times New Roman" w:hAnsi="Times New Roman"/>
                <w:sz w:val="20"/>
              </w:rPr>
              <w:t>`nasa.py`, `calce.py`, `synthetic.py`, `composite_failure.py`, `augmentation.py`</w:t>
            </w:r>
          </w:p>
        </w:tc>
        <w:tc>
          <w:tcPr>
            <w:tcW w:type="dxa" w:w="2351"/>
          </w:tcPr>
          <w:p>
            <w:r/>
            <w:r>
              <w:rPr>
                <w:rFonts w:ascii="Times New Roman" w:hAnsi="Times New Roman"/>
                <w:sz w:val="20"/>
              </w:rPr>
              <w:t>`NASALoader`, `CALCELoader`, `CompositeFailureLabeler`, `OperationalAugmenter`</w:t>
            </w:r>
          </w:p>
        </w:tc>
        <w:tc>
          <w:tcPr>
            <w:tcW w:type="dxa" w:w="2351"/>
          </w:tcPr>
          <w:p>
            <w:r/>
            <w:r>
              <w:rPr>
                <w:rFonts w:ascii="Times New Roman" w:hAnsi="Times New Roman"/>
                <w:sz w:val="20"/>
              </w:rPr>
              <w:t>Load, parse, label, and augment battery cycling data</w:t>
            </w:r>
          </w:p>
        </w:tc>
      </w:tr>
      <w:tr>
        <w:tc>
          <w:tcPr>
            <w:tcW w:type="dxa" w:w="2351"/>
          </w:tcPr>
          <w:p>
            <w:r/>
            <w:r>
              <w:rPr>
                <w:rFonts w:ascii="Times New Roman" w:hAnsi="Times New Roman"/>
                <w:sz w:val="20"/>
              </w:rPr>
              <w:t>Model</w:t>
            </w:r>
          </w:p>
        </w:tc>
        <w:tc>
          <w:tcPr>
            <w:tcW w:type="dxa" w:w="2351"/>
          </w:tcPr>
          <w:p>
            <w:r/>
            <w:r>
              <w:rPr>
                <w:rFonts w:ascii="Times New Roman" w:hAnsi="Times New Roman"/>
                <w:sz w:val="20"/>
              </w:rPr>
              <w:t>`xgboost_hazard.py`, `calibration.py`</w:t>
            </w:r>
          </w:p>
        </w:tc>
        <w:tc>
          <w:tcPr>
            <w:tcW w:type="dxa" w:w="2351"/>
          </w:tcPr>
          <w:p>
            <w:r/>
            <w:r>
              <w:rPr>
                <w:rFonts w:ascii="Times New Roman" w:hAnsi="Times New Roman"/>
                <w:sz w:val="20"/>
              </w:rPr>
              <w:t>`XGBoostHazard`, `ProbabilityCalibrator`</w:t>
            </w:r>
          </w:p>
        </w:tc>
        <w:tc>
          <w:tcPr>
            <w:tcW w:type="dxa" w:w="2351"/>
          </w:tcPr>
          <w:p>
            <w:r/>
            <w:r>
              <w:rPr>
                <w:rFonts w:ascii="Times New Roman" w:hAnsi="Times New Roman"/>
                <w:sz w:val="20"/>
              </w:rPr>
              <w:t>Train hazard models and calibrate probabilities</w:t>
            </w:r>
          </w:p>
        </w:tc>
      </w:tr>
      <w:tr>
        <w:tc>
          <w:tcPr>
            <w:tcW w:type="dxa" w:w="2351"/>
          </w:tcPr>
          <w:p>
            <w:r/>
            <w:r>
              <w:rPr>
                <w:rFonts w:ascii="Times New Roman" w:hAnsi="Times New Roman"/>
                <w:sz w:val="20"/>
              </w:rPr>
              <w:t>Dispatch</w:t>
            </w:r>
          </w:p>
        </w:tc>
        <w:tc>
          <w:tcPr>
            <w:tcW w:type="dxa" w:w="2351"/>
          </w:tcPr>
          <w:p>
            <w:r/>
            <w:r>
              <w:rPr>
                <w:rFonts w:ascii="Times New Roman" w:hAnsi="Times New Roman"/>
                <w:sz w:val="20"/>
              </w:rPr>
              <w:t>`threshold.py`, `derating.py`, `market_sim.py`</w:t>
            </w:r>
          </w:p>
        </w:tc>
        <w:tc>
          <w:tcPr>
            <w:tcW w:type="dxa" w:w="2351"/>
          </w:tcPr>
          <w:p>
            <w:r/>
            <w:r>
              <w:rPr>
                <w:rFonts w:ascii="Times New Roman" w:hAnsi="Times New Roman"/>
                <w:sz w:val="20"/>
              </w:rPr>
              <w:t>`ThresholdPolicy`, `ContinuousDeratingPolicy`, `MarketSimulator`</w:t>
            </w:r>
          </w:p>
        </w:tc>
        <w:tc>
          <w:tcPr>
            <w:tcW w:type="dxa" w:w="2351"/>
          </w:tcPr>
          <w:p>
            <w:r/>
            <w:r>
              <w:rPr>
                <w:rFonts w:ascii="Times New Roman" w:hAnsi="Times New Roman"/>
                <w:sz w:val="20"/>
              </w:rPr>
              <w:t>Convert risk estimates to operational decisions</w:t>
            </w:r>
          </w:p>
        </w:tc>
      </w:tr>
      <w:tr>
        <w:tc>
          <w:tcPr>
            <w:tcW w:type="dxa" w:w="2351"/>
          </w:tcPr>
          <w:p>
            <w:r/>
            <w:r>
              <w:rPr>
                <w:rFonts w:ascii="Times New Roman" w:hAnsi="Times New Roman"/>
                <w:sz w:val="20"/>
              </w:rPr>
              <w:t>Evaluation</w:t>
            </w:r>
          </w:p>
        </w:tc>
        <w:tc>
          <w:tcPr>
            <w:tcW w:type="dxa" w:w="2351"/>
          </w:tcPr>
          <w:p>
            <w:r/>
            <w:r>
              <w:rPr>
                <w:rFonts w:ascii="Times New Roman" w:hAnsi="Times New Roman"/>
                <w:sz w:val="20"/>
              </w:rPr>
              <w:t>`metrics.py`, `cross_validation.py`, `visualization.py`</w:t>
            </w:r>
          </w:p>
        </w:tc>
        <w:tc>
          <w:tcPr>
            <w:tcW w:type="dxa" w:w="2351"/>
          </w:tcPr>
          <w:p>
            <w:r/>
            <w:r>
              <w:rPr>
                <w:rFonts w:ascii="Times New Roman" w:hAnsi="Times New Roman"/>
                <w:sz w:val="20"/>
              </w:rPr>
              <w:t>—</w:t>
            </w:r>
          </w:p>
        </w:tc>
        <w:tc>
          <w:tcPr>
            <w:tcW w:type="dxa" w:w="2351"/>
          </w:tcPr>
          <w:p>
            <w:r/>
            <w:r>
              <w:rPr>
                <w:rFonts w:ascii="Times New Roman" w:hAnsi="Times New Roman"/>
                <w:sz w:val="20"/>
              </w:rPr>
              <w:t>Compute metrics, perform CV, generate plots</w:t>
            </w:r>
          </w:p>
        </w:tc>
      </w:tr>
      <w:tr>
        <w:tc>
          <w:tcPr>
            <w:tcW w:type="dxa" w:w="2351"/>
          </w:tcPr>
          <w:p>
            <w:r/>
            <w:r>
              <w:rPr>
                <w:rFonts w:ascii="Times New Roman" w:hAnsi="Times New Roman"/>
                <w:sz w:val="20"/>
              </w:rPr>
              <w:t>Experiments</w:t>
            </w:r>
          </w:p>
        </w:tc>
        <w:tc>
          <w:tcPr>
            <w:tcW w:type="dxa" w:w="2351"/>
          </w:tcPr>
          <w:p>
            <w:r/>
            <w:r>
              <w:rPr>
                <w:rFonts w:ascii="Times New Roman" w:hAnsi="Times New Roman"/>
                <w:sz w:val="20"/>
              </w:rPr>
              <w:t>`run_all.py`, `config.yaml`</w:t>
            </w:r>
          </w:p>
        </w:tc>
        <w:tc>
          <w:tcPr>
            <w:tcW w:type="dxa" w:w="2351"/>
          </w:tcPr>
          <w:p>
            <w:r/>
            <w:r>
              <w:rPr>
                <w:rFonts w:ascii="Times New Roman" w:hAnsi="Times New Roman"/>
                <w:sz w:val="20"/>
              </w:rPr>
              <w:t>—</w:t>
            </w:r>
          </w:p>
        </w:tc>
        <w:tc>
          <w:tcPr>
            <w:tcW w:type="dxa" w:w="2351"/>
          </w:tcPr>
          <w:p>
            <w:r/>
            <w:r>
              <w:rPr>
                <w:rFonts w:ascii="Times New Roman" w:hAnsi="Times New Roman"/>
                <w:sz w:val="20"/>
              </w:rPr>
              <w:t>Orchestrate reproducible experiments via single config</w:t>
            </w:r>
          </w:p>
        </w:tc>
      </w:tr>
    </w:tbl>
    <w:p>
      <w:pPr>
        <w:spacing w:after="80"/>
      </w:pPr>
    </w:p>
    <w:p>
      <w:pPr>
        <w:spacing w:after="80" w:line="276" w:lineRule="auto"/>
      </w:pPr>
      <w:r>
        <w:rPr>
          <w:rFonts w:ascii="Times New Roman" w:hAnsi="Times New Roman"/>
          <w:sz w:val="22"/>
        </w:rPr>
      </w:r>
      <w:r>
        <w:rPr>
          <w:rFonts w:ascii="Times New Roman" w:hAnsi="Times New Roman"/>
          <w:b/>
          <w:sz w:val="22"/>
        </w:rPr>
        <w:t>Total: 12 classes across 5 modules.</w:t>
      </w:r>
      <w:r>
        <w:rPr>
          <w:rFonts w:ascii="Times New Roman" w:hAnsi="Times New Roman"/>
          <w:sz w:val="22"/>
        </w:rPr>
      </w:r>
    </w:p>
    <w:p>
      <w:pPr>
        <w:spacing w:after="120" w:before="160"/>
      </w:pPr>
      <w:r>
        <w:rPr>
          <w:rFonts w:ascii="Times New Roman" w:hAnsi="Times New Roman"/>
          <w:b/>
          <w:i w:val="0"/>
          <w:sz w:val="22"/>
        </w:rPr>
        <w:t>2.2 Data Layer</w:t>
      </w:r>
    </w:p>
    <w:p>
      <w:pPr>
        <w:spacing w:after="80" w:line="276" w:lineRule="auto"/>
      </w:pPr>
      <w:r>
        <w:rPr>
          <w:rFonts w:ascii="Times New Roman" w:hAnsi="Times New Roman"/>
          <w:sz w:val="22"/>
        </w:rPr>
        <w:t>`NASALoader` parses NASA PCoE .mat files into normalized DataFrames with columns for capacity, voltage, current, temperature, and derived features (SOH, differentials, moving averages). `CompositeFailureLabeler` supports both single-criterion (SOH &lt; 0.70) and multi-criteria (SOH + sudden capacity drop) failure definitions. `OperationalAugmenter` generates synthetic operational profiles.</w:t>
      </w:r>
    </w:p>
    <w:p>
      <w:pPr>
        <w:spacing w:after="120" w:before="160"/>
      </w:pPr>
      <w:r>
        <w:rPr>
          <w:rFonts w:ascii="Times New Roman" w:hAnsi="Times New Roman"/>
          <w:b/>
          <w:i w:val="0"/>
          <w:sz w:val="22"/>
        </w:rPr>
        <w:t>2.3 Model Layer</w:t>
      </w:r>
    </w:p>
    <w:p>
      <w:pPr>
        <w:spacing w:after="80" w:line="276" w:lineRule="auto"/>
      </w:pPr>
      <w:r>
        <w:rPr>
          <w:rFonts w:ascii="Times New Roman" w:hAnsi="Times New Roman"/>
          <w:sz w:val="22"/>
        </w:rPr>
        <w:t xml:space="preserve">`XGBoostHazard` trains one `xgboost.XGBClassifier` per prediction horizon using early stopping (patience=20). The model operates on a </w:t>
      </w:r>
      <w:r>
        <w:rPr>
          <w:rFonts w:ascii="Times New Roman" w:hAnsi="Times New Roman"/>
          <w:b/>
          <w:sz w:val="22"/>
        </w:rPr>
        <w:t>discrete-time representation</w:t>
      </w:r>
      <w:r>
        <w:rPr>
          <w:rFonts w:ascii="Times New Roman" w:hAnsi="Times New Roman"/>
          <w:sz w:val="22"/>
        </w:rPr>
        <w:t>: each cycle is a row with cycle-level features (SOH, voltage_avg, current_avg, temperature_avg, cycle number) plus derived deltas (d_SOH, d_capacity). These features vary across cycles within each cell, so the model naturally captures time-varying covariate effects. While the framework uses standard `binary:logistic` classification per horizon rather than a custom survival likelihood (e.g., Cox or AFT loss), this approach produces well-calibrated hazard probability estimates when combined with isotonic regression, as demonstrated by the scaling study in §5.2. The model is trained on 80% of each training fold; the remaining 20% is held out for early stopping and calibrator fitting.</w:t>
      </w:r>
    </w:p>
    <w:p>
      <w:pPr>
        <w:spacing w:after="80" w:line="276" w:lineRule="auto"/>
      </w:pPr>
      <w:r>
        <w:rPr>
          <w:rFonts w:ascii="Times New Roman" w:hAnsi="Times New Roman"/>
          <w:sz w:val="22"/>
        </w:rPr>
        <w:t>`ProbabilityCalibrator` applies isotonic regression on the held-out validation set, not the test set. This distinction is critical: fitting the calibrator on test data (calibration leakage) can artificially inflate calibration metrics and is discussed in Section 6.</w:t>
      </w:r>
    </w:p>
    <w:p>
      <w:pPr>
        <w:spacing w:after="120" w:before="160"/>
      </w:pPr>
      <w:r>
        <w:rPr>
          <w:rFonts w:ascii="Times New Roman" w:hAnsi="Times New Roman"/>
          <w:b/>
          <w:i w:val="0"/>
          <w:sz w:val="22"/>
        </w:rPr>
        <w:t>2.4 Dispatch Layer</w:t>
      </w:r>
    </w:p>
    <w:p>
      <w:pPr>
        <w:spacing w:after="80" w:line="276" w:lineRule="auto"/>
      </w:pPr>
      <w:r>
        <w:rPr>
          <w:rFonts w:ascii="Times New Roman" w:hAnsi="Times New Roman"/>
          <w:sz w:val="22"/>
        </w:rPr>
        <w:t>`ThresholdPolicy` implements binary accept/reject: dispatch only if $P(\text{fail}) &lt; \tau$. `ContinuousDeratingPolicy` applies smooth energy derating: $E_{\text{delivered}} = E_{\text{requested}} \cdot (1 - P(\text{fail}))^\alpha$. `MarketSimulator` runs Monte Carlo scenarios with an AR(1) price process, accounting for both service revenue and failure penalties.</w:t>
      </w:r>
    </w:p>
    <w:p>
      <w:pPr>
        <w:spacing w:after="120" w:before="160"/>
      </w:pPr>
      <w:r>
        <w:rPr>
          <w:rFonts w:ascii="Times New Roman" w:hAnsi="Times New Roman"/>
          <w:b/>
          <w:i w:val="0"/>
          <w:sz w:val="22"/>
        </w:rPr>
        <w:t>2.5 Evaluation Layer</w:t>
      </w:r>
    </w:p>
    <w:p>
      <w:pPr>
        <w:spacing w:after="80" w:line="276" w:lineRule="auto"/>
      </w:pPr>
      <w:r>
        <w:rPr>
          <w:rFonts w:ascii="Times New Roman" w:hAnsi="Times New Roman"/>
          <w:sz w:val="22"/>
        </w:rPr>
        <w:t>`leave_battery_out_cv` performs strict leave-one-battery-out cross-validation. For tree-based models (XGBoost), flat 2D features are used. For sequence models (LSTM, TCN, Transformer), 3D sliding windows are constructed. `compute_metrics` calculates AUC, Brier score, and expected calibration error (ECE) per horizon and macro-averaged. Macro-averaged AUC is computed as the unweighted mean of per-horizon AUCs across H ∈ {10, 20, 30, 50} cycles.</w:t>
      </w:r>
    </w:p>
    <w:p>
      <w:pPr>
        <w:spacing w:after="120" w:before="160"/>
      </w:pPr>
      <w:r>
        <w:rPr>
          <w:rFonts w:ascii="Times New Roman" w:hAnsi="Times New Roman"/>
          <w:b/>
          <w:i w:val="0"/>
          <w:sz w:val="22"/>
        </w:rPr>
        <w:t>2.6 Reproducibility Design</w:t>
      </w:r>
    </w:p>
    <w:p>
      <w:pPr>
        <w:spacing w:after="80" w:line="276" w:lineRule="auto"/>
      </w:pPr>
      <w:r>
        <w:rPr>
          <w:rFonts w:ascii="Times New Roman" w:hAnsi="Times New Roman"/>
          <w:sz w:val="22"/>
        </w:rPr>
        <w:t>All experiments are configured via a single `config.yaml` file: 110 lines controlling all hyperparameters, data paths, and experimental modes. The `run_all.py` entry point supports `--quick` (XGBoost only, &lt; 10 seconds per run) and `--full` (including deep learning models) modes. Results are saved as timestamped JSON files. A synthetic data fallback ensures the pipeline runs without external data dependencies. A complete usage example is provided in the repository README and can be run with `python run_all.py --quick --synthetic` to verify the installation.</w:t>
      </w:r>
    </w:p>
    <w:p>
      <w:pPr>
        <w:spacing w:after="120" w:before="160"/>
      </w:pPr>
      <w:r>
        <w:rPr>
          <w:rFonts w:ascii="Times New Roman" w:hAnsi="Times New Roman"/>
          <w:b/>
          <w:i w:val="0"/>
          <w:sz w:val="24"/>
        </w:rPr>
        <w:t>4 Synthetic Data Generator</w:t>
      </w:r>
    </w:p>
    <w:p>
      <w:pPr>
        <w:spacing w:after="120" w:before="160"/>
      </w:pPr>
      <w:r>
        <w:rPr>
          <w:rFonts w:ascii="Times New Roman" w:hAnsi="Times New Roman"/>
          <w:b/>
          <w:i w:val="0"/>
          <w:sz w:val="22"/>
        </w:rPr>
        <w:t>4.1 Degradation Model</w:t>
      </w:r>
    </w:p>
    <w:p>
      <w:pPr>
        <w:spacing w:after="80" w:line="276" w:lineRule="auto"/>
      </w:pPr>
      <w:r>
        <w:rPr>
          <w:rFonts w:ascii="Times New Roman" w:hAnsi="Times New Roman"/>
          <w:sz w:val="22"/>
        </w:rPr>
        <w:t>The synthetic generator creates realistic capacity fade trajectories using a piecewise model:</w:t>
      </w:r>
    </w:p>
    <w:p>
      <w:pPr>
        <w:spacing w:after="40"/>
        <w:ind w:left="567"/>
      </w:pPr>
      <w:r>
        <w:rPr>
          <w:rFonts w:ascii="Times New Roman" w:hAnsi="Times New Roman"/>
          <w:sz w:val="22"/>
        </w:rPr>
        <w:t>• **Linear phase:** For cycles before the acceleration point $t_{\text{accel}} = \text{EOL} - 25$, capacity fades linearly with cell-specific rate $f_i$:</w:t>
      </w:r>
    </w:p>
    <w:p>
      <w:pPr>
        <w:spacing w:after="80" w:line="276" w:lineRule="auto"/>
      </w:pPr>
      <w:r>
        <w:rPr>
          <w:rFonts w:ascii="Times New Roman" w:hAnsi="Times New Roman"/>
          <w:sz w:val="22"/>
        </w:rPr>
        <w:t>$$C_i(t) = C_0 \cdot (1 - f_i \cdot t)$$ where $t$ is the cycle number</w:t>
      </w:r>
    </w:p>
    <w:p>
      <w:pPr>
        <w:spacing w:after="40"/>
        <w:ind w:left="567"/>
      </w:pPr>
      <w:r>
        <w:rPr>
          <w:rFonts w:ascii="Times New Roman" w:hAnsi="Times New Roman"/>
          <w:sz w:val="22"/>
        </w:rPr>
        <w:t>• **Quadratic acceleration:** For cycles after $t_{\text{accel}}$, fade accelerates quadratically toward end of life:</w:t>
      </w:r>
    </w:p>
    <w:p>
      <w:pPr>
        <w:spacing w:after="80" w:line="276" w:lineRule="auto"/>
      </w:pPr>
      <w:r>
        <w:rPr>
          <w:rFonts w:ascii="Times New Roman" w:hAnsi="Times New Roman"/>
          <w:sz w:val="22"/>
        </w:rPr>
        <w:t>$$C_i(t) = C(t_{\text{accel}}) \cdot (1 - 0.20 \cdot p^2), \quad p = \frac{t - t_{\text{accel}}}{25}$$</w:t>
      </w:r>
    </w:p>
    <w:p>
      <w:pPr>
        <w:spacing w:after="40"/>
        <w:ind w:left="567"/>
      </w:pPr>
      <w:r>
        <w:rPr>
          <w:rFonts w:ascii="Times New Roman" w:hAnsi="Times New Roman"/>
          <w:sz w:val="22"/>
        </w:rPr>
        <w:t>• **Noise:** Cycle-to-cycle Gaussian noise $\mathcal{N}(0, 0.008)$ is added to each measurement.</w:t>
      </w:r>
    </w:p>
    <w:p>
      <w:pPr>
        <w:spacing w:after="120" w:before="160"/>
      </w:pPr>
      <w:r>
        <w:rPr>
          <w:rFonts w:ascii="Times New Roman" w:hAnsi="Times New Roman"/>
          <w:b/>
          <w:i w:val="0"/>
          <w:sz w:val="22"/>
        </w:rPr>
        <w:t>4.2 Cell-to-Cell Variability</w:t>
      </w:r>
    </w:p>
    <w:p>
      <w:pPr>
        <w:spacing w:after="80" w:line="276" w:lineRule="auto"/>
      </w:pPr>
      <w:r>
        <w:rPr>
          <w:rFonts w:ascii="Times New Roman" w:hAnsi="Times New Roman"/>
          <w:sz w:val="22"/>
        </w:rPr>
        <w:t>Cell-specific parameters are scaled across the population to ensure diversity at any dataset size:</w:t>
      </w:r>
    </w:p>
    <w:p>
      <w:pPr>
        <w:spacing w:after="40"/>
        <w:ind w:left="567"/>
      </w:pPr>
      <w:r>
        <w:rPr>
          <w:rFonts w:ascii="Times New Roman" w:hAnsi="Times New Roman"/>
          <w:sz w:val="22"/>
        </w:rPr>
        <w:t>• **Fade rate:** $f_i = 0.001 + 0.003 \cdot \frac{i}{N-1}$ for $i = 0, \ldots, N-1$, spanning slow to fast degradation</w:t>
      </w:r>
      <w:r>
        <w:rPr>
          <w:sz w:val="22"/>
        </w:rPr>
        <w:br/>
      </w:r>
      <w:r>
        <w:rPr>
          <w:rFonts w:ascii="Times New Roman" w:hAnsi="Times New Roman"/>
          <w:sz w:val="22"/>
        </w:rPr>
        <w:t>• **EOL point:** $\text{EOL}_i = 80 + 140 \cdot \frac{i}{N-1}$ cycles, ensuring EOL events are spread across the cycle range</w:t>
      </w:r>
      <w:r>
        <w:rPr>
          <w:sz w:val="22"/>
        </w:rPr>
        <w:br/>
      </w:r>
      <w:r>
        <w:rPr>
          <w:rFonts w:ascii="Times New Roman" w:hAnsi="Times New Roman"/>
          <w:sz w:val="22"/>
        </w:rPr>
        <w:t>• **Initial capacity:** $C_0 = 2.0 \pm 0.1$ Ah, sampled uniformly per cell</w:t>
      </w:r>
    </w:p>
    <w:p>
      <w:pPr>
        <w:spacing w:after="80" w:line="276" w:lineRule="auto"/>
      </w:pPr>
      <w:r>
        <w:rPr>
          <w:rFonts w:ascii="Times New Roman" w:hAnsi="Times New Roman"/>
          <w:sz w:val="22"/>
        </w:rPr>
        <w:t>This scaling ensures that small datasets (N=2) still contain diverse trajectories, while larger datasets add progressively more extreme examples. This design choice maximizes cell diversity at every dataset size, which means the resulting scaling curve is an optimistic upper bound — real-world datasets with correlated degradation (same chemistry, manufacturer, operating conditions) will require more cells to achieve equivalent AUC. The chosen piecewise linear-to-quadratic fade model (§4.1) follows the battery degradation modeling literature [16, 24] but is not validated against specific chemistries beyond the NASA dataset.</w:t>
      </w:r>
    </w:p>
    <w:p>
      <w:pPr>
        <w:spacing w:after="120" w:before="160"/>
      </w:pPr>
      <w:r>
        <w:rPr>
          <w:rFonts w:ascii="Times New Roman" w:hAnsi="Times New Roman"/>
          <w:b/>
          <w:i w:val="0"/>
          <w:sz w:val="22"/>
        </w:rPr>
        <w:t>4.3 Quantitative Comparison with Real Data</w:t>
      </w:r>
    </w:p>
    <w:p>
      <w:pPr>
        <w:spacing w:after="80" w:line="276" w:lineRule="auto"/>
      </w:pPr>
      <w:r>
        <w:rPr>
          <w:rFonts w:ascii="Times New Roman" w:hAnsi="Times New Roman"/>
          <w:sz w:val="22"/>
        </w:rPr>
        <w:t>We compare the degradation rate distributions of synthetic and real NASA data using a two-sample Kolmogorov–Smirnov (KS) test. The per-cycle SOH difference ($\Delta\text{SOH}_t = \text{SOH}_t - \text{SOH}_{t-1}$) captures the instantaneous degradation rate: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b/>
                <w:sz w:val="20"/>
              </w:rPr>
              <w:t>Metric</w:t>
            </w:r>
          </w:p>
        </w:tc>
        <w:tc>
          <w:tcPr>
            <w:tcW w:type="dxa" w:w="1881"/>
          </w:tcPr>
          <w:p>
            <w:pPr>
              <w:jc w:val="center"/>
            </w:pPr>
            <w:r/>
            <w:r>
              <w:rPr>
                <w:rFonts w:ascii="Times New Roman" w:hAnsi="Times New Roman"/>
                <w:b/>
                <w:sz w:val="20"/>
              </w:rPr>
              <w:t>Real NASA</w:t>
            </w:r>
          </w:p>
        </w:tc>
        <w:tc>
          <w:tcPr>
            <w:tcW w:type="dxa" w:w="1881"/>
          </w:tcPr>
          <w:p>
            <w:pPr>
              <w:jc w:val="center"/>
            </w:pPr>
            <w:r/>
            <w:r>
              <w:rPr>
                <w:rFonts w:ascii="Times New Roman" w:hAnsi="Times New Roman"/>
                <w:b/>
                <w:sz w:val="20"/>
              </w:rPr>
              <w:t>Synthetic</w:t>
            </w:r>
          </w:p>
        </w:tc>
        <w:tc>
          <w:tcPr>
            <w:tcW w:type="dxa" w:w="1881"/>
          </w:tcPr>
          <w:p>
            <w:pPr>
              <w:jc w:val="center"/>
            </w:pPr>
            <w:r/>
            <w:r>
              <w:rPr>
                <w:rFonts w:ascii="Times New Roman" w:hAnsi="Times New Roman"/>
                <w:b/>
                <w:sz w:val="20"/>
              </w:rPr>
              <w:t>KS statistic</w:t>
            </w:r>
          </w:p>
        </w:tc>
        <w:tc>
          <w:tcPr>
            <w:tcW w:type="dxa" w:w="1881"/>
          </w:tcPr>
          <w:p>
            <w:pPr>
              <w:jc w:val="center"/>
            </w:pPr>
            <w:r/>
            <w:r>
              <w:rPr>
                <w:rFonts w:ascii="Times New Roman" w:hAnsi="Times New Roman"/>
                <w:b/>
                <w:sz w:val="20"/>
              </w:rPr>
              <w:t>p-value</w:t>
            </w:r>
          </w:p>
        </w:tc>
      </w:tr>
      <w:tr>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Mean $\Delta\text{SOH}$</w:t>
            </w:r>
          </w:p>
        </w:tc>
        <w:tc>
          <w:tcPr>
            <w:tcW w:type="dxa" w:w="1881"/>
          </w:tcPr>
          <w:p>
            <w:r/>
            <w:r>
              <w:rPr>
                <w:rFonts w:ascii="Times New Roman" w:hAnsi="Times New Roman"/>
                <w:sz w:val="20"/>
              </w:rPr>
              <w:t>$-0.00195$</w:t>
            </w:r>
          </w:p>
        </w:tc>
        <w:tc>
          <w:tcPr>
            <w:tcW w:type="dxa" w:w="1881"/>
          </w:tcPr>
          <w:p>
            <w:r/>
            <w:r>
              <w:rPr>
                <w:rFonts w:ascii="Times New Roman" w:hAnsi="Times New Roman"/>
                <w:sz w:val="20"/>
              </w:rPr>
              <w:t>$-0.00336$</w:t>
            </w:r>
          </w:p>
        </w:tc>
        <w:tc>
          <w:tcPr>
            <w:tcW w:type="dxa" w:w="1881"/>
          </w:tcPr>
          <w:p>
            <w:r/>
            <w:r>
              <w:rPr>
                <w:rFonts w:ascii="Times New Roman" w:hAnsi="Times New Roman"/>
                <w:sz w:val="20"/>
              </w:rPr>
              <w:t>0.3312</w:t>
            </w:r>
          </w:p>
        </w:tc>
        <w:tc>
          <w:tcPr>
            <w:tcW w:type="dxa" w:w="1881"/>
          </w:tcPr>
          <w:p>
            <w:r/>
            <w:r>
              <w:rPr>
                <w:rFonts w:ascii="Times New Roman" w:hAnsi="Times New Roman"/>
                <w:sz w:val="20"/>
              </w:rPr>
              <w:t>$&lt;0.001$</w:t>
            </w:r>
          </w:p>
        </w:tc>
      </w:tr>
      <w:tr>
        <w:tc>
          <w:tcPr>
            <w:tcW w:type="dxa" w:w="1881"/>
          </w:tcPr>
          <w:p>
            <w:r/>
            <w:r>
              <w:rPr>
                <w:rFonts w:ascii="Times New Roman" w:hAnsi="Times New Roman"/>
                <w:sz w:val="20"/>
              </w:rPr>
              <w:t>Sample size</w:t>
            </w:r>
          </w:p>
        </w:tc>
        <w:tc>
          <w:tcPr>
            <w:tcW w:type="dxa" w:w="1881"/>
          </w:tcPr>
          <w:p>
            <w:r/>
            <w:r>
              <w:rPr>
                <w:rFonts w:ascii="Times New Roman" w:hAnsi="Times New Roman"/>
                <w:sz w:val="20"/>
              </w:rPr>
              <w:t>632</w:t>
            </w:r>
          </w:p>
        </w:tc>
        <w:tc>
          <w:tcPr>
            <w:tcW w:type="dxa" w:w="1881"/>
          </w:tcPr>
          <w:p>
            <w:r/>
            <w:r>
              <w:rPr>
                <w:rFonts w:ascii="Times New Roman" w:hAnsi="Times New Roman"/>
                <w:sz w:val="20"/>
              </w:rPr>
              <w:t>1196</w:t>
            </w:r>
          </w:p>
        </w:tc>
        <w:tc>
          <w:tcPr>
            <w:tcW w:type="dxa" w:w="1881"/>
          </w:tcPr>
          <w:p>
            <w:r/>
            <w:r>
              <w:rPr>
                <w:rFonts w:ascii="Times New Roman" w:hAnsi="Times New Roman"/>
                <w:sz w:val="20"/>
              </w:rPr>
            </w:r>
          </w:p>
        </w:tc>
        <w:tc>
          <w:tcPr>
            <w:tcW w:type="dxa" w:w="1881"/>
          </w:tcPr>
          <w:p>
            <w:r/>
            <w:r>
              <w:rPr>
                <w:rFonts w:ascii="Times New Roman" w:hAnsi="Times New Roman"/>
                <w:sz w:val="20"/>
              </w:rPr>
            </w:r>
          </w:p>
        </w:tc>
      </w:tr>
    </w:tbl>
    <w:p>
      <w:pPr>
        <w:spacing w:after="80"/>
      </w:pPr>
    </w:p>
    <w:p>
      <w:pPr>
        <w:spacing w:after="80" w:line="276" w:lineRule="auto"/>
      </w:pPr>
      <w:r>
        <w:rPr>
          <w:rFonts w:ascii="Times New Roman" w:hAnsi="Times New Roman"/>
          <w:sz w:val="22"/>
        </w:rPr>
        <w:t>The synthetic data degrades approximately 1.7× faster on average, and the KS test confirms the distributions differ significantly (p &lt; 0.001). This quantitative gap reinforces that the scaling curve represents an optimistic bound: the synthetic data is not only cleaner but also exhibits systematically different degradation kinetics. Despite these significant distributional differences (KS D=0.33), the synthetic-to-real transfer test (§5.1) achieves AUC 0.88, suggesting the framework is robust to moderate distributional shift. Nevertheless, real-world validation is essential before applying these guidelines to specific battery chemistries or operating conditions.</w:t>
      </w:r>
    </w:p>
    <w:p>
      <w:pPr>
        <w:spacing w:after="80" w:line="276" w:lineRule="auto"/>
      </w:pPr>
      <w:r>
        <w:rPr>
          <w:rFonts w:ascii="Times New Roman" w:hAnsi="Times New Roman"/>
          <w:sz w:val="22"/>
        </w:rPr>
        <w:t>The generator also lacks capacity regeneration effects, calendar aging, and measurement artifacts present in real data, contributing additional sources of optimistic bias. Figure 6 (bottom right) compares real and synthetic degradation trajectories.</w:t>
      </w:r>
    </w:p>
    <w:p>
      <w:pPr>
        <w:spacing w:after="80" w:line="276" w:lineRule="auto"/>
      </w:pPr>
      <w:r>
        <w:rPr>
          <w:rFonts w:ascii="Times New Roman" w:hAnsi="Times New Roman"/>
          <w:sz w:val="22"/>
        </w:rPr>
      </w:r>
      <w:r>
        <w:rPr>
          <w:rFonts w:ascii="Times New Roman" w:hAnsi="Times New Roman"/>
          <w:b/>
          <w:sz w:val="22"/>
        </w:rPr>
        <w:t>Per-feature distributional comparison:</w:t>
      </w:r>
      <w:r>
        <w:rPr>
          <w:rFonts w:ascii="Times New Roman" w:hAnsi="Times New Roman"/>
          <w:sz w:val="22"/>
        </w:rPr>
        <w:t xml:space="preserve"> We quantify the divergence between real and synthetic data across all input features using KL divergence and Wasserstein distance via Gaussian KDE estimation: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b/>
                <w:sz w:val="20"/>
              </w:rPr>
              <w:t>Feature</w:t>
            </w:r>
          </w:p>
        </w:tc>
        <w:tc>
          <w:tcPr>
            <w:tcW w:type="dxa" w:w="1881"/>
          </w:tcPr>
          <w:p>
            <w:pPr>
              <w:jc w:val="center"/>
            </w:pPr>
            <w:r/>
            <w:r>
              <w:rPr>
                <w:rFonts w:ascii="Times New Roman" w:hAnsi="Times New Roman"/>
                <w:b/>
                <w:sz w:val="20"/>
              </w:rPr>
              <w:t>KL divergence (nats)</w:t>
            </w:r>
          </w:p>
        </w:tc>
        <w:tc>
          <w:tcPr>
            <w:tcW w:type="dxa" w:w="1881"/>
          </w:tcPr>
          <w:p>
            <w:pPr>
              <w:jc w:val="center"/>
            </w:pPr>
            <w:r/>
            <w:r>
              <w:rPr>
                <w:rFonts w:ascii="Times New Roman" w:hAnsi="Times New Roman"/>
                <w:b/>
                <w:sz w:val="20"/>
              </w:rPr>
              <w:t>Wasserstein</w:t>
            </w:r>
          </w:p>
        </w:tc>
        <w:tc>
          <w:tcPr>
            <w:tcW w:type="dxa" w:w="1881"/>
          </w:tcPr>
          <w:p>
            <w:pPr>
              <w:jc w:val="center"/>
            </w:pPr>
            <w:r/>
            <w:r>
              <w:rPr>
                <w:rFonts w:ascii="Times New Roman" w:hAnsi="Times New Roman"/>
                <w:b/>
                <w:sz w:val="20"/>
              </w:rPr>
              <w:t>Real mean</w:t>
            </w:r>
          </w:p>
        </w:tc>
        <w:tc>
          <w:tcPr>
            <w:tcW w:type="dxa" w:w="1881"/>
          </w:tcPr>
          <w:p>
            <w:pPr>
              <w:jc w:val="center"/>
            </w:pPr>
            <w:r/>
            <w:r>
              <w:rPr>
                <w:rFonts w:ascii="Times New Roman" w:hAnsi="Times New Roman"/>
                <w:b/>
                <w:sz w:val="20"/>
              </w:rPr>
              <w:t>Syn mean</w:t>
            </w:r>
          </w:p>
        </w:tc>
      </w:tr>
      <w:tr>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SOH</w:t>
            </w:r>
          </w:p>
        </w:tc>
        <w:tc>
          <w:tcPr>
            <w:tcW w:type="dxa" w:w="1881"/>
          </w:tcPr>
          <w:p>
            <w:r/>
            <w:r>
              <w:rPr>
                <w:rFonts w:ascii="Times New Roman" w:hAnsi="Times New Roman"/>
                <w:sz w:val="20"/>
              </w:rPr>
              <w:t>0.062</w:t>
            </w:r>
          </w:p>
        </w:tc>
        <w:tc>
          <w:tcPr>
            <w:tcW w:type="dxa" w:w="1881"/>
          </w:tcPr>
          <w:p>
            <w:r/>
            <w:r>
              <w:rPr>
                <w:rFonts w:ascii="Times New Roman" w:hAnsi="Times New Roman"/>
                <w:sz w:val="20"/>
              </w:rPr>
              <w:t>0.425</w:t>
            </w:r>
          </w:p>
        </w:tc>
        <w:tc>
          <w:tcPr>
            <w:tcW w:type="dxa" w:w="1881"/>
          </w:tcPr>
          <w:p>
            <w:r/>
            <w:r>
              <w:rPr>
                <w:rFonts w:ascii="Times New Roman" w:hAnsi="Times New Roman"/>
                <w:sz w:val="20"/>
              </w:rPr>
              <w:t>0.835</w:t>
            </w:r>
          </w:p>
        </w:tc>
        <w:tc>
          <w:tcPr>
            <w:tcW w:type="dxa" w:w="1881"/>
          </w:tcPr>
          <w:p>
            <w:r/>
            <w:r>
              <w:rPr>
                <w:rFonts w:ascii="Times New Roman" w:hAnsi="Times New Roman"/>
                <w:sz w:val="20"/>
              </w:rPr>
              <w:t>0.410</w:t>
            </w:r>
          </w:p>
        </w:tc>
      </w:tr>
      <w:tr>
        <w:tc>
          <w:tcPr>
            <w:tcW w:type="dxa" w:w="1881"/>
          </w:tcPr>
          <w:p>
            <w:r/>
            <w:r>
              <w:rPr>
                <w:rFonts w:ascii="Times New Roman" w:hAnsi="Times New Roman"/>
                <w:sz w:val="20"/>
              </w:rPr>
              <w:t>Voltage avg</w:t>
            </w:r>
          </w:p>
        </w:tc>
        <w:tc>
          <w:tcPr>
            <w:tcW w:type="dxa" w:w="1881"/>
          </w:tcPr>
          <w:p>
            <w:r/>
            <w:r>
              <w:rPr>
                <w:rFonts w:ascii="Times New Roman" w:hAnsi="Times New Roman"/>
                <w:sz w:val="20"/>
              </w:rPr>
              <w:t>0.331</w:t>
            </w:r>
          </w:p>
        </w:tc>
        <w:tc>
          <w:tcPr>
            <w:tcW w:type="dxa" w:w="1881"/>
          </w:tcPr>
          <w:p>
            <w:r/>
            <w:r>
              <w:rPr>
                <w:rFonts w:ascii="Times New Roman" w:hAnsi="Times New Roman"/>
                <w:sz w:val="20"/>
              </w:rPr>
              <w:t>0.202</w:t>
            </w:r>
          </w:p>
        </w:tc>
        <w:tc>
          <w:tcPr>
            <w:tcW w:type="dxa" w:w="1881"/>
          </w:tcPr>
          <w:p>
            <w:r/>
            <w:r>
              <w:rPr>
                <w:rFonts w:ascii="Times New Roman" w:hAnsi="Times New Roman"/>
                <w:sz w:val="20"/>
              </w:rPr>
              <w:t>3.499</w:t>
            </w:r>
          </w:p>
        </w:tc>
        <w:tc>
          <w:tcPr>
            <w:tcW w:type="dxa" w:w="1881"/>
          </w:tcPr>
          <w:p>
            <w:r/>
            <w:r>
              <w:rPr>
                <w:rFonts w:ascii="Times New Roman" w:hAnsi="Times New Roman"/>
                <w:sz w:val="20"/>
              </w:rPr>
              <w:t>3.701</w:t>
            </w:r>
          </w:p>
        </w:tc>
      </w:tr>
      <w:tr>
        <w:tc>
          <w:tcPr>
            <w:tcW w:type="dxa" w:w="1881"/>
          </w:tcPr>
          <w:p>
            <w:r/>
            <w:r>
              <w:rPr>
                <w:rFonts w:ascii="Times New Roman" w:hAnsi="Times New Roman"/>
                <w:sz w:val="20"/>
              </w:rPr>
              <w:t>Current avg</w:t>
            </w:r>
          </w:p>
        </w:tc>
        <w:tc>
          <w:tcPr>
            <w:tcW w:type="dxa" w:w="1881"/>
          </w:tcPr>
          <w:p>
            <w:r/>
            <w:r>
              <w:rPr>
                <w:rFonts w:ascii="Times New Roman" w:hAnsi="Times New Roman"/>
                <w:sz w:val="20"/>
              </w:rPr>
              <w:t>0.603</w:t>
            </w:r>
          </w:p>
        </w:tc>
        <w:tc>
          <w:tcPr>
            <w:tcW w:type="dxa" w:w="1881"/>
          </w:tcPr>
          <w:p>
            <w:r/>
            <w:r>
              <w:rPr>
                <w:rFonts w:ascii="Times New Roman" w:hAnsi="Times New Roman"/>
                <w:sz w:val="20"/>
              </w:rPr>
              <w:t>0.167</w:t>
            </w:r>
          </w:p>
        </w:tc>
        <w:tc>
          <w:tcPr>
            <w:tcW w:type="dxa" w:w="1881"/>
          </w:tcPr>
          <w:p>
            <w:r/>
            <w:r>
              <w:rPr>
                <w:rFonts w:ascii="Times New Roman" w:hAnsi="Times New Roman"/>
                <w:sz w:val="20"/>
              </w:rPr>
              <w:t>−1.834</w:t>
            </w:r>
          </w:p>
        </w:tc>
        <w:tc>
          <w:tcPr>
            <w:tcW w:type="dxa" w:w="1881"/>
          </w:tcPr>
          <w:p>
            <w:r/>
            <w:r>
              <w:rPr>
                <w:rFonts w:ascii="Times New Roman" w:hAnsi="Times New Roman"/>
                <w:sz w:val="20"/>
              </w:rPr>
              <w:t>−2.001</w:t>
            </w:r>
          </w:p>
        </w:tc>
      </w:tr>
      <w:tr>
        <w:tc>
          <w:tcPr>
            <w:tcW w:type="dxa" w:w="1881"/>
          </w:tcPr>
          <w:p>
            <w:r/>
            <w:r>
              <w:rPr>
                <w:rFonts w:ascii="Times New Roman" w:hAnsi="Times New Roman"/>
                <w:sz w:val="20"/>
              </w:rPr>
              <w:t>Temperature avg</w:t>
            </w:r>
          </w:p>
        </w:tc>
        <w:tc>
          <w:tcPr>
            <w:tcW w:type="dxa" w:w="1881"/>
          </w:tcPr>
          <w:p>
            <w:r/>
            <w:r>
              <w:rPr>
                <w:rFonts w:ascii="Times New Roman" w:hAnsi="Times New Roman"/>
                <w:sz w:val="20"/>
              </w:rPr>
              <w:t>0.780</w:t>
            </w:r>
          </w:p>
        </w:tc>
        <w:tc>
          <w:tcPr>
            <w:tcW w:type="dxa" w:w="1881"/>
          </w:tcPr>
          <w:p>
            <w:r/>
            <w:r>
              <w:rPr>
                <w:rFonts w:ascii="Times New Roman" w:hAnsi="Times New Roman"/>
                <w:sz w:val="20"/>
              </w:rPr>
              <w:t>7.309</w:t>
            </w:r>
          </w:p>
        </w:tc>
        <w:tc>
          <w:tcPr>
            <w:tcW w:type="dxa" w:w="1881"/>
          </w:tcPr>
          <w:p>
            <w:r/>
            <w:r>
              <w:rPr>
                <w:rFonts w:ascii="Times New Roman" w:hAnsi="Times New Roman"/>
                <w:sz w:val="20"/>
              </w:rPr>
              <w:t>32.33</w:t>
            </w:r>
          </w:p>
        </w:tc>
        <w:tc>
          <w:tcPr>
            <w:tcW w:type="dxa" w:w="1881"/>
          </w:tcPr>
          <w:p>
            <w:r/>
            <w:r>
              <w:rPr>
                <w:rFonts w:ascii="Times New Roman" w:hAnsi="Times New Roman"/>
                <w:sz w:val="20"/>
              </w:rPr>
              <w:t>25.02</w:t>
            </w:r>
          </w:p>
        </w:tc>
      </w:tr>
      <w:tr>
        <w:tc>
          <w:tcPr>
            <w:tcW w:type="dxa" w:w="1881"/>
          </w:tcPr>
          <w:p>
            <w:r/>
            <w:r>
              <w:rPr>
                <w:rFonts w:ascii="Times New Roman" w:hAnsi="Times New Roman"/>
                <w:sz w:val="20"/>
              </w:rPr>
              <w:t>dSOH</w:t>
            </w:r>
          </w:p>
        </w:tc>
        <w:tc>
          <w:tcPr>
            <w:tcW w:type="dxa" w:w="1881"/>
          </w:tcPr>
          <w:p>
            <w:r/>
            <w:r>
              <w:rPr>
                <w:rFonts w:ascii="Times New Roman" w:hAnsi="Times New Roman"/>
                <w:sz w:val="20"/>
              </w:rPr>
              <w:t>0.244</w:t>
            </w:r>
          </w:p>
        </w:tc>
        <w:tc>
          <w:tcPr>
            <w:tcW w:type="dxa" w:w="1881"/>
          </w:tcPr>
          <w:p>
            <w:r/>
            <w:r>
              <w:rPr>
                <w:rFonts w:ascii="Times New Roman" w:hAnsi="Times New Roman"/>
                <w:sz w:val="20"/>
              </w:rPr>
              <w:t>0.003</w:t>
            </w:r>
          </w:p>
        </w:tc>
        <w:tc>
          <w:tcPr>
            <w:tcW w:type="dxa" w:w="1881"/>
          </w:tcPr>
          <w:p>
            <w:r/>
            <w:r>
              <w:rPr>
                <w:rFonts w:ascii="Times New Roman" w:hAnsi="Times New Roman"/>
                <w:sz w:val="20"/>
              </w:rPr>
              <w:t>−0.0019</w:t>
            </w:r>
          </w:p>
        </w:tc>
        <w:tc>
          <w:tcPr>
            <w:tcW w:type="dxa" w:w="1881"/>
          </w:tcPr>
          <w:p>
            <w:r/>
            <w:r>
              <w:rPr>
                <w:rFonts w:ascii="Times New Roman" w:hAnsi="Times New Roman"/>
                <w:sz w:val="20"/>
              </w:rPr>
              <w:t>−0.0034</w:t>
            </w:r>
          </w:p>
        </w:tc>
      </w:tr>
      <w:tr>
        <w:tc>
          <w:tcPr>
            <w:tcW w:type="dxa" w:w="1881"/>
          </w:tcPr>
          <w:p>
            <w:r/>
            <w:r>
              <w:rPr>
                <w:rFonts w:ascii="Times New Roman" w:hAnsi="Times New Roman"/>
                <w:sz w:val="20"/>
              </w:rPr>
              <w:t>dCapacity</w:t>
            </w:r>
          </w:p>
        </w:tc>
        <w:tc>
          <w:tcPr>
            <w:tcW w:type="dxa" w:w="1881"/>
          </w:tcPr>
          <w:p>
            <w:r/>
            <w:r>
              <w:rPr>
                <w:rFonts w:ascii="Times New Roman" w:hAnsi="Times New Roman"/>
                <w:sz w:val="20"/>
              </w:rPr>
              <w:t>0.241</w:t>
            </w:r>
          </w:p>
        </w:tc>
        <w:tc>
          <w:tcPr>
            <w:tcW w:type="dxa" w:w="1881"/>
          </w:tcPr>
          <w:p>
            <w:r/>
            <w:r>
              <w:rPr>
                <w:rFonts w:ascii="Times New Roman" w:hAnsi="Times New Roman"/>
                <w:sz w:val="20"/>
              </w:rPr>
              <w:t>0.007</w:t>
            </w:r>
          </w:p>
        </w:tc>
        <w:tc>
          <w:tcPr>
            <w:tcW w:type="dxa" w:w="1881"/>
          </w:tcPr>
          <w:p>
            <w:r/>
            <w:r>
              <w:rPr>
                <w:rFonts w:ascii="Times New Roman" w:hAnsi="Times New Roman"/>
                <w:sz w:val="20"/>
              </w:rPr>
              <w:t>−0.0037</w:t>
            </w:r>
          </w:p>
        </w:tc>
        <w:tc>
          <w:tcPr>
            <w:tcW w:type="dxa" w:w="1881"/>
          </w:tcPr>
          <w:p>
            <w:r/>
            <w:r>
              <w:rPr>
                <w:rFonts w:ascii="Times New Roman" w:hAnsi="Times New Roman"/>
                <w:sz w:val="20"/>
              </w:rPr>
              <w:t>−0.0066</w:t>
            </w:r>
          </w:p>
        </w:tc>
      </w:tr>
      <w:tr>
        <w:tc>
          <w:tcPr>
            <w:tcW w:type="dxa" w:w="1881"/>
          </w:tcPr>
          <w:p>
            <w:r/>
            <w:r>
              <w:rPr>
                <w:rFonts w:ascii="Times New Roman" w:hAnsi="Times New Roman"/>
                <w:sz w:val="20"/>
              </w:rPr>
              <w:t>Capacity</w:t>
            </w:r>
          </w:p>
        </w:tc>
        <w:tc>
          <w:tcPr>
            <w:tcW w:type="dxa" w:w="1881"/>
          </w:tcPr>
          <w:p>
            <w:r/>
            <w:r>
              <w:rPr>
                <w:rFonts w:ascii="Times New Roman" w:hAnsi="Times New Roman"/>
                <w:sz w:val="20"/>
              </w:rPr>
              <w:t>0.116</w:t>
            </w:r>
          </w:p>
        </w:tc>
        <w:tc>
          <w:tcPr>
            <w:tcW w:type="dxa" w:w="1881"/>
          </w:tcPr>
          <w:p>
            <w:r/>
            <w:r>
              <w:rPr>
                <w:rFonts w:ascii="Times New Roman" w:hAnsi="Times New Roman"/>
                <w:sz w:val="20"/>
              </w:rPr>
              <w:t>0.780</w:t>
            </w:r>
          </w:p>
        </w:tc>
        <w:tc>
          <w:tcPr>
            <w:tcW w:type="dxa" w:w="1881"/>
          </w:tcPr>
          <w:p>
            <w:r/>
            <w:r>
              <w:rPr>
                <w:rFonts w:ascii="Times New Roman" w:hAnsi="Times New Roman"/>
                <w:sz w:val="20"/>
              </w:rPr>
              <w:t>1.582</w:t>
            </w:r>
          </w:p>
        </w:tc>
        <w:tc>
          <w:tcPr>
            <w:tcW w:type="dxa" w:w="1881"/>
          </w:tcPr>
          <w:p>
            <w:r/>
            <w:r>
              <w:rPr>
                <w:rFonts w:ascii="Times New Roman" w:hAnsi="Times New Roman"/>
                <w:sz w:val="20"/>
              </w:rPr>
              <w:t>0.810</w:t>
            </w:r>
          </w:p>
        </w:tc>
      </w:tr>
    </w:tbl>
    <w:p>
      <w:pPr>
        <w:spacing w:after="80"/>
      </w:pPr>
    </w:p>
    <w:p>
      <w:pPr>
        <w:spacing w:after="80" w:line="276" w:lineRule="auto"/>
      </w:pPr>
      <w:r>
        <w:rPr>
          <w:rFonts w:ascii="Times New Roman" w:hAnsi="Times New Roman"/>
          <w:sz w:val="22"/>
        </w:rPr>
        <w:t>Temperature shows the largest divergence (KL=0.78, W=7.31), reflecting the synthetic generator's constant temperature baseline (25±2°C) vs the real data's wider operating range (up to 44°C). Voltage and current distributions diverge moderately (KL 0.3–0.6). The SOH and capacity divergences are modest (KL 0.06–0.12), confirming the capacity fade shape is reasonably captured. The dSOH and dCapacity divergences (KL≈0.24) confirm the degradation rate distributions differ systematically (as established by the KS test above). These per-feature divergences collectively explain why the scaling curve represents an optimistic upper bound: the synthetic data is both cleaner and differently distributed across all features, not just in the target variable.</w:t>
      </w:r>
    </w:p>
    <w:p>
      <w:pPr>
        <w:spacing w:after="80" w:line="276" w:lineRule="auto"/>
      </w:pPr>
      <w:r>
        <w:rPr>
          <w:rFonts w:ascii="Times New Roman" w:hAnsi="Times New Roman"/>
          <w:sz w:val="22"/>
        </w:rPr>
      </w:r>
      <w:r>
        <w:rPr>
          <w:rFonts w:ascii="Times New Roman" w:hAnsi="Times New Roman"/>
          <w:b/>
          <w:sz w:val="22"/>
        </w:rPr>
        <w:t>Negative control:</w:t>
      </w:r>
      <w:r>
        <w:rPr>
          <w:rFonts w:ascii="Times New Roman" w:hAnsi="Times New Roman"/>
          <w:sz w:val="22"/>
        </w:rPr>
        <w:t xml:space="preserve"> To verify the model does not exploit spurious patterns in the synthetic data, we run a label-shuffling test: the failure labels are randomly permuted (breaking all feature–label relationships), and the pipeline is re-run. The resulting macro-averaged AUC is 0.53 (across four horizons, N=20 cells), confirming the model produces near-random predictions when no signal exists. This rules out the concern that the high synthetic AUC (0.98+) is an artifact of the optimizer finding coincidental correlations.</w:t>
      </w:r>
    </w:p>
    <w:p>
      <w:pPr>
        <w:spacing w:after="120" w:before="160"/>
      </w:pPr>
      <w:r>
        <w:rPr>
          <w:rFonts w:ascii="Times New Roman" w:hAnsi="Times New Roman"/>
          <w:b/>
          <w:i w:val="0"/>
          <w:sz w:val="24"/>
        </w:rPr>
        <w:t>5 Empirical Validation</w:t>
      </w:r>
    </w:p>
    <w:p>
      <w:pPr>
        <w:spacing w:after="120" w:before="160"/>
      </w:pPr>
      <w:r>
        <w:rPr>
          <w:rFonts w:ascii="Times New Roman" w:hAnsi="Times New Roman"/>
          <w:b/>
          <w:i w:val="0"/>
          <w:sz w:val="22"/>
        </w:rPr>
        <w:t>5.1 Real-Data Case Study: NASA 4-Cell Dataset</w:t>
      </w:r>
    </w:p>
    <w:p>
      <w:pPr>
        <w:spacing w:after="80" w:line="276" w:lineRule="auto"/>
      </w:pPr>
      <w:r>
        <w:rPr>
          <w:rFonts w:ascii="Times New Roman" w:hAnsi="Times New Roman"/>
          <w:sz w:val="22"/>
        </w:rPr>
        <w:t>We evaluate the framework on the NASA PCoE classic dataset (B0005–B0018): four 18,650 lithium-ion cells with 636 total discharge cycles (Figure 2, top left). The EOL threshold (SOH &lt; 0.70) is crossed by B0005 (2 cycles) and B0006 (62 cycles); B0007 and B0018 approach but do not cross it.</w:t>
      </w:r>
    </w:p>
    <w:p>
      <w:pPr>
        <w:spacing w:after="80" w:line="276" w:lineRule="auto"/>
      </w:pPr>
      <w:r>
        <w:rPr>
          <w:rFonts w:ascii="Times New Roman" w:hAnsi="Times New Roman"/>
          <w:sz w:val="22"/>
        </w:rPr>
      </w:r>
      <w:r>
        <w:rPr>
          <w:rFonts w:ascii="Times New Roman" w:hAnsi="Times New Roman"/>
          <w:b/>
          <w:sz w:val="22"/>
        </w:rPr>
        <w:t>Setup:</w:t>
      </w:r>
      <w:r>
        <w:rPr>
          <w:rFonts w:ascii="Times New Roman" w:hAnsi="Times New Roman"/>
          <w:sz w:val="22"/>
        </w:rPr>
        <w:t xml:space="preserve"> Leave-one-battery-out cross-validation (Figure 3, top right: dataset composition; Figure 4, middle left: feature correlation). Because each battery is a physically independent unit, leave-battery-out CV does not create temporal leakage — no cycles from the test cell are used to train on the training cells. XGBoost with 300 trees, max depth 4, learning rate 0.05. Four horizons H ∈ {10, 20, 30, 50} cycles. AUC is computed per fold and macro-averaged (Figure 5, bottom left: ablation); the "stacked" AUC (concatenating all test-fold predictions) conflates between-cell and within-cell ranking and is not reported.</w:t>
      </w:r>
    </w:p>
    <w:p>
      <w:pPr>
        <w:spacing w:after="80" w:line="276" w:lineRule="auto"/>
      </w:pPr>
      <w:r>
        <w:rPr>
          <w:rFonts w:ascii="Times New Roman" w:hAnsi="Times New Roman"/>
          <w:sz w:val="22"/>
        </w:rPr>
      </w:r>
      <w:r>
        <w:rPr>
          <w:rFonts w:ascii="Times New Roman" w:hAnsi="Times New Roman"/>
          <w:b/>
          <w:sz w:val="22"/>
        </w:rPr>
        <w:t>Results:</w:t>
      </w:r>
      <w:r>
        <w:rPr>
          <w:rFonts w:ascii="Times New Roman" w:hAnsi="Times New Roman"/>
          <w:sz w:val="22"/>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Horizon</w:t>
            </w:r>
          </w:p>
        </w:tc>
        <w:tc>
          <w:tcPr>
            <w:tcW w:type="dxa" w:w="2351"/>
          </w:tcPr>
          <w:p>
            <w:pPr>
              <w:jc w:val="center"/>
            </w:pPr>
            <w:r/>
            <w:r>
              <w:rPr>
                <w:rFonts w:ascii="Times New Roman" w:hAnsi="Times New Roman"/>
                <w:b/>
                <w:sz w:val="20"/>
              </w:rPr>
              <w:t>Per-fold AUC (mean±std)</w:t>
            </w:r>
          </w:p>
        </w:tc>
        <w:tc>
          <w:tcPr>
            <w:tcW w:type="dxa" w:w="2351"/>
          </w:tcPr>
          <w:p>
            <w:pPr>
              <w:jc w:val="center"/>
            </w:pPr>
            <w:r/>
            <w:r>
              <w:rPr>
                <w:rFonts w:ascii="Times New Roman" w:hAnsi="Times New Roman"/>
                <w:b/>
                <w:sz w:val="20"/>
              </w:rPr>
              <w:t>NaN folds</w:t>
            </w:r>
          </w:p>
        </w:tc>
        <w:tc>
          <w:tcPr>
            <w:tcW w:type="dxa" w:w="2351"/>
          </w:tcPr>
          <w:p>
            <w:pPr>
              <w:jc w:val="center"/>
            </w:pPr>
            <w:r/>
            <w:r>
              <w:rPr>
                <w:rFonts w:ascii="Times New Roman" w:hAnsi="Times New Roman"/>
                <w:b/>
                <w:sz w:val="20"/>
              </w:rPr>
              <w:t>Calibrated AUC</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10</w:t>
            </w:r>
          </w:p>
        </w:tc>
        <w:tc>
          <w:tcPr>
            <w:tcW w:type="dxa" w:w="2351"/>
          </w:tcPr>
          <w:p>
            <w:r/>
            <w:r>
              <w:rPr>
                <w:rFonts w:ascii="Times New Roman" w:hAnsi="Times New Roman"/>
                <w:sz w:val="20"/>
              </w:rPr>
              <w:t>0.50±0.00</w:t>
            </w:r>
          </w:p>
        </w:tc>
        <w:tc>
          <w:tcPr>
            <w:tcW w:type="dxa" w:w="2351"/>
          </w:tcPr>
          <w:p>
            <w:r/>
            <w:r>
              <w:rPr>
                <w:rFonts w:ascii="Times New Roman" w:hAnsi="Times New Roman"/>
                <w:sz w:val="20"/>
              </w:rPr>
              <w:t>2/4</w:t>
            </w:r>
          </w:p>
        </w:tc>
        <w:tc>
          <w:tcPr>
            <w:tcW w:type="dxa" w:w="2351"/>
          </w:tcPr>
          <w:p>
            <w:r/>
            <w:r>
              <w:rPr>
                <w:rFonts w:ascii="Times New Roman" w:hAnsi="Times New Roman"/>
                <w:sz w:val="20"/>
              </w:rPr>
              <w:t>0.50</w:t>
            </w:r>
          </w:p>
        </w:tc>
      </w:tr>
      <w:tr>
        <w:tc>
          <w:tcPr>
            <w:tcW w:type="dxa" w:w="2351"/>
          </w:tcPr>
          <w:p>
            <w:r/>
            <w:r>
              <w:rPr>
                <w:rFonts w:ascii="Times New Roman" w:hAnsi="Times New Roman"/>
                <w:sz w:val="20"/>
              </w:rPr>
              <w:t>20</w:t>
            </w:r>
          </w:p>
        </w:tc>
        <w:tc>
          <w:tcPr>
            <w:tcW w:type="dxa" w:w="2351"/>
          </w:tcPr>
          <w:p>
            <w:r/>
            <w:r>
              <w:rPr>
                <w:rFonts w:ascii="Times New Roman" w:hAnsi="Times New Roman"/>
                <w:sz w:val="20"/>
              </w:rPr>
              <w:t>0.50±0.00</w:t>
            </w:r>
          </w:p>
        </w:tc>
        <w:tc>
          <w:tcPr>
            <w:tcW w:type="dxa" w:w="2351"/>
          </w:tcPr>
          <w:p>
            <w:r/>
            <w:r>
              <w:rPr>
                <w:rFonts w:ascii="Times New Roman" w:hAnsi="Times New Roman"/>
                <w:sz w:val="20"/>
              </w:rPr>
              <w:t>2/4</w:t>
            </w:r>
          </w:p>
        </w:tc>
        <w:tc>
          <w:tcPr>
            <w:tcW w:type="dxa" w:w="2351"/>
          </w:tcPr>
          <w:p>
            <w:r/>
            <w:r>
              <w:rPr>
                <w:rFonts w:ascii="Times New Roman" w:hAnsi="Times New Roman"/>
                <w:sz w:val="20"/>
              </w:rPr>
              <w:t>0.50</w:t>
            </w:r>
          </w:p>
        </w:tc>
      </w:tr>
      <w:tr>
        <w:tc>
          <w:tcPr>
            <w:tcW w:type="dxa" w:w="2351"/>
          </w:tcPr>
          <w:p>
            <w:r/>
            <w:r>
              <w:rPr>
                <w:rFonts w:ascii="Times New Roman" w:hAnsi="Times New Roman"/>
                <w:sz w:val="20"/>
              </w:rPr>
              <w:t>30</w:t>
            </w:r>
          </w:p>
        </w:tc>
        <w:tc>
          <w:tcPr>
            <w:tcW w:type="dxa" w:w="2351"/>
          </w:tcPr>
          <w:p>
            <w:r/>
            <w:r>
              <w:rPr>
                <w:rFonts w:ascii="Times New Roman" w:hAnsi="Times New Roman"/>
                <w:sz w:val="20"/>
              </w:rPr>
              <w:t>0.50±0.00</w:t>
            </w:r>
          </w:p>
        </w:tc>
        <w:tc>
          <w:tcPr>
            <w:tcW w:type="dxa" w:w="2351"/>
          </w:tcPr>
          <w:p>
            <w:r/>
            <w:r>
              <w:rPr>
                <w:rFonts w:ascii="Times New Roman" w:hAnsi="Times New Roman"/>
                <w:sz w:val="20"/>
              </w:rPr>
              <w:t>2/4</w:t>
            </w:r>
          </w:p>
        </w:tc>
        <w:tc>
          <w:tcPr>
            <w:tcW w:type="dxa" w:w="2351"/>
          </w:tcPr>
          <w:p>
            <w:r/>
            <w:r>
              <w:rPr>
                <w:rFonts w:ascii="Times New Roman" w:hAnsi="Times New Roman"/>
                <w:sz w:val="20"/>
              </w:rPr>
              <w:t>0.50</w:t>
            </w:r>
          </w:p>
        </w:tc>
      </w:tr>
      <w:tr>
        <w:tc>
          <w:tcPr>
            <w:tcW w:type="dxa" w:w="2351"/>
          </w:tcPr>
          <w:p>
            <w:r/>
            <w:r>
              <w:rPr>
                <w:rFonts w:ascii="Times New Roman" w:hAnsi="Times New Roman"/>
                <w:sz w:val="20"/>
              </w:rPr>
              <w:t>50</w:t>
            </w:r>
          </w:p>
        </w:tc>
        <w:tc>
          <w:tcPr>
            <w:tcW w:type="dxa" w:w="2351"/>
          </w:tcPr>
          <w:p>
            <w:r/>
            <w:r>
              <w:rPr>
                <w:rFonts w:ascii="Times New Roman" w:hAnsi="Times New Roman"/>
                <w:sz w:val="20"/>
              </w:rPr>
              <w:t>0.50±0.00</w:t>
            </w:r>
          </w:p>
        </w:tc>
        <w:tc>
          <w:tcPr>
            <w:tcW w:type="dxa" w:w="2351"/>
          </w:tcPr>
          <w:p>
            <w:r/>
            <w:r>
              <w:rPr>
                <w:rFonts w:ascii="Times New Roman" w:hAnsi="Times New Roman"/>
                <w:sz w:val="20"/>
              </w:rPr>
              <w:t>1/4</w:t>
            </w:r>
          </w:p>
        </w:tc>
        <w:tc>
          <w:tcPr>
            <w:tcW w:type="dxa" w:w="2351"/>
          </w:tcPr>
          <w:p>
            <w:r/>
            <w:r>
              <w:rPr>
                <w:rFonts w:ascii="Times New Roman" w:hAnsi="Times New Roman"/>
                <w:sz w:val="20"/>
              </w:rPr>
              <w:t>0.50</w:t>
            </w:r>
          </w:p>
        </w:tc>
      </w:tr>
      <w:tr>
        <w:tc>
          <w:tcPr>
            <w:tcW w:type="dxa" w:w="2351"/>
          </w:tcPr>
          <w:p>
            <w:r/>
            <w:r>
              <w:rPr>
                <w:rFonts w:ascii="Times New Roman" w:hAnsi="Times New Roman"/>
                <w:sz w:val="20"/>
              </w:rPr>
              <w:t>**Macro avg**</w:t>
            </w:r>
          </w:p>
        </w:tc>
        <w:tc>
          <w:tcPr>
            <w:tcW w:type="dxa" w:w="2351"/>
          </w:tcPr>
          <w:p>
            <w:r/>
            <w:r>
              <w:rPr>
                <w:rFonts w:ascii="Times New Roman" w:hAnsi="Times New Roman"/>
                <w:sz w:val="20"/>
              </w:rPr>
              <w:t>**0.50±0.00**</w:t>
            </w:r>
          </w:p>
        </w:tc>
        <w:tc>
          <w:tcPr>
            <w:tcW w:type="dxa" w:w="2351"/>
          </w:tcPr>
          <w:p>
            <w:r/>
            <w:r>
              <w:rPr>
                <w:rFonts w:ascii="Times New Roman" w:hAnsi="Times New Roman"/>
                <w:sz w:val="20"/>
              </w:rPr>
              <w:t>—</w:t>
            </w:r>
          </w:p>
        </w:tc>
        <w:tc>
          <w:tcPr>
            <w:tcW w:type="dxa" w:w="2351"/>
          </w:tcPr>
          <w:p>
            <w:r/>
            <w:r>
              <w:rPr>
                <w:rFonts w:ascii="Times New Roman" w:hAnsi="Times New Roman"/>
                <w:sz w:val="20"/>
              </w:rPr>
              <w:t>**0.50**</w:t>
            </w:r>
          </w:p>
        </w:tc>
      </w:tr>
    </w:tbl>
    <w:p>
      <w:pPr>
        <w:spacing w:after="80"/>
      </w:pPr>
    </w:p>
    <w:p>
      <w:pPr>
        <w:spacing w:after="80" w:line="276" w:lineRule="auto"/>
      </w:pPr>
      <w:r>
        <w:rPr>
          <w:rFonts w:ascii="Times New Roman" w:hAnsi="Times New Roman"/>
          <w:sz w:val="22"/>
        </w:rPr>
        <w:t>The model produces constant-probability predictions at the class prior across all horizons. Of the 4 leave-battery-out folds, 2–3 cannot compute AUC at all because the held-out cell lacks a single EOL event within the horizon window (single-class test set). The remaining folds produce AUC = 0.50, confirming no rank variation. Calibrated AUC remains 0.50 because isotonic regression is a monotonic transform that preserves rank order — with constant input predictions, the output is also constant, and AUC is conventionally reported as 0.5.</w:t>
      </w:r>
    </w:p>
    <w:p>
      <w:pPr>
        <w:spacing w:after="80" w:line="276" w:lineRule="auto"/>
      </w:pPr>
      <w:r>
        <w:rPr>
          <w:rFonts w:ascii="Times New Roman" w:hAnsi="Times New Roman"/>
          <w:sz w:val="22"/>
        </w:rPr>
      </w:r>
      <w:r>
        <w:rPr>
          <w:rFonts w:ascii="Times New Roman" w:hAnsi="Times New Roman"/>
          <w:b/>
          <w:sz w:val="22"/>
        </w:rPr>
        <w:t>Why per-fold AUC is 0.50 but stacked AUC was reported as 0.46 in earlier versions:</w:t>
      </w:r>
      <w:r>
        <w:rPr>
          <w:rFonts w:ascii="Times New Roman" w:hAnsi="Times New Roman"/>
          <w:sz w:val="22"/>
        </w:rPr>
        <w:t xml:space="preserve"> When test predictions from different held-out cells are concatenated ("stacked"), between-cell differences in predicted risk dominate the ranking. For example, the model may assign systematically higher probabilities to Cell A (which actually has few failures) than to Cell B (which has many failures), producing an AUC below 0.5 when stacked even though within each cell the predictions are constant. The per-fold AUC (0.50) is the correct metric for leave-battery-out CV because it measures only within-cell discrimination.</w:t>
      </w:r>
    </w:p>
    <w:p>
      <w:pPr>
        <w:spacing w:after="80" w:line="276" w:lineRule="auto"/>
      </w:pPr>
      <w:r>
        <w:rPr>
          <w:rFonts w:ascii="Times New Roman" w:hAnsi="Times New Roman"/>
          <w:sz w:val="22"/>
        </w:rPr>
        <w:t>All dispatch policies yield identical outcomes (energy = 318.0 kWh, failure rate = 0.63%) because model probabilities lack contrast — only 64 cycles (all from B0006) fall below the SOH threshold. With only 2 failure events across 318 test cycles, the model cannot learn to differentiate risk.</w:t>
      </w:r>
    </w:p>
    <w:p>
      <w:pPr>
        <w:spacing w:after="80" w:line="276" w:lineRule="auto"/>
      </w:pPr>
      <w:r>
        <w:rPr>
          <w:rFonts w:ascii="Times New Roman" w:hAnsi="Times New Roman"/>
          <w:sz w:val="22"/>
        </w:rPr>
      </w:r>
      <w:r>
        <w:rPr>
          <w:rFonts w:ascii="Times New Roman" w:hAnsi="Times New Roman"/>
          <w:b/>
          <w:sz w:val="22"/>
        </w:rPr>
        <w:t>Per-fold breakdown:</w:t>
      </w:r>
      <w:r>
        <w:rPr>
          <w:rFonts w:ascii="Times New Roman" w:hAnsi="Times New Roman"/>
          <w:sz w:val="22"/>
        </w:rPr>
        <w:t xml:space="preserve"> The AUC=0.50 result is a direct consequence of data insufficiency, not model architecture. In leave-battery-out CV, the held-out test set for each fold is a single battery. Three of the four batteries (B0007, B0018, B0006) contain either zero or one EOL event within each horizon window, making AUC either undefined (single-class) or trivially 0.50 (constant prediction at class prior). For example, at H=10, only B0005 has EOL events within the horizon; when B0005 is held out, the test set has no failures, producing NaN. When B0005 is in training, the remaining test batteries have insufficient failures for meaningful ranking. The constant AUC=0.50 across all horizons reflects the fact that the model learns only the global class prior and assigns identical probabilities to all test cycles.</w:t>
      </w:r>
    </w:p>
    <w:p>
      <w:pPr>
        <w:spacing w:after="80" w:line="276" w:lineRule="auto"/>
      </w:pPr>
      <w:r>
        <w:rPr>
          <w:rFonts w:ascii="Times New Roman" w:hAnsi="Times New Roman"/>
          <w:sz w:val="22"/>
        </w:rPr>
      </w:r>
      <w:r>
        <w:rPr>
          <w:rFonts w:ascii="Times New Roman" w:hAnsi="Times New Roman"/>
          <w:b/>
          <w:sz w:val="22"/>
        </w:rPr>
        <w:t>Synthetic-to-real transfer test:</w:t>
      </w:r>
      <w:r>
        <w:rPr>
          <w:rFonts w:ascii="Times New Roman" w:hAnsi="Times New Roman"/>
          <w:sz w:val="22"/>
        </w:rPr>
        <w:t xml:space="preserve"> To assess whether the synthetic data generator captures real-world structure, we train the same XGBoost pipeline on synthetic data (N=20 cells, 300 cycles each) and evaluate on the real NASA 4-cell data. The model achieves macro AUC </w:t>
      </w:r>
      <w:r>
        <w:rPr>
          <w:rFonts w:ascii="Times New Roman" w:hAnsi="Times New Roman"/>
          <w:b/>
          <w:sz w:val="22"/>
        </w:rPr>
        <w:t>0.8817</w:t>
      </w:r>
      <w:r>
        <w:rPr>
          <w:rFonts w:ascii="Times New Roman" w:hAnsi="Times New Roman"/>
          <w:sz w:val="22"/>
        </w:rPr>
        <w:t xml:space="preserve"> (95% bootstrap CI: [0.8596, 0.8996]) on real NASA data: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b/>
                <w:sz w:val="20"/>
              </w:rPr>
              <w:t>Horizon</w:t>
            </w:r>
          </w:p>
        </w:tc>
        <w:tc>
          <w:tcPr>
            <w:tcW w:type="dxa" w:w="1881"/>
          </w:tcPr>
          <w:p>
            <w:pPr>
              <w:jc w:val="center"/>
            </w:pPr>
            <w:r/>
            <w:r>
              <w:rPr>
                <w:rFonts w:ascii="Times New Roman" w:hAnsi="Times New Roman"/>
                <w:b/>
                <w:sz w:val="20"/>
              </w:rPr>
              <w:t>AUC</w:t>
            </w:r>
          </w:p>
        </w:tc>
        <w:tc>
          <w:tcPr>
            <w:tcW w:type="dxa" w:w="1881"/>
          </w:tcPr>
          <w:p>
            <w:pPr>
              <w:jc w:val="center"/>
            </w:pPr>
            <w:r/>
            <w:r>
              <w:rPr>
                <w:rFonts w:ascii="Times New Roman" w:hAnsi="Times New Roman"/>
                <w:b/>
                <w:sz w:val="20"/>
              </w:rPr>
              <w:t>Model Brier</w:t>
            </w:r>
          </w:p>
        </w:tc>
        <w:tc>
          <w:tcPr>
            <w:tcW w:type="dxa" w:w="1881"/>
          </w:tcPr>
          <w:p>
            <w:pPr>
              <w:jc w:val="center"/>
            </w:pPr>
            <w:r/>
            <w:r>
              <w:rPr>
                <w:rFonts w:ascii="Times New Roman" w:hAnsi="Times New Roman"/>
                <w:b/>
                <w:sz w:val="20"/>
              </w:rPr>
              <w:t>Baseline Brier</w:t>
            </w:r>
          </w:p>
        </w:tc>
        <w:tc>
          <w:tcPr>
            <w:tcW w:type="dxa" w:w="1881"/>
          </w:tcPr>
          <w:p>
            <w:pPr>
              <w:jc w:val="center"/>
            </w:pPr>
            <w:r/>
            <w:r>
              <w:rPr>
                <w:rFonts w:ascii="Times New Roman" w:hAnsi="Times New Roman"/>
                <w:b/>
                <w:sz w:val="20"/>
              </w:rPr>
              <w:t>Skill score</w:t>
            </w:r>
          </w:p>
        </w:tc>
      </w:tr>
      <w:tr>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10</w:t>
            </w:r>
          </w:p>
        </w:tc>
        <w:tc>
          <w:tcPr>
            <w:tcW w:type="dxa" w:w="1881"/>
          </w:tcPr>
          <w:p>
            <w:r/>
            <w:r>
              <w:rPr>
                <w:rFonts w:ascii="Times New Roman" w:hAnsi="Times New Roman"/>
                <w:sz w:val="20"/>
              </w:rPr>
              <w:t>0.9850</w:t>
            </w:r>
          </w:p>
        </w:tc>
        <w:tc>
          <w:tcPr>
            <w:tcW w:type="dxa" w:w="1881"/>
          </w:tcPr>
          <w:p>
            <w:r/>
            <w:r>
              <w:rPr>
                <w:rFonts w:ascii="Times New Roman" w:hAnsi="Times New Roman"/>
                <w:sz w:val="20"/>
              </w:rPr>
              <w:t>0.0270</w:t>
            </w:r>
          </w:p>
        </w:tc>
        <w:tc>
          <w:tcPr>
            <w:tcW w:type="dxa" w:w="1881"/>
          </w:tcPr>
          <w:p>
            <w:r/>
            <w:r>
              <w:rPr>
                <w:rFonts w:ascii="Times New Roman" w:hAnsi="Times New Roman"/>
                <w:sz w:val="20"/>
              </w:rPr>
              <w:t>0.0062</w:t>
            </w:r>
          </w:p>
        </w:tc>
        <w:tc>
          <w:tcPr>
            <w:tcW w:type="dxa" w:w="1881"/>
          </w:tcPr>
          <w:p>
            <w:r/>
            <w:r>
              <w:rPr>
                <w:rFonts w:ascii="Times New Roman" w:hAnsi="Times New Roman"/>
                <w:sz w:val="20"/>
              </w:rPr>
              <w:t>−3.32</w:t>
            </w:r>
          </w:p>
        </w:tc>
      </w:tr>
      <w:tr>
        <w:tc>
          <w:tcPr>
            <w:tcW w:type="dxa" w:w="1881"/>
          </w:tcPr>
          <w:p>
            <w:r/>
            <w:r>
              <w:rPr>
                <w:rFonts w:ascii="Times New Roman" w:hAnsi="Times New Roman"/>
                <w:sz w:val="20"/>
              </w:rPr>
              <w:t>20</w:t>
            </w:r>
          </w:p>
        </w:tc>
        <w:tc>
          <w:tcPr>
            <w:tcW w:type="dxa" w:w="1881"/>
          </w:tcPr>
          <w:p>
            <w:r/>
            <w:r>
              <w:rPr>
                <w:rFonts w:ascii="Times New Roman" w:hAnsi="Times New Roman"/>
                <w:sz w:val="20"/>
              </w:rPr>
              <w:t>0.9562</w:t>
            </w:r>
          </w:p>
        </w:tc>
        <w:tc>
          <w:tcPr>
            <w:tcW w:type="dxa" w:w="1881"/>
          </w:tcPr>
          <w:p>
            <w:r/>
            <w:r>
              <w:rPr>
                <w:rFonts w:ascii="Times New Roman" w:hAnsi="Times New Roman"/>
                <w:sz w:val="20"/>
              </w:rPr>
              <w:t>0.1110</w:t>
            </w:r>
          </w:p>
        </w:tc>
        <w:tc>
          <w:tcPr>
            <w:tcW w:type="dxa" w:w="1881"/>
          </w:tcPr>
          <w:p>
            <w:r/>
            <w:r>
              <w:rPr>
                <w:rFonts w:ascii="Times New Roman" w:hAnsi="Times New Roman"/>
                <w:sz w:val="20"/>
              </w:rPr>
              <w:t>0.0155</w:t>
            </w:r>
          </w:p>
        </w:tc>
        <w:tc>
          <w:tcPr>
            <w:tcW w:type="dxa" w:w="1881"/>
          </w:tcPr>
          <w:p>
            <w:r/>
            <w:r>
              <w:rPr>
                <w:rFonts w:ascii="Times New Roman" w:hAnsi="Times New Roman"/>
                <w:sz w:val="20"/>
              </w:rPr>
              <w:t>−6.17</w:t>
            </w:r>
          </w:p>
        </w:tc>
      </w:tr>
      <w:tr>
        <w:tc>
          <w:tcPr>
            <w:tcW w:type="dxa" w:w="1881"/>
          </w:tcPr>
          <w:p>
            <w:r/>
            <w:r>
              <w:rPr>
                <w:rFonts w:ascii="Times New Roman" w:hAnsi="Times New Roman"/>
                <w:sz w:val="20"/>
              </w:rPr>
              <w:t>30</w:t>
            </w:r>
          </w:p>
        </w:tc>
        <w:tc>
          <w:tcPr>
            <w:tcW w:type="dxa" w:w="1881"/>
          </w:tcPr>
          <w:p>
            <w:r/>
            <w:r>
              <w:rPr>
                <w:rFonts w:ascii="Times New Roman" w:hAnsi="Times New Roman"/>
                <w:sz w:val="20"/>
              </w:rPr>
              <w:t>0.8577</w:t>
            </w:r>
          </w:p>
        </w:tc>
        <w:tc>
          <w:tcPr>
            <w:tcW w:type="dxa" w:w="1881"/>
          </w:tcPr>
          <w:p>
            <w:r/>
            <w:r>
              <w:rPr>
                <w:rFonts w:ascii="Times New Roman" w:hAnsi="Times New Roman"/>
                <w:sz w:val="20"/>
              </w:rPr>
              <w:t>0.2654</w:t>
            </w:r>
          </w:p>
        </w:tc>
        <w:tc>
          <w:tcPr>
            <w:tcW w:type="dxa" w:w="1881"/>
          </w:tcPr>
          <w:p>
            <w:r/>
            <w:r>
              <w:rPr>
                <w:rFonts w:ascii="Times New Roman" w:hAnsi="Times New Roman"/>
                <w:sz w:val="20"/>
              </w:rPr>
              <w:t>0.0215</w:t>
            </w:r>
          </w:p>
        </w:tc>
        <w:tc>
          <w:tcPr>
            <w:tcW w:type="dxa" w:w="1881"/>
          </w:tcPr>
          <w:p>
            <w:r/>
            <w:r>
              <w:rPr>
                <w:rFonts w:ascii="Times New Roman" w:hAnsi="Times New Roman"/>
                <w:sz w:val="20"/>
              </w:rPr>
              <w:t>−11.33</w:t>
            </w:r>
          </w:p>
        </w:tc>
      </w:tr>
      <w:tr>
        <w:tc>
          <w:tcPr>
            <w:tcW w:type="dxa" w:w="1881"/>
          </w:tcPr>
          <w:p>
            <w:r/>
            <w:r>
              <w:rPr>
                <w:rFonts w:ascii="Times New Roman" w:hAnsi="Times New Roman"/>
                <w:sz w:val="20"/>
              </w:rPr>
              <w:t>50</w:t>
            </w:r>
          </w:p>
        </w:tc>
        <w:tc>
          <w:tcPr>
            <w:tcW w:type="dxa" w:w="1881"/>
          </w:tcPr>
          <w:p>
            <w:r/>
            <w:r>
              <w:rPr>
                <w:rFonts w:ascii="Times New Roman" w:hAnsi="Times New Roman"/>
                <w:sz w:val="20"/>
              </w:rPr>
              <w:t>0.7279</w:t>
            </w:r>
          </w:p>
        </w:tc>
        <w:tc>
          <w:tcPr>
            <w:tcW w:type="dxa" w:w="1881"/>
          </w:tcPr>
          <w:p>
            <w:r/>
            <w:r>
              <w:rPr>
                <w:rFonts w:ascii="Times New Roman" w:hAnsi="Times New Roman"/>
                <w:sz w:val="20"/>
              </w:rPr>
              <w:t>0.3990</w:t>
            </w:r>
          </w:p>
        </w:tc>
        <w:tc>
          <w:tcPr>
            <w:tcW w:type="dxa" w:w="1881"/>
          </w:tcPr>
          <w:p>
            <w:r/>
            <w:r>
              <w:rPr>
                <w:rFonts w:ascii="Times New Roman" w:hAnsi="Times New Roman"/>
                <w:sz w:val="20"/>
              </w:rPr>
              <w:t>0.0363</w:t>
            </w:r>
          </w:p>
        </w:tc>
        <w:tc>
          <w:tcPr>
            <w:tcW w:type="dxa" w:w="1881"/>
          </w:tcPr>
          <w:p>
            <w:r/>
            <w:r>
              <w:rPr>
                <w:rFonts w:ascii="Times New Roman" w:hAnsi="Times New Roman"/>
                <w:sz w:val="20"/>
              </w:rPr>
              <w:t>−9.99</w:t>
            </w:r>
          </w:p>
        </w:tc>
      </w:tr>
    </w:tbl>
    <w:p>
      <w:pPr>
        <w:spacing w:after="80"/>
      </w:pPr>
    </w:p>
    <w:p>
      <w:pPr>
        <w:spacing w:after="80" w:line="276" w:lineRule="auto"/>
      </w:pPr>
      <w:r>
        <w:rPr>
          <w:rFonts w:ascii="Times New Roman" w:hAnsi="Times New Roman"/>
          <w:sz w:val="22"/>
        </w:rPr>
        <w:t>This indicates the synthetic data generator captures sufficient real-world structure to enable cross-distribution generalization, and the near-random result on 4-cell leave-battery-out is due to insufficient training data rather than a modeling error. The scaling study in §5.2 quantifies this data requirement. However, the negative Brier skill scores (model Brier &gt; baseline constant-hazard Brier) indicate the model's probability estimates are not well-calibrated for rare events on this small test set — a known limitation of isotonic regression on imbalanced data.</w:t>
      </w:r>
    </w:p>
    <w:p>
      <w:pPr>
        <w:spacing w:after="80" w:line="276" w:lineRule="auto"/>
      </w:pPr>
      <w:r>
        <w:rPr>
          <w:rFonts w:ascii="Times New Roman" w:hAnsi="Times New Roman"/>
          <w:sz w:val="22"/>
        </w:rPr>
      </w:r>
      <w:r>
        <w:rPr>
          <w:rFonts w:ascii="Times New Roman" w:hAnsi="Times New Roman"/>
          <w:b/>
          <w:sz w:val="22"/>
        </w:rPr>
        <w:t>Interpretation caveat:</w:t>
      </w:r>
      <w:r>
        <w:rPr>
          <w:rFonts w:ascii="Times New Roman" w:hAnsi="Times New Roman"/>
          <w:sz w:val="22"/>
        </w:rPr>
        <w:t xml:space="preserve"> The NASA cross-validation AUC (0.50) and the transfer test AUC (0.88) evaluate different tasks and are not comparable. The cross-validation result (0.50) tests whether the model can learn from NASA data directly, which it cannot due to only ~2 failure events. The transfer test (0.88) tests whether a model pre-trained on synthetic data can generalize to real feature representations. </w:t>
      </w:r>
      <w:r>
        <w:rPr>
          <w:rFonts w:ascii="Times New Roman" w:hAnsi="Times New Roman"/>
          <w:b/>
          <w:sz w:val="22"/>
        </w:rPr>
        <w:t>The transfer test does NOT imply the framework is ready for real-world deployment when trained on real data.</w:t>
      </w:r>
      <w:r>
        <w:rPr>
          <w:rFonts w:ascii="Times New Roman" w:hAnsi="Times New Roman"/>
          <w:sz w:val="22"/>
        </w:rPr>
        <w:t xml:space="preserve"> Real-data validation requires datasets with ≥200 failure events, which no public battery dataset currently provides. The transfer test should be interpreted as a distributional similarity check: despite statistically significant differences between synthetic and real degradation (KS D=0.33, p&lt;0.001, §4.3), the model is robust enough to produce meaningful rankings on held-out real data.</w:t>
      </w:r>
    </w:p>
    <w:p>
      <w:pPr>
        <w:spacing w:after="120" w:before="160"/>
      </w:pPr>
      <w:r>
        <w:rPr>
          <w:rFonts w:ascii="Times New Roman" w:hAnsi="Times New Roman"/>
          <w:b/>
          <w:i w:val="0"/>
          <w:sz w:val="22"/>
        </w:rPr>
        <w:t>5.2 Exploratory Synthetic Scaling Analysis</w:t>
      </w:r>
    </w:p>
    <w:p>
      <w:pPr>
        <w:spacing w:after="80" w:line="276" w:lineRule="auto"/>
      </w:pPr>
      <w:r>
        <w:rPr>
          <w:rFonts w:ascii="Times New Roman" w:hAnsi="Times New Roman"/>
          <w:sz w:val="22"/>
        </w:rPr>
        <w:t>To explore the relationship between dataset size and model discrimination on synthetic data, we conduct a controlled scaling experiment using the synthetic generator from Section 4.2. Figure 7 plots the resulting scaling curve with bootstrap confidence intervals and regime annotations.</w:t>
      </w:r>
    </w:p>
    <w:p>
      <w:pPr>
        <w:spacing w:after="40"/>
        <w:ind w:left="567"/>
      </w:pPr>
      <w:r>
        <w:rPr>
          <w:rFonts w:ascii="Times New Roman" w:hAnsi="Times New Roman"/>
          <w:sz w:val="22"/>
        </w:rPr>
        <w:t>• **Design:** For N ∈ {2, 3, 5, 8, 12, 20}:</w:t>
      </w:r>
      <w:r>
        <w:rPr>
          <w:sz w:val="22"/>
        </w:rPr>
        <w:br/>
      </w:r>
      <w:r>
        <w:rPr>
          <w:rFonts w:ascii="Times New Roman" w:hAnsi="Times New Roman"/>
          <w:sz w:val="22"/>
        </w:rPr>
        <w:t>• Generate N synthetic batteries (300 cycles each, seeded per N for reproducibility)</w:t>
      </w:r>
      <w:r>
        <w:rPr>
          <w:sz w:val="22"/>
        </w:rPr>
        <w:br/>
      </w:r>
      <w:r>
        <w:rPr>
          <w:rFonts w:ascii="Times New Roman" w:hAnsi="Times New Roman"/>
          <w:sz w:val="22"/>
        </w:rPr>
        <w:t>• Run leave-battery-out XGBoost CV with isotonic calibration</w:t>
      </w:r>
      <w:r>
        <w:rPr>
          <w:sz w:val="22"/>
        </w:rPr>
        <w:br/>
      </w:r>
      <w:r>
        <w:rPr>
          <w:rFonts w:ascii="Times New Roman" w:hAnsi="Times New Roman"/>
          <w:sz w:val="22"/>
        </w:rPr>
        <w:t>• Record macro-averaged AUC</w:t>
      </w:r>
      <w:r>
        <w:rPr>
          <w:sz w:val="22"/>
        </w:rPr>
        <w:br/>
      </w:r>
      <w:r>
        <w:rPr>
          <w:rFonts w:ascii="Times New Roman" w:hAnsi="Times New Roman"/>
          <w:sz w:val="22"/>
        </w:rPr>
        <w:t>• Repeat with 20 Monte Carlo seeds per N</w:t>
      </w:r>
      <w:r>
        <w:rPr>
          <w:sz w:val="22"/>
        </w:rPr>
        <w:br/>
      </w:r>
      <w:r>
        <w:rPr>
          <w:rFonts w:ascii="Times New Roman" w:hAnsi="Times New Roman"/>
          <w:sz w:val="22"/>
        </w:rPr>
        <w:t>• Compute 95% bootstrap confidence intervals (percentile, 10,000 resamples)</w:t>
      </w:r>
      <w:r>
        <w:rPr>
          <w:sz w:val="22"/>
        </w:rPr>
        <w:br/>
      </w:r>
      <w:r>
        <w:rPr>
          <w:rFonts w:ascii="Times New Roman" w:hAnsi="Times New Roman"/>
          <w:sz w:val="22"/>
        </w:rPr>
        <w:t>• DeLong significance tests between adjacent N values</w:t>
      </w:r>
    </w:p>
    <w:p>
      <w:pPr>
        <w:spacing w:after="80" w:line="276" w:lineRule="auto"/>
      </w:pPr>
      <w:r>
        <w:rPr>
          <w:rFonts w:ascii="Times New Roman" w:hAnsi="Times New Roman"/>
          <w:sz w:val="22"/>
        </w:rPr>
      </w:r>
      <w:r>
        <w:rPr>
          <w:rFonts w:ascii="Times New Roman" w:hAnsi="Times New Roman"/>
          <w:b/>
          <w:sz w:val="22"/>
        </w:rPr>
        <w:t>Results:</w:t>
      </w:r>
      <w:r>
        <w:rPr>
          <w:rFonts w:ascii="Times New Roman" w:hAnsi="Times New Roman"/>
          <w:sz w:val="22"/>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N cells</w:t>
            </w:r>
          </w:p>
        </w:tc>
        <w:tc>
          <w:tcPr>
            <w:tcW w:type="dxa" w:w="2351"/>
          </w:tcPr>
          <w:p>
            <w:pPr>
              <w:jc w:val="center"/>
            </w:pPr>
            <w:r/>
            <w:r>
              <w:rPr>
                <w:rFonts w:ascii="Times New Roman" w:hAnsi="Times New Roman"/>
                <w:b/>
                <w:sz w:val="20"/>
              </w:rPr>
              <w:t>Macro AUC (mean)</w:t>
            </w:r>
          </w:p>
        </w:tc>
        <w:tc>
          <w:tcPr>
            <w:tcW w:type="dxa" w:w="2351"/>
          </w:tcPr>
          <w:p>
            <w:pPr>
              <w:jc w:val="center"/>
            </w:pPr>
            <w:r/>
            <w:r>
              <w:rPr>
                <w:rFonts w:ascii="Times New Roman" w:hAnsi="Times New Roman"/>
                <w:b/>
                <w:sz w:val="20"/>
              </w:rPr>
              <w:t>95% CI</w:t>
            </w:r>
          </w:p>
        </w:tc>
        <w:tc>
          <w:tcPr>
            <w:tcW w:type="dxa" w:w="2351"/>
          </w:tcPr>
          <w:p>
            <w:pPr>
              <w:jc w:val="center"/>
            </w:pPr>
            <w:r/>
            <w:r>
              <w:rPr>
                <w:rFonts w:ascii="Times New Roman" w:hAnsi="Times New Roman"/>
                <w:b/>
                <w:sz w:val="20"/>
              </w:rPr>
              <w:t>DeLong p (vs prev)</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2</w:t>
            </w:r>
          </w:p>
        </w:tc>
        <w:tc>
          <w:tcPr>
            <w:tcW w:type="dxa" w:w="2351"/>
          </w:tcPr>
          <w:p>
            <w:r/>
            <w:r>
              <w:rPr>
                <w:rFonts w:ascii="Times New Roman" w:hAnsi="Times New Roman"/>
                <w:sz w:val="20"/>
              </w:rPr>
              <w:t>0.8427</w:t>
            </w:r>
          </w:p>
        </w:tc>
        <w:tc>
          <w:tcPr>
            <w:tcW w:type="dxa" w:w="2351"/>
          </w:tcPr>
          <w:p>
            <w:r/>
            <w:r>
              <w:rPr>
                <w:rFonts w:ascii="Times New Roman" w:hAnsi="Times New Roman"/>
                <w:sz w:val="20"/>
              </w:rPr>
              <w:t>[0.8396, 0.8455]</w:t>
            </w:r>
          </w:p>
        </w:tc>
        <w:tc>
          <w:tcPr>
            <w:tcW w:type="dxa" w:w="2351"/>
          </w:tcPr>
          <w:p>
            <w:r/>
            <w:r>
              <w:rPr>
                <w:rFonts w:ascii="Times New Roman" w:hAnsi="Times New Roman"/>
                <w:sz w:val="20"/>
              </w:rPr>
              <w:t>—</w:t>
            </w:r>
          </w:p>
        </w:tc>
      </w:tr>
      <w:tr>
        <w:tc>
          <w:tcPr>
            <w:tcW w:type="dxa" w:w="2351"/>
          </w:tcPr>
          <w:p>
            <w:r/>
            <w:r>
              <w:rPr>
                <w:rFonts w:ascii="Times New Roman" w:hAnsi="Times New Roman"/>
                <w:sz w:val="20"/>
              </w:rPr>
              <w:t>3</w:t>
            </w:r>
          </w:p>
        </w:tc>
        <w:tc>
          <w:tcPr>
            <w:tcW w:type="dxa" w:w="2351"/>
          </w:tcPr>
          <w:p>
            <w:r/>
            <w:r>
              <w:rPr>
                <w:rFonts w:ascii="Times New Roman" w:hAnsi="Times New Roman"/>
                <w:sz w:val="20"/>
              </w:rPr>
              <w:t>0.8912</w:t>
            </w:r>
          </w:p>
        </w:tc>
        <w:tc>
          <w:tcPr>
            <w:tcW w:type="dxa" w:w="2351"/>
          </w:tcPr>
          <w:p>
            <w:r/>
            <w:r>
              <w:rPr>
                <w:rFonts w:ascii="Times New Roman" w:hAnsi="Times New Roman"/>
                <w:sz w:val="20"/>
              </w:rPr>
              <w:t>[0.8861, 0.8964]</w:t>
            </w:r>
          </w:p>
        </w:tc>
        <w:tc>
          <w:tcPr>
            <w:tcW w:type="dxa" w:w="2351"/>
          </w:tcPr>
          <w:p>
            <w:r/>
            <w:r>
              <w:rPr>
                <w:rFonts w:ascii="Times New Roman" w:hAnsi="Times New Roman"/>
                <w:sz w:val="20"/>
              </w:rPr>
              <w:t>0.803</w:t>
            </w:r>
          </w:p>
        </w:tc>
      </w:tr>
      <w:tr>
        <w:tc>
          <w:tcPr>
            <w:tcW w:type="dxa" w:w="2351"/>
          </w:tcPr>
          <w:p>
            <w:r/>
            <w:r>
              <w:rPr>
                <w:rFonts w:ascii="Times New Roman" w:hAnsi="Times New Roman"/>
                <w:sz w:val="20"/>
              </w:rPr>
              <w:t>5</w:t>
            </w:r>
          </w:p>
        </w:tc>
        <w:tc>
          <w:tcPr>
            <w:tcW w:type="dxa" w:w="2351"/>
          </w:tcPr>
          <w:p>
            <w:r/>
            <w:r>
              <w:rPr>
                <w:rFonts w:ascii="Times New Roman" w:hAnsi="Times New Roman"/>
                <w:sz w:val="20"/>
              </w:rPr>
              <w:t>0.9365</w:t>
            </w:r>
          </w:p>
        </w:tc>
        <w:tc>
          <w:tcPr>
            <w:tcW w:type="dxa" w:w="2351"/>
          </w:tcPr>
          <w:p>
            <w:r/>
            <w:r>
              <w:rPr>
                <w:rFonts w:ascii="Times New Roman" w:hAnsi="Times New Roman"/>
                <w:sz w:val="20"/>
              </w:rPr>
              <w:t>[0.9326, 0.9400]</w:t>
            </w:r>
          </w:p>
        </w:tc>
        <w:tc>
          <w:tcPr>
            <w:tcW w:type="dxa" w:w="2351"/>
          </w:tcPr>
          <w:p>
            <w:r/>
            <w:r>
              <w:rPr>
                <w:rFonts w:ascii="Times New Roman" w:hAnsi="Times New Roman"/>
                <w:sz w:val="20"/>
              </w:rPr>
              <w:t>0.750</w:t>
            </w:r>
          </w:p>
        </w:tc>
      </w:tr>
      <w:tr>
        <w:tc>
          <w:tcPr>
            <w:tcW w:type="dxa" w:w="2351"/>
          </w:tcPr>
          <w:p>
            <w:r/>
            <w:r>
              <w:rPr>
                <w:rFonts w:ascii="Times New Roman" w:hAnsi="Times New Roman"/>
                <w:sz w:val="20"/>
              </w:rPr>
              <w:t>8</w:t>
            </w:r>
          </w:p>
        </w:tc>
        <w:tc>
          <w:tcPr>
            <w:tcW w:type="dxa" w:w="2351"/>
          </w:tcPr>
          <w:p>
            <w:r/>
            <w:r>
              <w:rPr>
                <w:rFonts w:ascii="Times New Roman" w:hAnsi="Times New Roman"/>
                <w:sz w:val="20"/>
              </w:rPr>
              <w:t>0.9743</w:t>
            </w:r>
          </w:p>
        </w:tc>
        <w:tc>
          <w:tcPr>
            <w:tcW w:type="dxa" w:w="2351"/>
          </w:tcPr>
          <w:p>
            <w:r/>
            <w:r>
              <w:rPr>
                <w:rFonts w:ascii="Times New Roman" w:hAnsi="Times New Roman"/>
                <w:sz w:val="20"/>
              </w:rPr>
              <w:t>[0.9735, 0.9752]</w:t>
            </w:r>
          </w:p>
        </w:tc>
        <w:tc>
          <w:tcPr>
            <w:tcW w:type="dxa" w:w="2351"/>
          </w:tcPr>
          <w:p>
            <w:r/>
            <w:r>
              <w:rPr>
                <w:rFonts w:ascii="Times New Roman" w:hAnsi="Times New Roman"/>
                <w:sz w:val="20"/>
              </w:rPr>
              <w:t>0.676</w:t>
            </w:r>
          </w:p>
        </w:tc>
      </w:tr>
      <w:tr>
        <w:tc>
          <w:tcPr>
            <w:tcW w:type="dxa" w:w="2351"/>
          </w:tcPr>
          <w:p>
            <w:r/>
            <w:r>
              <w:rPr>
                <w:rFonts w:ascii="Times New Roman" w:hAnsi="Times New Roman"/>
                <w:sz w:val="20"/>
              </w:rPr>
              <w:t>12</w:t>
            </w:r>
          </w:p>
        </w:tc>
        <w:tc>
          <w:tcPr>
            <w:tcW w:type="dxa" w:w="2351"/>
          </w:tcPr>
          <w:p>
            <w:r/>
            <w:r>
              <w:rPr>
                <w:rFonts w:ascii="Times New Roman" w:hAnsi="Times New Roman"/>
                <w:sz w:val="20"/>
              </w:rPr>
              <w:t>0.9801</w:t>
            </w:r>
          </w:p>
        </w:tc>
        <w:tc>
          <w:tcPr>
            <w:tcW w:type="dxa" w:w="2351"/>
          </w:tcPr>
          <w:p>
            <w:r/>
            <w:r>
              <w:rPr>
                <w:rFonts w:ascii="Times New Roman" w:hAnsi="Times New Roman"/>
                <w:sz w:val="20"/>
              </w:rPr>
              <w:t>[0.9796, 0.9806]</w:t>
            </w:r>
          </w:p>
        </w:tc>
        <w:tc>
          <w:tcPr>
            <w:tcW w:type="dxa" w:w="2351"/>
          </w:tcPr>
          <w:p>
            <w:r/>
            <w:r>
              <w:rPr>
                <w:rFonts w:ascii="Times New Roman" w:hAnsi="Times New Roman"/>
                <w:sz w:val="20"/>
              </w:rPr>
              <w:t>0.918</w:t>
            </w:r>
          </w:p>
        </w:tc>
      </w:tr>
      <w:tr>
        <w:tc>
          <w:tcPr>
            <w:tcW w:type="dxa" w:w="2351"/>
          </w:tcPr>
          <w:p>
            <w:r/>
            <w:r>
              <w:rPr>
                <w:rFonts w:ascii="Times New Roman" w:hAnsi="Times New Roman"/>
                <w:sz w:val="20"/>
              </w:rPr>
              <w:t>20</w:t>
            </w:r>
          </w:p>
        </w:tc>
        <w:tc>
          <w:tcPr>
            <w:tcW w:type="dxa" w:w="2351"/>
          </w:tcPr>
          <w:p>
            <w:r/>
            <w:r>
              <w:rPr>
                <w:rFonts w:ascii="Times New Roman" w:hAnsi="Times New Roman"/>
                <w:sz w:val="20"/>
              </w:rPr>
              <w:t>0.9862</w:t>
            </w:r>
          </w:p>
        </w:tc>
        <w:tc>
          <w:tcPr>
            <w:tcW w:type="dxa" w:w="2351"/>
          </w:tcPr>
          <w:p>
            <w:r/>
            <w:r>
              <w:rPr>
                <w:rFonts w:ascii="Times New Roman" w:hAnsi="Times New Roman"/>
                <w:sz w:val="20"/>
              </w:rPr>
              <w:t>[0.9857, 0.9866]</w:t>
            </w:r>
          </w:p>
        </w:tc>
        <w:tc>
          <w:tcPr>
            <w:tcW w:type="dxa" w:w="2351"/>
          </w:tcPr>
          <w:p>
            <w:r/>
            <w:r>
              <w:rPr>
                <w:rFonts w:ascii="Times New Roman" w:hAnsi="Times New Roman"/>
                <w:sz w:val="20"/>
              </w:rPr>
              <w:t>0.896</w:t>
            </w:r>
          </w:p>
        </w:tc>
      </w:tr>
    </w:tbl>
    <w:p>
      <w:pPr>
        <w:spacing w:after="80"/>
      </w:pPr>
    </w:p>
    <w:p>
      <w:pPr>
        <w:spacing w:after="80" w:line="276" w:lineRule="auto"/>
      </w:pPr>
      <w:r>
        <w:rPr>
          <w:rFonts w:ascii="Times New Roman" w:hAnsi="Times New Roman"/>
          <w:sz w:val="22"/>
        </w:rPr>
        <w:t>The DeLong comparisons between adjacent N values are not significant (p &gt; 0.05 for all pairs), which is expected: DeLong tests compare two models on the same test set, whereas here each N value produces a different set of held-out cells. The strong monotonic trend, narrowing CIs, and low inter-seed variance (§5.2.1) collectively confirm that the improvement is meaningful.</w:t>
      </w:r>
    </w:p>
    <w:p>
      <w:pPr>
        <w:spacing w:after="80" w:line="276" w:lineRule="auto"/>
      </w:pPr>
      <w:r>
        <w:rPr>
          <w:rFonts w:ascii="Times New Roman" w:hAnsi="Times New Roman"/>
          <w:sz w:val="22"/>
        </w:rPr>
      </w:r>
      <w:r>
        <w:rPr>
          <w:rFonts w:ascii="Times New Roman" w:hAnsi="Times New Roman"/>
          <w:b/>
          <w:sz w:val="22"/>
        </w:rPr>
        <w:t>Per-horizon AUC at selected N (seed 1, representative):</w:t>
      </w:r>
      <w:r>
        <w:rPr>
          <w:rFonts w:ascii="Times New Roman" w:hAnsi="Times New Roman"/>
          <w:sz w:val="22"/>
        </w:rPr>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b/>
                <w:sz w:val="20"/>
              </w:rPr>
              <w:t>N cells</w:t>
            </w:r>
          </w:p>
        </w:tc>
        <w:tc>
          <w:tcPr>
            <w:tcW w:type="dxa" w:w="1568"/>
          </w:tcPr>
          <w:p>
            <w:pPr>
              <w:jc w:val="center"/>
            </w:pPr>
            <w:r/>
            <w:r>
              <w:rPr>
                <w:rFonts w:ascii="Times New Roman" w:hAnsi="Times New Roman"/>
                <w:b/>
                <w:sz w:val="20"/>
              </w:rPr>
              <w:t>H=10</w:t>
            </w:r>
          </w:p>
        </w:tc>
        <w:tc>
          <w:tcPr>
            <w:tcW w:type="dxa" w:w="1568"/>
          </w:tcPr>
          <w:p>
            <w:pPr>
              <w:jc w:val="center"/>
            </w:pPr>
            <w:r/>
            <w:r>
              <w:rPr>
                <w:rFonts w:ascii="Times New Roman" w:hAnsi="Times New Roman"/>
                <w:b/>
                <w:sz w:val="20"/>
              </w:rPr>
              <w:t>H=20</w:t>
            </w:r>
          </w:p>
        </w:tc>
        <w:tc>
          <w:tcPr>
            <w:tcW w:type="dxa" w:w="1568"/>
          </w:tcPr>
          <w:p>
            <w:pPr>
              <w:jc w:val="center"/>
            </w:pPr>
            <w:r/>
            <w:r>
              <w:rPr>
                <w:rFonts w:ascii="Times New Roman" w:hAnsi="Times New Roman"/>
                <w:b/>
                <w:sz w:val="20"/>
              </w:rPr>
              <w:t>H=30</w:t>
            </w:r>
          </w:p>
        </w:tc>
        <w:tc>
          <w:tcPr>
            <w:tcW w:type="dxa" w:w="1568"/>
          </w:tcPr>
          <w:p>
            <w:pPr>
              <w:jc w:val="center"/>
            </w:pPr>
            <w:r/>
            <w:r>
              <w:rPr>
                <w:rFonts w:ascii="Times New Roman" w:hAnsi="Times New Roman"/>
                <w:b/>
                <w:sz w:val="20"/>
              </w:rPr>
              <w:t>H=50</w:t>
            </w:r>
          </w:p>
        </w:tc>
        <w:tc>
          <w:tcPr>
            <w:tcW w:type="dxa" w:w="1568"/>
          </w:tcPr>
          <w:p>
            <w:pPr>
              <w:jc w:val="center"/>
            </w:pPr>
            <w:r/>
            <w:r>
              <w:rPr>
                <w:rFonts w:ascii="Times New Roman" w:hAnsi="Times New Roman"/>
                <w:b/>
                <w:sz w:val="20"/>
              </w:rPr>
              <w:t>Macro</w:t>
            </w:r>
          </w:p>
        </w:tc>
      </w:tr>
      <w:tr>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r>
      <w:tr>
        <w:tc>
          <w:tcPr>
            <w:tcW w:type="dxa" w:w="1568"/>
          </w:tcPr>
          <w:p>
            <w:r/>
            <w:r>
              <w:rPr>
                <w:rFonts w:ascii="Times New Roman" w:hAnsi="Times New Roman"/>
                <w:sz w:val="20"/>
              </w:rPr>
              <w:t>3</w:t>
            </w:r>
          </w:p>
        </w:tc>
        <w:tc>
          <w:tcPr>
            <w:tcW w:type="dxa" w:w="1568"/>
          </w:tcPr>
          <w:p>
            <w:r/>
            <w:r>
              <w:rPr>
                <w:rFonts w:ascii="Times New Roman" w:hAnsi="Times New Roman"/>
                <w:sz w:val="20"/>
              </w:rPr>
              <w:t>0.88</w:t>
            </w:r>
          </w:p>
        </w:tc>
        <w:tc>
          <w:tcPr>
            <w:tcW w:type="dxa" w:w="1568"/>
          </w:tcPr>
          <w:p>
            <w:r/>
            <w:r>
              <w:rPr>
                <w:rFonts w:ascii="Times New Roman" w:hAnsi="Times New Roman"/>
                <w:sz w:val="20"/>
              </w:rPr>
              <w:t>0.89</w:t>
            </w:r>
          </w:p>
        </w:tc>
        <w:tc>
          <w:tcPr>
            <w:tcW w:type="dxa" w:w="1568"/>
          </w:tcPr>
          <w:p>
            <w:r/>
            <w:r>
              <w:rPr>
                <w:rFonts w:ascii="Times New Roman" w:hAnsi="Times New Roman"/>
                <w:sz w:val="20"/>
              </w:rPr>
              <w:t>0.91</w:t>
            </w:r>
          </w:p>
        </w:tc>
        <w:tc>
          <w:tcPr>
            <w:tcW w:type="dxa" w:w="1568"/>
          </w:tcPr>
          <w:p>
            <w:r/>
            <w:r>
              <w:rPr>
                <w:rFonts w:ascii="Times New Roman" w:hAnsi="Times New Roman"/>
                <w:sz w:val="20"/>
              </w:rPr>
              <w:t>0.92</w:t>
            </w:r>
          </w:p>
        </w:tc>
        <w:tc>
          <w:tcPr>
            <w:tcW w:type="dxa" w:w="1568"/>
          </w:tcPr>
          <w:p>
            <w:r/>
            <w:r>
              <w:rPr>
                <w:rFonts w:ascii="Times New Roman" w:hAnsi="Times New Roman"/>
                <w:sz w:val="20"/>
              </w:rPr>
              <w:t>0.91</w:t>
            </w:r>
          </w:p>
        </w:tc>
      </w:tr>
      <w:tr>
        <w:tc>
          <w:tcPr>
            <w:tcW w:type="dxa" w:w="1568"/>
          </w:tcPr>
          <w:p>
            <w:r/>
            <w:r>
              <w:rPr>
                <w:rFonts w:ascii="Times New Roman" w:hAnsi="Times New Roman"/>
                <w:sz w:val="20"/>
              </w:rPr>
              <w:t>8</w:t>
            </w:r>
          </w:p>
        </w:tc>
        <w:tc>
          <w:tcPr>
            <w:tcW w:type="dxa" w:w="1568"/>
          </w:tcPr>
          <w:p>
            <w:r/>
            <w:r>
              <w:rPr>
                <w:rFonts w:ascii="Times New Roman" w:hAnsi="Times New Roman"/>
                <w:sz w:val="20"/>
              </w:rPr>
              <w:t>0.96</w:t>
            </w:r>
          </w:p>
        </w:tc>
        <w:tc>
          <w:tcPr>
            <w:tcW w:type="dxa" w:w="1568"/>
          </w:tcPr>
          <w:p>
            <w:r/>
            <w:r>
              <w:rPr>
                <w:rFonts w:ascii="Times New Roman" w:hAnsi="Times New Roman"/>
                <w:sz w:val="20"/>
              </w:rPr>
              <w:t>0.97</w:t>
            </w:r>
          </w:p>
        </w:tc>
        <w:tc>
          <w:tcPr>
            <w:tcW w:type="dxa" w:w="1568"/>
          </w:tcPr>
          <w:p>
            <w:r/>
            <w:r>
              <w:rPr>
                <w:rFonts w:ascii="Times New Roman" w:hAnsi="Times New Roman"/>
                <w:sz w:val="20"/>
              </w:rPr>
              <w:t>0.97</w:t>
            </w:r>
          </w:p>
        </w:tc>
        <w:tc>
          <w:tcPr>
            <w:tcW w:type="dxa" w:w="1568"/>
          </w:tcPr>
          <w:p>
            <w:r/>
            <w:r>
              <w:rPr>
                <w:rFonts w:ascii="Times New Roman" w:hAnsi="Times New Roman"/>
                <w:sz w:val="20"/>
              </w:rPr>
              <w:t>0.98</w:t>
            </w:r>
          </w:p>
        </w:tc>
        <w:tc>
          <w:tcPr>
            <w:tcW w:type="dxa" w:w="1568"/>
          </w:tcPr>
          <w:p>
            <w:r/>
            <w:r>
              <w:rPr>
                <w:rFonts w:ascii="Times New Roman" w:hAnsi="Times New Roman"/>
                <w:sz w:val="20"/>
              </w:rPr>
              <w:t>0.97</w:t>
            </w:r>
          </w:p>
        </w:tc>
      </w:tr>
      <w:tr>
        <w:tc>
          <w:tcPr>
            <w:tcW w:type="dxa" w:w="1568"/>
          </w:tcPr>
          <w:p>
            <w:r/>
            <w:r>
              <w:rPr>
                <w:rFonts w:ascii="Times New Roman" w:hAnsi="Times New Roman"/>
                <w:sz w:val="20"/>
              </w:rPr>
              <w:t>20</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r>
    </w:tbl>
    <w:p>
      <w:pPr>
        <w:spacing w:after="80"/>
      </w:pPr>
    </w:p>
    <w:p>
      <w:pPr>
        <w:spacing w:after="80" w:line="276" w:lineRule="auto"/>
      </w:pPr>
      <w:r>
        <w:rPr>
          <w:rFonts w:ascii="Times New Roman" w:hAnsi="Times New Roman"/>
          <w:sz w:val="22"/>
        </w:rPr>
        <w:t>All horizons improve consistently with N; no single horizon lags systematically.</w:t>
      </w:r>
    </w:p>
    <w:p>
      <w:pPr>
        <w:spacing w:after="80" w:line="276" w:lineRule="auto"/>
      </w:pPr>
      <w:r>
        <w:rPr>
          <w:rFonts w:ascii="Times New Roman" w:hAnsi="Times New Roman"/>
          <w:sz w:val="22"/>
        </w:rPr>
      </w:r>
      <w:r>
        <w:rPr>
          <w:rFonts w:ascii="Times New Roman" w:hAnsi="Times New Roman"/>
          <w:b/>
          <w:sz w:val="22"/>
        </w:rPr>
        <w:t>Figure 1</w:t>
      </w:r>
      <w:r>
        <w:rPr>
          <w:rFonts w:ascii="Times New Roman" w:hAnsi="Times New Roman"/>
          <w:sz w:val="22"/>
        </w:rPr>
        <w:t xml:space="preserve"> (scaling_curve.png) plots AUC vs N with 95% bootstrap confidence intervals and annotated regimes.</w:t>
      </w:r>
    </w:p>
    <w:p>
      <w:pPr>
        <w:spacing w:after="80" w:line="276" w:lineRule="auto"/>
      </w:pPr>
      <w:r>
        <w:rPr>
          <w:rFonts w:ascii="Times New Roman" w:hAnsi="Times New Roman"/>
          <w:sz w:val="22"/>
        </w:rPr>
      </w:r>
      <w:r>
        <w:rPr>
          <w:rFonts w:ascii="Times New Roman" w:hAnsi="Times New Roman"/>
          <w:b/>
          <w:sz w:val="22"/>
        </w:rPr>
        <w:t>Key findings:</w:t>
      </w:r>
      <w:r>
        <w:rPr>
          <w:rFonts w:ascii="Times New Roman" w:hAnsi="Times New Roman"/>
          <w:sz w:val="22"/>
        </w:rPr>
      </w:r>
    </w:p>
    <w:p>
      <w:pPr>
        <w:spacing w:after="40"/>
        <w:ind w:left="567"/>
      </w:pPr>
      <w:r>
        <w:rPr>
          <w:rFonts w:ascii="Times New Roman" w:hAnsi="Times New Roman"/>
          <w:sz w:val="22"/>
        </w:rPr>
        <w:t>• **Rapid initial improvement:** AUC rises from 0.84 (N=2) to 0.94 (N=5) to 0.97 (N=8). Even a small number of diverse cells produces meaningful discrimination on clean synthetic data.</w:t>
      </w:r>
    </w:p>
    <w:p>
      <w:pPr>
        <w:spacing w:after="40"/>
        <w:ind w:left="567"/>
      </w:pPr>
      <w:r>
        <w:rPr>
          <w:rFonts w:ascii="Times New Roman" w:hAnsi="Times New Roman"/>
          <w:sz w:val="22"/>
        </w:rPr>
        <w:t>• **No plateau observed within range:** AUC continues to improve from 0.980 (N=12) to 0.986 (N=20). An attempted asymptotic fit (AUC = a − b/N^c) produced â = 1.008 (exceeding the maximum possible AUC of 1.0) with extremely wide confidence intervals, confirming insufficient curvature to estimate a plateau. We therefore report only that the curve has not plateaued within N=2–20. For real-world data with measurement noise and correlated degradation, substantially more cells (likely N≥50) would be needed to approach the synthetic curve's AUC.</w:t>
      </w:r>
    </w:p>
    <w:p>
      <w:pPr>
        <w:spacing w:after="40"/>
        <w:ind w:left="567"/>
      </w:pPr>
      <w:r>
        <w:rPr>
          <w:rFonts w:ascii="Times New Roman" w:hAnsi="Times New Roman"/>
          <w:sz w:val="22"/>
        </w:rPr>
        <w:t>• **Low variance at scale:** Bootstrap CIs narrow from ±0.003 (N=2) to ±0.0005 (N≥8), and inter-seed standard deviation drops from 0.012 (N=3) to 0.001 (N≥12), indicating stable reproducible results. An independent seed sensitivity run (10 seeds at N=8) confirms the low variance: mean AUC 0.9736 ± 0.0010, range [0.9714, 0.9750].</w:t>
      </w:r>
    </w:p>
    <w:p>
      <w:pPr>
        <w:spacing w:after="40"/>
        <w:ind w:left="567"/>
      </w:pPr>
      <w:r>
        <w:rPr>
          <w:rFonts w:ascii="Times New Roman" w:hAnsi="Times New Roman"/>
          <w:sz w:val="22"/>
        </w:rPr>
        <w:t>• **Regime classification:** We identify three regimes:</w:t>
      </w:r>
      <w:r>
        <w:rPr>
          <w:sz w:val="22"/>
        </w:rPr>
        <w:br/>
      </w:r>
      <w:r>
        <w:rPr>
          <w:rFonts w:ascii="Times New Roman" w:hAnsi="Times New Roman"/>
          <w:sz w:val="22"/>
        </w:rPr>
        <w:t>• **Insufficient (N ≤ 5):** AUC &lt; 0.95, wider CIs (e.g., N=2 CI width 0.006). Model cannot reliably distinguish failing from non-failing cycles.</w:t>
      </w:r>
      <w:r>
        <w:rPr>
          <w:sz w:val="22"/>
        </w:rPr>
        <w:br/>
      </w:r>
      <w:r>
        <w:rPr>
          <w:rFonts w:ascii="Times New Roman" w:hAnsi="Times New Roman"/>
          <w:sz w:val="22"/>
        </w:rPr>
        <w:t>• **Marginal (5 &lt; N &lt; 12):** AUC 0.95–0.98, narrowing CIs. Useful discrimination but results depend on specific cell composition.</w:t>
      </w:r>
      <w:r>
        <w:rPr>
          <w:sz w:val="22"/>
        </w:rPr>
        <w:br/>
      </w:r>
      <w:r>
        <w:rPr>
          <w:rFonts w:ascii="Times New Roman" w:hAnsi="Times New Roman"/>
          <w:sz w:val="22"/>
        </w:rPr>
        <w:t>• **Reliable (N ≥ 12):** AUC &gt; 0.98, narrow CIs. Consistent, high-quality risk differentiation on clean synthetic data.</w:t>
      </w:r>
    </w:p>
    <w:p>
      <w:pPr>
        <w:spacing w:after="80" w:line="276" w:lineRule="auto"/>
      </w:pPr>
      <w:r>
        <w:rPr>
          <w:rFonts w:ascii="Times New Roman" w:hAnsi="Times New Roman"/>
          <w:sz w:val="22"/>
        </w:rPr>
      </w:r>
      <w:r>
        <w:rPr>
          <w:rFonts w:ascii="Times New Roman" w:hAnsi="Times New Roman"/>
          <w:b/>
          <w:sz w:val="22"/>
        </w:rPr>
        <w:t>Overfitting test:</w:t>
      </w:r>
      <w:r>
        <w:rPr>
          <w:rFonts w:ascii="Times New Roman" w:hAnsi="Times New Roman"/>
          <w:sz w:val="22"/>
        </w:rPr>
        <w:t xml:space="preserve"> To verify the model does not overfit on synthetic data, we split N=20 synthetic data into train/validation/test (60/20/20). The macro-averaged test AUC is 0.9923 versus train AUC 0.9979, a gap of 0.0056 (well below the 0.02 threshold). This confirms the XGBoost configuration (max_depth=4, min_child_weight=5, early_stopping) effectively prevents overfitting even at high AUC.</w:t>
      </w:r>
    </w:p>
    <w:p>
      <w:pPr>
        <w:spacing w:after="80" w:line="276" w:lineRule="auto"/>
      </w:pPr>
      <w:r>
        <w:rPr>
          <w:rFonts w:ascii="Times New Roman" w:hAnsi="Times New Roman"/>
          <w:sz w:val="22"/>
        </w:rPr>
        <w:t>#### 5.2.1 SOH Threshold Sensitivity</w:t>
      </w:r>
    </w:p>
    <w:p>
      <w:pPr>
        <w:spacing w:after="80" w:line="276" w:lineRule="auto"/>
      </w:pPr>
      <w:r>
        <w:rPr>
          <w:rFonts w:ascii="Times New Roman" w:hAnsi="Times New Roman"/>
          <w:sz w:val="22"/>
        </w:rPr>
        <w:t>To test robustness of the scaling curve to the failure definition, we repeat the experiment at SOH thresholds 0.75 and 0.80 (10 seeds each, N ∈ {2, 5, 12, 20}):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N cells</w:t>
            </w:r>
          </w:p>
        </w:tc>
        <w:tc>
          <w:tcPr>
            <w:tcW w:type="dxa" w:w="2351"/>
          </w:tcPr>
          <w:p>
            <w:pPr>
              <w:jc w:val="center"/>
            </w:pPr>
            <w:r/>
            <w:r>
              <w:rPr>
                <w:rFonts w:ascii="Times New Roman" w:hAnsi="Times New Roman"/>
                <w:b/>
                <w:sz w:val="20"/>
              </w:rPr>
              <w:t>SOH=0.70</w:t>
            </w:r>
          </w:p>
        </w:tc>
        <w:tc>
          <w:tcPr>
            <w:tcW w:type="dxa" w:w="2351"/>
          </w:tcPr>
          <w:p>
            <w:pPr>
              <w:jc w:val="center"/>
            </w:pPr>
            <w:r/>
            <w:r>
              <w:rPr>
                <w:rFonts w:ascii="Times New Roman" w:hAnsi="Times New Roman"/>
                <w:b/>
                <w:sz w:val="20"/>
              </w:rPr>
              <w:t>SOH=0.75</w:t>
            </w:r>
          </w:p>
        </w:tc>
        <w:tc>
          <w:tcPr>
            <w:tcW w:type="dxa" w:w="2351"/>
          </w:tcPr>
          <w:p>
            <w:pPr>
              <w:jc w:val="center"/>
            </w:pPr>
            <w:r/>
            <w:r>
              <w:rPr>
                <w:rFonts w:ascii="Times New Roman" w:hAnsi="Times New Roman"/>
                <w:b/>
                <w:sz w:val="20"/>
              </w:rPr>
              <w:t>SOH=0.80</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2</w:t>
            </w:r>
          </w:p>
        </w:tc>
        <w:tc>
          <w:tcPr>
            <w:tcW w:type="dxa" w:w="2351"/>
          </w:tcPr>
          <w:p>
            <w:r/>
            <w:r>
              <w:rPr>
                <w:rFonts w:ascii="Times New Roman" w:hAnsi="Times New Roman"/>
                <w:sz w:val="20"/>
              </w:rPr>
              <w:t>0.8419</w:t>
            </w:r>
          </w:p>
        </w:tc>
        <w:tc>
          <w:tcPr>
            <w:tcW w:type="dxa" w:w="2351"/>
          </w:tcPr>
          <w:p>
            <w:r/>
            <w:r>
              <w:rPr>
                <w:rFonts w:ascii="Times New Roman" w:hAnsi="Times New Roman"/>
                <w:sz w:val="20"/>
              </w:rPr>
              <w:t>0.8286</w:t>
            </w:r>
          </w:p>
        </w:tc>
        <w:tc>
          <w:tcPr>
            <w:tcW w:type="dxa" w:w="2351"/>
          </w:tcPr>
          <w:p>
            <w:r/>
            <w:r>
              <w:rPr>
                <w:rFonts w:ascii="Times New Roman" w:hAnsi="Times New Roman"/>
                <w:sz w:val="20"/>
              </w:rPr>
              <w:t>0.8081</w:t>
            </w:r>
          </w:p>
        </w:tc>
      </w:tr>
      <w:tr>
        <w:tc>
          <w:tcPr>
            <w:tcW w:type="dxa" w:w="2351"/>
          </w:tcPr>
          <w:p>
            <w:r/>
            <w:r>
              <w:rPr>
                <w:rFonts w:ascii="Times New Roman" w:hAnsi="Times New Roman"/>
                <w:sz w:val="20"/>
              </w:rPr>
              <w:t>5</w:t>
            </w:r>
          </w:p>
        </w:tc>
        <w:tc>
          <w:tcPr>
            <w:tcW w:type="dxa" w:w="2351"/>
          </w:tcPr>
          <w:p>
            <w:r/>
            <w:r>
              <w:rPr>
                <w:rFonts w:ascii="Times New Roman" w:hAnsi="Times New Roman"/>
                <w:sz w:val="20"/>
              </w:rPr>
              <w:t>0.9348</w:t>
            </w:r>
          </w:p>
        </w:tc>
        <w:tc>
          <w:tcPr>
            <w:tcW w:type="dxa" w:w="2351"/>
          </w:tcPr>
          <w:p>
            <w:r/>
            <w:r>
              <w:rPr>
                <w:rFonts w:ascii="Times New Roman" w:hAnsi="Times New Roman"/>
                <w:sz w:val="20"/>
              </w:rPr>
              <w:t>0.9582</w:t>
            </w:r>
          </w:p>
        </w:tc>
        <w:tc>
          <w:tcPr>
            <w:tcW w:type="dxa" w:w="2351"/>
          </w:tcPr>
          <w:p>
            <w:r/>
            <w:r>
              <w:rPr>
                <w:rFonts w:ascii="Times New Roman" w:hAnsi="Times New Roman"/>
                <w:sz w:val="20"/>
              </w:rPr>
              <w:t>0.9599</w:t>
            </w:r>
          </w:p>
        </w:tc>
      </w:tr>
      <w:tr>
        <w:tc>
          <w:tcPr>
            <w:tcW w:type="dxa" w:w="2351"/>
          </w:tcPr>
          <w:p>
            <w:r/>
            <w:r>
              <w:rPr>
                <w:rFonts w:ascii="Times New Roman" w:hAnsi="Times New Roman"/>
                <w:sz w:val="20"/>
              </w:rPr>
              <w:t>12</w:t>
            </w:r>
          </w:p>
        </w:tc>
        <w:tc>
          <w:tcPr>
            <w:tcW w:type="dxa" w:w="2351"/>
          </w:tcPr>
          <w:p>
            <w:r/>
            <w:r>
              <w:rPr>
                <w:rFonts w:ascii="Times New Roman" w:hAnsi="Times New Roman"/>
                <w:sz w:val="20"/>
              </w:rPr>
              <w:t>0.9801</w:t>
            </w:r>
          </w:p>
        </w:tc>
        <w:tc>
          <w:tcPr>
            <w:tcW w:type="dxa" w:w="2351"/>
          </w:tcPr>
          <w:p>
            <w:r/>
            <w:r>
              <w:rPr>
                <w:rFonts w:ascii="Times New Roman" w:hAnsi="Times New Roman"/>
                <w:sz w:val="20"/>
              </w:rPr>
              <w:t>0.9811</w:t>
            </w:r>
          </w:p>
        </w:tc>
        <w:tc>
          <w:tcPr>
            <w:tcW w:type="dxa" w:w="2351"/>
          </w:tcPr>
          <w:p>
            <w:r/>
            <w:r>
              <w:rPr>
                <w:rFonts w:ascii="Times New Roman" w:hAnsi="Times New Roman"/>
                <w:sz w:val="20"/>
              </w:rPr>
              <w:t>0.9871</w:t>
            </w:r>
          </w:p>
        </w:tc>
      </w:tr>
      <w:tr>
        <w:tc>
          <w:tcPr>
            <w:tcW w:type="dxa" w:w="2351"/>
          </w:tcPr>
          <w:p>
            <w:r/>
            <w:r>
              <w:rPr>
                <w:rFonts w:ascii="Times New Roman" w:hAnsi="Times New Roman"/>
                <w:sz w:val="20"/>
              </w:rPr>
              <w:t>20</w:t>
            </w:r>
          </w:p>
        </w:tc>
        <w:tc>
          <w:tcPr>
            <w:tcW w:type="dxa" w:w="2351"/>
          </w:tcPr>
          <w:p>
            <w:r/>
            <w:r>
              <w:rPr>
                <w:rFonts w:ascii="Times New Roman" w:hAnsi="Times New Roman"/>
                <w:sz w:val="20"/>
              </w:rPr>
              <w:t>0.9862</w:t>
            </w:r>
          </w:p>
        </w:tc>
        <w:tc>
          <w:tcPr>
            <w:tcW w:type="dxa" w:w="2351"/>
          </w:tcPr>
          <w:p>
            <w:r/>
            <w:r>
              <w:rPr>
                <w:rFonts w:ascii="Times New Roman" w:hAnsi="Times New Roman"/>
                <w:sz w:val="20"/>
              </w:rPr>
              <w:t>0.9890</w:t>
            </w:r>
          </w:p>
        </w:tc>
        <w:tc>
          <w:tcPr>
            <w:tcW w:type="dxa" w:w="2351"/>
          </w:tcPr>
          <w:p>
            <w:r/>
            <w:r>
              <w:rPr>
                <w:rFonts w:ascii="Times New Roman" w:hAnsi="Times New Roman"/>
                <w:sz w:val="20"/>
              </w:rPr>
              <w:t>0.9914</w:t>
            </w:r>
          </w:p>
        </w:tc>
      </w:tr>
    </w:tbl>
    <w:p>
      <w:pPr>
        <w:spacing w:after="80"/>
      </w:pPr>
    </w:p>
    <w:p>
      <w:pPr>
        <w:spacing w:after="80" w:line="276" w:lineRule="auto"/>
      </w:pPr>
      <w:r>
        <w:rPr>
          <w:rFonts w:ascii="Times New Roman" w:hAnsi="Times New Roman"/>
          <w:sz w:val="22"/>
        </w:rPr>
        <w:t>The regime boundaries are robust: all three thresholds produce the same structure (rapid initial rise, convergence to AUC &gt; 0.98 at N ≥ 12). The main effect of stricter SOH thresholds is a slight suppression of AUC at low N (0.842 → 0.808 at N=2), because fewer cycles are labeled as failures, reducing the positive-class signal. At N ≥ 12 all thresholds converge to AUC &gt; 0.98.</w:t>
      </w:r>
    </w:p>
    <w:p>
      <w:pPr>
        <w:spacing w:after="80" w:line="276" w:lineRule="auto"/>
      </w:pPr>
      <w:r>
        <w:rPr>
          <w:rFonts w:ascii="Times New Roman" w:hAnsi="Times New Roman"/>
          <w:sz w:val="22"/>
        </w:rPr>
      </w:r>
      <w:r>
        <w:rPr>
          <w:rFonts w:ascii="Times New Roman" w:hAnsi="Times New Roman"/>
          <w:b/>
          <w:sz w:val="22"/>
        </w:rPr>
        <w:t>Critical caveat:</w:t>
      </w:r>
      <w:r>
        <w:rPr>
          <w:rFonts w:ascii="Times New Roman" w:hAnsi="Times New Roman"/>
          <w:sz w:val="22"/>
        </w:rPr>
        <w:t xml:space="preserve"> The synthetic generator intentionally maximizes cell diversity at every dataset size by spreading degradation parameters across the full range (slowest to fastest fade). This design choice, combined with the KS-test-confirmed gap between synthetic and real degradation distributions (§4.3), means the curve represents an optimistic upper bound. The relative trend — rapid improvement to N=8–12, then continued gradual gains — is the actionable finding, not the absolute AUC values. Real-world data with measurement noise, censoring, and correlated degradation likely requires N≥50 to approach the synthetic curve's AUC — this remains unvalidated and is the most important direction for future work.</w:t>
      </w:r>
    </w:p>
    <w:p>
      <w:pPr>
        <w:spacing w:after="80" w:line="276" w:lineRule="auto"/>
      </w:pPr>
      <w:r>
        <w:rPr>
          <w:rFonts w:ascii="Times New Roman" w:hAnsi="Times New Roman"/>
          <w:sz w:val="22"/>
        </w:rPr>
        <w:t>##### Event Count Analysis</w:t>
      </w:r>
    </w:p>
    <w:p>
      <w:pPr>
        <w:spacing w:after="80" w:line="276" w:lineRule="auto"/>
      </w:pPr>
      <w:r>
        <w:rPr>
          <w:rFonts w:ascii="Times New Roman" w:hAnsi="Times New Roman"/>
          <w:sz w:val="22"/>
        </w:rPr>
        <w:t>To separate the effect of cell count from event count, we fix N=12 cells and vary the number of failure events by masking a fraction of positive labels (right-censoring). This isolates whether the scaling curve's improvement reflects more cells or simply more failure events: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b/>
                <w:sz w:val="20"/>
              </w:rPr>
              <w:t>Target events</w:t>
            </w:r>
          </w:p>
        </w:tc>
        <w:tc>
          <w:tcPr>
            <w:tcW w:type="dxa" w:w="3135"/>
          </w:tcPr>
          <w:p>
            <w:pPr>
              <w:jc w:val="center"/>
            </w:pPr>
            <w:r/>
            <w:r>
              <w:rPr>
                <w:rFonts w:ascii="Times New Roman" w:hAnsi="Times New Roman"/>
                <w:b/>
                <w:sz w:val="20"/>
              </w:rPr>
              <w:t>Mean AUC</w:t>
            </w:r>
          </w:p>
        </w:tc>
        <w:tc>
          <w:tcPr>
            <w:tcW w:type="dxa" w:w="3135"/>
          </w:tcPr>
          <w:p>
            <w:pPr>
              <w:jc w:val="center"/>
            </w:pPr>
            <w:r/>
            <w:r>
              <w:rPr>
                <w:rFonts w:ascii="Times New Roman" w:hAnsi="Times New Roman"/>
                <w:b/>
                <w:sz w:val="20"/>
              </w:rPr>
              <w:t>Std AUC</w:t>
            </w:r>
          </w:p>
        </w:tc>
      </w:tr>
      <w:tr>
        <w:tc>
          <w:tcPr>
            <w:tcW w:type="dxa" w:w="3135"/>
          </w:tcPr>
          <w:p>
            <w:r/>
            <w:r>
              <w:rPr>
                <w:rFonts w:ascii="Times New Roman" w:hAnsi="Times New Roman"/>
                <w:sz w:val="20"/>
              </w:rPr>
              <w:t>:---:</w:t>
            </w:r>
          </w:p>
        </w:tc>
        <w:tc>
          <w:tcPr>
            <w:tcW w:type="dxa" w:w="3135"/>
          </w:tcPr>
          <w:p>
            <w:r/>
            <w:r>
              <w:rPr>
                <w:rFonts w:ascii="Times New Roman" w:hAnsi="Times New Roman"/>
                <w:sz w:val="20"/>
              </w:rPr>
              <w:t>:---:</w:t>
            </w:r>
          </w:p>
        </w:tc>
        <w:tc>
          <w:tcPr>
            <w:tcW w:type="dxa" w:w="3135"/>
          </w:tcPr>
          <w:p>
            <w:r/>
            <w:r>
              <w:rPr>
                <w:rFonts w:ascii="Times New Roman" w:hAnsi="Times New Roman"/>
                <w:sz w:val="20"/>
              </w:rPr>
              <w:t>:---:</w:t>
            </w:r>
          </w:p>
        </w:tc>
      </w:tr>
      <w:tr>
        <w:tc>
          <w:tcPr>
            <w:tcW w:type="dxa" w:w="3135"/>
          </w:tcPr>
          <w:p>
            <w:r/>
            <w:r>
              <w:rPr>
                <w:rFonts w:ascii="Times New Roman" w:hAnsi="Times New Roman"/>
                <w:sz w:val="20"/>
              </w:rPr>
              <w:t>200+</w:t>
            </w:r>
          </w:p>
        </w:tc>
        <w:tc>
          <w:tcPr>
            <w:tcW w:type="dxa" w:w="3135"/>
          </w:tcPr>
          <w:p>
            <w:r/>
            <w:r>
              <w:rPr>
                <w:rFonts w:ascii="Times New Roman" w:hAnsi="Times New Roman"/>
                <w:sz w:val="20"/>
              </w:rPr>
              <w:t>0.906</w:t>
            </w:r>
          </w:p>
        </w:tc>
        <w:tc>
          <w:tcPr>
            <w:tcW w:type="dxa" w:w="3135"/>
          </w:tcPr>
          <w:p>
            <w:r/>
            <w:r>
              <w:rPr>
                <w:rFonts w:ascii="Times New Roman" w:hAnsi="Times New Roman"/>
                <w:sz w:val="20"/>
              </w:rPr>
              <w:t>0.043</w:t>
            </w:r>
          </w:p>
        </w:tc>
      </w:tr>
      <w:tr>
        <w:tc>
          <w:tcPr>
            <w:tcW w:type="dxa" w:w="3135"/>
          </w:tcPr>
          <w:p>
            <w:r/>
            <w:r>
              <w:rPr>
                <w:rFonts w:ascii="Times New Roman" w:hAnsi="Times New Roman"/>
                <w:sz w:val="20"/>
              </w:rPr>
              <w:t>100</w:t>
            </w:r>
          </w:p>
        </w:tc>
        <w:tc>
          <w:tcPr>
            <w:tcW w:type="dxa" w:w="3135"/>
          </w:tcPr>
          <w:p>
            <w:r/>
            <w:r>
              <w:rPr>
                <w:rFonts w:ascii="Times New Roman" w:hAnsi="Times New Roman"/>
                <w:sz w:val="20"/>
              </w:rPr>
              <w:t>0.638</w:t>
            </w:r>
          </w:p>
        </w:tc>
        <w:tc>
          <w:tcPr>
            <w:tcW w:type="dxa" w:w="3135"/>
          </w:tcPr>
          <w:p>
            <w:r/>
            <w:r>
              <w:rPr>
                <w:rFonts w:ascii="Times New Roman" w:hAnsi="Times New Roman"/>
                <w:sz w:val="20"/>
              </w:rPr>
              <w:t>0.054</w:t>
            </w:r>
          </w:p>
        </w:tc>
      </w:tr>
      <w:tr>
        <w:tc>
          <w:tcPr>
            <w:tcW w:type="dxa" w:w="3135"/>
          </w:tcPr>
          <w:p>
            <w:r/>
            <w:r>
              <w:rPr>
                <w:rFonts w:ascii="Times New Roman" w:hAnsi="Times New Roman"/>
                <w:sz w:val="20"/>
              </w:rPr>
              <w:t>50</w:t>
            </w:r>
          </w:p>
        </w:tc>
        <w:tc>
          <w:tcPr>
            <w:tcW w:type="dxa" w:w="3135"/>
          </w:tcPr>
          <w:p>
            <w:r/>
            <w:r>
              <w:rPr>
                <w:rFonts w:ascii="Times New Roman" w:hAnsi="Times New Roman"/>
                <w:sz w:val="20"/>
              </w:rPr>
              <w:t>0.355</w:t>
            </w:r>
          </w:p>
        </w:tc>
        <w:tc>
          <w:tcPr>
            <w:tcW w:type="dxa" w:w="3135"/>
          </w:tcPr>
          <w:p>
            <w:r/>
            <w:r>
              <w:rPr>
                <w:rFonts w:ascii="Times New Roman" w:hAnsi="Times New Roman"/>
                <w:sz w:val="20"/>
              </w:rPr>
              <w:t>0.063</w:t>
            </w:r>
          </w:p>
        </w:tc>
      </w:tr>
      <w:tr>
        <w:tc>
          <w:tcPr>
            <w:tcW w:type="dxa" w:w="3135"/>
          </w:tcPr>
          <w:p>
            <w:r/>
            <w:r>
              <w:rPr>
                <w:rFonts w:ascii="Times New Roman" w:hAnsi="Times New Roman"/>
                <w:sz w:val="20"/>
              </w:rPr>
              <w:t>20</w:t>
            </w:r>
          </w:p>
        </w:tc>
        <w:tc>
          <w:tcPr>
            <w:tcW w:type="dxa" w:w="3135"/>
          </w:tcPr>
          <w:p>
            <w:r/>
            <w:r>
              <w:rPr>
                <w:rFonts w:ascii="Times New Roman" w:hAnsi="Times New Roman"/>
                <w:sz w:val="20"/>
              </w:rPr>
              <w:t>0.212</w:t>
            </w:r>
          </w:p>
        </w:tc>
        <w:tc>
          <w:tcPr>
            <w:tcW w:type="dxa" w:w="3135"/>
          </w:tcPr>
          <w:p>
            <w:r/>
            <w:r>
              <w:rPr>
                <w:rFonts w:ascii="Times New Roman" w:hAnsi="Times New Roman"/>
                <w:sz w:val="20"/>
              </w:rPr>
              <w:t>0.052</w:t>
            </w:r>
          </w:p>
        </w:tc>
      </w:tr>
      <w:tr>
        <w:tc>
          <w:tcPr>
            <w:tcW w:type="dxa" w:w="3135"/>
          </w:tcPr>
          <w:p>
            <w:r/>
            <w:r>
              <w:rPr>
                <w:rFonts w:ascii="Times New Roman" w:hAnsi="Times New Roman"/>
                <w:sz w:val="20"/>
              </w:rPr>
              <w:t>10</w:t>
            </w:r>
          </w:p>
        </w:tc>
        <w:tc>
          <w:tcPr>
            <w:tcW w:type="dxa" w:w="3135"/>
          </w:tcPr>
          <w:p>
            <w:r/>
            <w:r>
              <w:rPr>
                <w:rFonts w:ascii="Times New Roman" w:hAnsi="Times New Roman"/>
                <w:sz w:val="20"/>
              </w:rPr>
              <w:t>0.176</w:t>
            </w:r>
          </w:p>
        </w:tc>
        <w:tc>
          <w:tcPr>
            <w:tcW w:type="dxa" w:w="3135"/>
          </w:tcPr>
          <w:p>
            <w:r/>
            <w:r>
              <w:rPr>
                <w:rFonts w:ascii="Times New Roman" w:hAnsi="Times New Roman"/>
                <w:sz w:val="20"/>
              </w:rPr>
              <w:t>0.038</w:t>
            </w:r>
          </w:p>
        </w:tc>
      </w:tr>
      <w:tr>
        <w:tc>
          <w:tcPr>
            <w:tcW w:type="dxa" w:w="3135"/>
          </w:tcPr>
          <w:p>
            <w:r/>
            <w:r>
              <w:rPr>
                <w:rFonts w:ascii="Times New Roman" w:hAnsi="Times New Roman"/>
                <w:sz w:val="20"/>
              </w:rPr>
              <w:t>5</w:t>
            </w:r>
          </w:p>
        </w:tc>
        <w:tc>
          <w:tcPr>
            <w:tcW w:type="dxa" w:w="3135"/>
          </w:tcPr>
          <w:p>
            <w:r/>
            <w:r>
              <w:rPr>
                <w:rFonts w:ascii="Times New Roman" w:hAnsi="Times New Roman"/>
                <w:sz w:val="20"/>
              </w:rPr>
              <w:t>0.126</w:t>
            </w:r>
          </w:p>
        </w:tc>
        <w:tc>
          <w:tcPr>
            <w:tcW w:type="dxa" w:w="3135"/>
          </w:tcPr>
          <w:p>
            <w:r/>
            <w:r>
              <w:rPr>
                <w:rFonts w:ascii="Times New Roman" w:hAnsi="Times New Roman"/>
                <w:sz w:val="20"/>
              </w:rPr>
              <w:t>0.068</w:t>
            </w:r>
          </w:p>
        </w:tc>
      </w:tr>
      <w:tr>
        <w:tc>
          <w:tcPr>
            <w:tcW w:type="dxa" w:w="3135"/>
          </w:tcPr>
          <w:p>
            <w:r/>
            <w:r>
              <w:rPr>
                <w:rFonts w:ascii="Times New Roman" w:hAnsi="Times New Roman"/>
                <w:sz w:val="20"/>
              </w:rPr>
              <w:t>2</w:t>
            </w:r>
          </w:p>
        </w:tc>
        <w:tc>
          <w:tcPr>
            <w:tcW w:type="dxa" w:w="3135"/>
          </w:tcPr>
          <w:p>
            <w:r/>
            <w:r>
              <w:rPr>
                <w:rFonts w:ascii="Times New Roman" w:hAnsi="Times New Roman"/>
                <w:sz w:val="20"/>
              </w:rPr>
              <w:t>0.096</w:t>
            </w:r>
          </w:p>
        </w:tc>
        <w:tc>
          <w:tcPr>
            <w:tcW w:type="dxa" w:w="3135"/>
          </w:tcPr>
          <w:p>
            <w:r/>
            <w:r>
              <w:rPr>
                <w:rFonts w:ascii="Times New Roman" w:hAnsi="Times New Roman"/>
                <w:sz w:val="20"/>
              </w:rPr>
              <w:t>0.100</w:t>
            </w:r>
          </w:p>
        </w:tc>
      </w:tr>
    </w:tbl>
    <w:p>
      <w:pPr>
        <w:spacing w:after="80"/>
      </w:pPr>
    </w:p>
    <w:p>
      <w:pPr>
        <w:spacing w:after="80" w:line="276" w:lineRule="auto"/>
      </w:pPr>
      <w:r>
        <w:rPr>
          <w:rFonts w:ascii="Times New Roman" w:hAnsi="Times New Roman"/>
          <w:sz w:val="22"/>
        </w:rPr>
        <w:t>With ≥200 events (the default at N=12), AUC is 0.91 — meaningfully above random. At 100 events, AUC drops to 0.64 (near random), and below 50 events, AUC falls below random (the masking destroys the remaining signal). The NASA 4-cell dataset has approximately 2 EOL events across all horizons, consistent with the AUC=0.10–0.50 observed. This confirms that the scaling curve's improvement is primarily driven by event count: each additional cell adds both diversity and more failure examples. For real deployment, the minimum data requirement should be expressed as "≥200 failure events across the dataset" rather than solely as a cell count, since cells from the same batch share degradation characteristics.</w:t>
      </w:r>
    </w:p>
    <w:p>
      <w:pPr>
        <w:spacing w:after="80" w:line="276" w:lineRule="auto"/>
      </w:pPr>
      <w:r>
        <w:rPr>
          <w:rFonts w:ascii="Times New Roman" w:hAnsi="Times New Roman"/>
          <w:sz w:val="22"/>
        </w:rPr>
        <w:t>##### Power Analysis</w:t>
      </w:r>
    </w:p>
    <w:p>
      <w:pPr>
        <w:spacing w:after="80" w:line="276" w:lineRule="auto"/>
      </w:pPr>
      <w:r>
        <w:rPr>
          <w:rFonts w:ascii="Times New Roman" w:hAnsi="Times New Roman"/>
          <w:sz w:val="22"/>
        </w:rPr>
        <w:t>Given 20 seeds per N, we estimate the statistical power to detect AUC &gt; 0.8 and AUC &gt; 0.95:</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b/>
                <w:sz w:val="20"/>
              </w:rPr>
              <w:t>N cells</w:t>
            </w:r>
          </w:p>
        </w:tc>
        <w:tc>
          <w:tcPr>
            <w:tcW w:type="dxa" w:w="3135"/>
          </w:tcPr>
          <w:p>
            <w:pPr>
              <w:jc w:val="center"/>
            </w:pPr>
            <w:r/>
            <w:r>
              <w:rPr>
                <w:rFonts w:ascii="Times New Roman" w:hAnsi="Times New Roman"/>
                <w:b/>
                <w:sz w:val="20"/>
              </w:rPr>
              <w:t>P(AUC &gt; 0.8)</w:t>
            </w:r>
          </w:p>
        </w:tc>
        <w:tc>
          <w:tcPr>
            <w:tcW w:type="dxa" w:w="3135"/>
          </w:tcPr>
          <w:p>
            <w:pPr>
              <w:jc w:val="center"/>
            </w:pPr>
            <w:r/>
            <w:r>
              <w:rPr>
                <w:rFonts w:ascii="Times New Roman" w:hAnsi="Times New Roman"/>
                <w:b/>
                <w:sz w:val="20"/>
              </w:rPr>
              <w:t>P(AUC &gt; 0.95)</w:t>
            </w:r>
          </w:p>
        </w:tc>
      </w:tr>
      <w:tr>
        <w:tc>
          <w:tcPr>
            <w:tcW w:type="dxa" w:w="3135"/>
          </w:tcPr>
          <w:p>
            <w:r/>
            <w:r>
              <w:rPr>
                <w:rFonts w:ascii="Times New Roman" w:hAnsi="Times New Roman"/>
                <w:sz w:val="20"/>
              </w:rPr>
              <w:t>:---:</w:t>
            </w:r>
          </w:p>
        </w:tc>
        <w:tc>
          <w:tcPr>
            <w:tcW w:type="dxa" w:w="3135"/>
          </w:tcPr>
          <w:p>
            <w:r/>
            <w:r>
              <w:rPr>
                <w:rFonts w:ascii="Times New Roman" w:hAnsi="Times New Roman"/>
                <w:sz w:val="20"/>
              </w:rPr>
              <w:t>:---:</w:t>
            </w:r>
          </w:p>
        </w:tc>
        <w:tc>
          <w:tcPr>
            <w:tcW w:type="dxa" w:w="3135"/>
          </w:tcPr>
          <w:p>
            <w:r/>
            <w:r>
              <w:rPr>
                <w:rFonts w:ascii="Times New Roman" w:hAnsi="Times New Roman"/>
                <w:sz w:val="20"/>
              </w:rPr>
              <w:t>:---:</w:t>
            </w:r>
          </w:p>
        </w:tc>
      </w:tr>
      <w:tr>
        <w:tc>
          <w:tcPr>
            <w:tcW w:type="dxa" w:w="3135"/>
          </w:tcPr>
          <w:p>
            <w:r/>
            <w:r>
              <w:rPr>
                <w:rFonts w:ascii="Times New Roman" w:hAnsi="Times New Roman"/>
                <w:sz w:val="20"/>
              </w:rPr>
              <w:t>2</w:t>
            </w:r>
          </w:p>
        </w:tc>
        <w:tc>
          <w:tcPr>
            <w:tcW w:type="dxa" w:w="3135"/>
          </w:tcPr>
          <w:p>
            <w:r/>
            <w:r>
              <w:rPr>
                <w:rFonts w:ascii="Times New Roman" w:hAnsi="Times New Roman"/>
                <w:sz w:val="20"/>
              </w:rPr>
              <w:t>1.00</w:t>
            </w:r>
          </w:p>
        </w:tc>
        <w:tc>
          <w:tcPr>
            <w:tcW w:type="dxa" w:w="3135"/>
          </w:tcPr>
          <w:p>
            <w:r/>
            <w:r>
              <w:rPr>
                <w:rFonts w:ascii="Times New Roman" w:hAnsi="Times New Roman"/>
                <w:sz w:val="20"/>
              </w:rPr>
              <w:t>0.00</w:t>
            </w:r>
          </w:p>
        </w:tc>
      </w:tr>
      <w:tr>
        <w:tc>
          <w:tcPr>
            <w:tcW w:type="dxa" w:w="3135"/>
          </w:tcPr>
          <w:p>
            <w:r/>
            <w:r>
              <w:rPr>
                <w:rFonts w:ascii="Times New Roman" w:hAnsi="Times New Roman"/>
                <w:sz w:val="20"/>
              </w:rPr>
              <w:t>3</w:t>
            </w:r>
          </w:p>
        </w:tc>
        <w:tc>
          <w:tcPr>
            <w:tcW w:type="dxa" w:w="3135"/>
          </w:tcPr>
          <w:p>
            <w:r/>
            <w:r>
              <w:rPr>
                <w:rFonts w:ascii="Times New Roman" w:hAnsi="Times New Roman"/>
                <w:sz w:val="20"/>
              </w:rPr>
              <w:t>1.00</w:t>
            </w:r>
          </w:p>
        </w:tc>
        <w:tc>
          <w:tcPr>
            <w:tcW w:type="dxa" w:w="3135"/>
          </w:tcPr>
          <w:p>
            <w:r/>
            <w:r>
              <w:rPr>
                <w:rFonts w:ascii="Times New Roman" w:hAnsi="Times New Roman"/>
                <w:sz w:val="20"/>
              </w:rPr>
              <w:t>0.00</w:t>
            </w:r>
          </w:p>
        </w:tc>
      </w:tr>
      <w:tr>
        <w:tc>
          <w:tcPr>
            <w:tcW w:type="dxa" w:w="3135"/>
          </w:tcPr>
          <w:p>
            <w:r/>
            <w:r>
              <w:rPr>
                <w:rFonts w:ascii="Times New Roman" w:hAnsi="Times New Roman"/>
                <w:sz w:val="20"/>
              </w:rPr>
              <w:t>5</w:t>
            </w:r>
          </w:p>
        </w:tc>
        <w:tc>
          <w:tcPr>
            <w:tcW w:type="dxa" w:w="3135"/>
          </w:tcPr>
          <w:p>
            <w:r/>
            <w:r>
              <w:rPr>
                <w:rFonts w:ascii="Times New Roman" w:hAnsi="Times New Roman"/>
                <w:sz w:val="20"/>
              </w:rPr>
              <w:t>1.00</w:t>
            </w:r>
          </w:p>
        </w:tc>
        <w:tc>
          <w:tcPr>
            <w:tcW w:type="dxa" w:w="3135"/>
          </w:tcPr>
          <w:p>
            <w:r/>
            <w:r>
              <w:rPr>
                <w:rFonts w:ascii="Times New Roman" w:hAnsi="Times New Roman"/>
                <w:sz w:val="20"/>
              </w:rPr>
              <w:t>0.00</w:t>
            </w:r>
          </w:p>
        </w:tc>
      </w:tr>
      <w:tr>
        <w:tc>
          <w:tcPr>
            <w:tcW w:type="dxa" w:w="3135"/>
          </w:tcPr>
          <w:p>
            <w:r/>
            <w:r>
              <w:rPr>
                <w:rFonts w:ascii="Times New Roman" w:hAnsi="Times New Roman"/>
                <w:sz w:val="20"/>
              </w:rPr>
              <w:t>8</w:t>
            </w:r>
          </w:p>
        </w:tc>
        <w:tc>
          <w:tcPr>
            <w:tcW w:type="dxa" w:w="3135"/>
          </w:tcPr>
          <w:p>
            <w:r/>
            <w:r>
              <w:rPr>
                <w:rFonts w:ascii="Times New Roman" w:hAnsi="Times New Roman"/>
                <w:sz w:val="20"/>
              </w:rPr>
              <w:t>1.00</w:t>
            </w:r>
          </w:p>
        </w:tc>
        <w:tc>
          <w:tcPr>
            <w:tcW w:type="dxa" w:w="3135"/>
          </w:tcPr>
          <w:p>
            <w:r/>
            <w:r>
              <w:rPr>
                <w:rFonts w:ascii="Times New Roman" w:hAnsi="Times New Roman"/>
                <w:sz w:val="20"/>
              </w:rPr>
              <w:t>1.00</w:t>
            </w:r>
          </w:p>
        </w:tc>
      </w:tr>
      <w:tr>
        <w:tc>
          <w:tcPr>
            <w:tcW w:type="dxa" w:w="3135"/>
          </w:tcPr>
          <w:p>
            <w:r/>
            <w:r>
              <w:rPr>
                <w:rFonts w:ascii="Times New Roman" w:hAnsi="Times New Roman"/>
                <w:sz w:val="20"/>
              </w:rPr>
              <w:t>12</w:t>
            </w:r>
          </w:p>
        </w:tc>
        <w:tc>
          <w:tcPr>
            <w:tcW w:type="dxa" w:w="3135"/>
          </w:tcPr>
          <w:p>
            <w:r/>
            <w:r>
              <w:rPr>
                <w:rFonts w:ascii="Times New Roman" w:hAnsi="Times New Roman"/>
                <w:sz w:val="20"/>
              </w:rPr>
              <w:t>1.00</w:t>
            </w:r>
          </w:p>
        </w:tc>
        <w:tc>
          <w:tcPr>
            <w:tcW w:type="dxa" w:w="3135"/>
          </w:tcPr>
          <w:p>
            <w:r/>
            <w:r>
              <w:rPr>
                <w:rFonts w:ascii="Times New Roman" w:hAnsi="Times New Roman"/>
                <w:sz w:val="20"/>
              </w:rPr>
              <w:t>1.00</w:t>
            </w:r>
          </w:p>
        </w:tc>
      </w:tr>
      <w:tr>
        <w:tc>
          <w:tcPr>
            <w:tcW w:type="dxa" w:w="3135"/>
          </w:tcPr>
          <w:p>
            <w:r/>
            <w:r>
              <w:rPr>
                <w:rFonts w:ascii="Times New Roman" w:hAnsi="Times New Roman"/>
                <w:sz w:val="20"/>
              </w:rPr>
              <w:t>20</w:t>
            </w:r>
          </w:p>
        </w:tc>
        <w:tc>
          <w:tcPr>
            <w:tcW w:type="dxa" w:w="3135"/>
          </w:tcPr>
          <w:p>
            <w:r/>
            <w:r>
              <w:rPr>
                <w:rFonts w:ascii="Times New Roman" w:hAnsi="Times New Roman"/>
                <w:sz w:val="20"/>
              </w:rPr>
              <w:t>1.00</w:t>
            </w:r>
          </w:p>
        </w:tc>
        <w:tc>
          <w:tcPr>
            <w:tcW w:type="dxa" w:w="3135"/>
          </w:tcPr>
          <w:p>
            <w:r/>
            <w:r>
              <w:rPr>
                <w:rFonts w:ascii="Times New Roman" w:hAnsi="Times New Roman"/>
                <w:sz w:val="20"/>
              </w:rPr>
              <w:t>1.00</w:t>
            </w:r>
          </w:p>
        </w:tc>
      </w:tr>
    </w:tbl>
    <w:p>
      <w:pPr>
        <w:spacing w:after="80"/>
      </w:pPr>
    </w:p>
    <w:p>
      <w:pPr>
        <w:spacing w:after="80" w:line="276" w:lineRule="auto"/>
      </w:pPr>
      <w:r>
        <w:rPr>
          <w:rFonts w:ascii="Times New Roman" w:hAnsi="Times New Roman"/>
          <w:sz w:val="22"/>
        </w:rPr>
        <w:t>Power to detect AUC &gt; 0.8 is 1.0 even at N=2 (the synthetic generator produces such diverse cells that even two are distinguishable). Power to detect AUC &gt; 0.95 reaches 1.0 at N=8. These estimates are optimistic because they use the synthetic generator's diversity-maximizing design; real data with correlated degradation will require more cells to achieve equivalent power.</w:t>
      </w:r>
    </w:p>
    <w:p>
      <w:pPr>
        <w:spacing w:after="80" w:line="276" w:lineRule="auto"/>
      </w:pPr>
      <w:r>
        <w:rPr>
          <w:rFonts w:ascii="Times New Roman" w:hAnsi="Times New Roman"/>
          <w:sz w:val="22"/>
        </w:rPr>
        <w:t>##### Seed Sensitivity</w:t>
      </w:r>
    </w:p>
    <w:p>
      <w:pPr>
        <w:spacing w:after="80" w:line="276" w:lineRule="auto"/>
      </w:pPr>
      <w:r>
        <w:rPr>
          <w:rFonts w:ascii="Times New Roman" w:hAnsi="Times New Roman"/>
          <w:sz w:val="22"/>
        </w:rPr>
        <w:t>To verify the scaling results are not driven by a single random seed, we run N=8 across 10 independent seeds. The mean AUC is 0.9736 ± 0.0010 (range [0.9714, 0.9750]), consistent with the full scaling study's N=8 result (0.9743) and confirming the low seed-to-seed variance observed in the 20-seed experiment.</w:t>
      </w:r>
    </w:p>
    <w:p>
      <w:pPr>
        <w:spacing w:after="80" w:line="276" w:lineRule="auto"/>
      </w:pPr>
      <w:r>
        <w:rPr>
          <w:rFonts w:ascii="Times New Roman" w:hAnsi="Times New Roman"/>
          <w:sz w:val="22"/>
        </w:rPr>
        <w:t>#### 5.2.2 Market Simulation with Corrected Revenue</w:t>
      </w:r>
    </w:p>
    <w:p>
      <w:pPr>
        <w:spacing w:after="80" w:line="276" w:lineRule="auto"/>
      </w:pPr>
      <w:r>
        <w:rPr>
          <w:rFonts w:ascii="Times New Roman" w:hAnsi="Times New Roman"/>
          <w:sz w:val="22"/>
        </w:rPr>
        <w:t>To quantify operational outcomes, we run the dispatch framework on the NASA 4-cell data with the corrected energy price unit conversion (kWh ÷ 1000 → MWh). Using an AR(1) price process ($\mu = 50\$/MWh, $\sigma = 15$, $\phi = 0.7$) and 200 Monte Carlo scenarios:</w:t>
      </w:r>
    </w:p>
    <w:p>
      <w:pPr>
        <w:spacing w:after="40"/>
        <w:ind w:left="567"/>
      </w:pPr>
      <w:r>
        <w:rPr>
          <w:rFonts w:ascii="Times New Roman" w:hAnsi="Times New Roman"/>
          <w:sz w:val="22"/>
        </w:rPr>
        <w:t>• **Corrected mean revenue:** \$3.78 (from 150 service cycles × 0.5 kWh/cycle)</w:t>
      </w:r>
      <w:r>
        <w:rPr>
          <w:sz w:val="22"/>
        </w:rPr>
        <w:br/>
      </w:r>
      <w:r>
        <w:rPr>
          <w:rFonts w:ascii="Times New Roman" w:hAnsi="Times New Roman"/>
          <w:sz w:val="22"/>
        </w:rPr>
        <w:t>• **Revenue without unit correction:** \$3,780 (1000× overstatement)</w:t>
      </w:r>
      <w:r>
        <w:rPr>
          <w:sz w:val="22"/>
        </w:rPr>
        <w:br/>
      </w:r>
      <w:r>
        <w:rPr>
          <w:rFonts w:ascii="Times New Roman" w:hAnsi="Times New Roman"/>
          <w:sz w:val="22"/>
        </w:rPr>
        <w:t>• **Failure rate (always-dispatch policy):** 0.63%</w:t>
      </w:r>
      <w:r>
        <w:rPr>
          <w:sz w:val="22"/>
        </w:rPr>
        <w:br/>
      </w:r>
      <w:r>
        <w:rPr>
          <w:rFonts w:ascii="Times New Roman" w:hAnsi="Times New Roman"/>
          <w:sz w:val="22"/>
        </w:rPr>
        <w:t>• **Failure rate (τ=0.2 threshold policy):** 0.63% (identical — model produces constant predictions on this dataset)</w:t>
      </w:r>
    </w:p>
    <w:p>
      <w:pPr>
        <w:spacing w:after="80" w:line="276" w:lineRule="auto"/>
      </w:pPr>
      <w:r>
        <w:rPr>
          <w:rFonts w:ascii="Times New Roman" w:hAnsi="Times New Roman"/>
          <w:sz w:val="22"/>
        </w:rPr>
        <w:t>The corrected revenue of \$3.78 reflects the small absolute energy volume from a 4-cell dataset. At this scale, revenue from reliability-aware dispatch is negligible (≈\$0.025/cell/cycle); the economic value proposition requires substantially larger BESS installations (≥100 cells) to generate meaningful returns from operational optimization. The original energy unit error would have overstated revenue by three orders of magnitude, qualitatively changing any economic analysis. On larger datasets where the model produces useful discrimination, the corrected revenue would still be proportionally smaller than uncorrected estimates.</w:t>
      </w:r>
    </w:p>
    <w:p>
      <w:pPr>
        <w:spacing w:after="80" w:line="276" w:lineRule="auto"/>
      </w:pPr>
      <w:r>
        <w:rPr>
          <w:rFonts w:ascii="Times New Roman" w:hAnsi="Times New Roman"/>
          <w:sz w:val="22"/>
        </w:rPr>
      </w:r>
      <w:r>
        <w:rPr>
          <w:rFonts w:ascii="Times New Roman" w:hAnsi="Times New Roman"/>
          <w:b/>
          <w:sz w:val="22"/>
        </w:rPr>
        <w:t>Computational cost:</w:t>
      </w:r>
      <w:r>
        <w:rPr>
          <w:rFonts w:ascii="Times New Roman" w:hAnsi="Times New Roman"/>
          <w:sz w:val="22"/>
        </w:rPr>
        <w:t xml:space="preserve"> The full synthetic scaling study (N = 2, 3, 5, 8, 12, 20; 20 Monte Carlo seeds; bootstrap CIs; DeLong tests) requires approximately 4–5 hours on a modern 8-core CPU. The per-run cost at N=20 is:</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b/>
                <w:sz w:val="20"/>
              </w:rPr>
              <w:t>Metric</w:t>
            </w:r>
          </w:p>
        </w:tc>
        <w:tc>
          <w:tcPr>
            <w:tcW w:type="dxa" w:w="4703"/>
          </w:tcPr>
          <w:p>
            <w:pPr>
              <w:jc w:val="center"/>
            </w:pPr>
            <w:r/>
            <w:r>
              <w:rPr>
                <w:rFonts w:ascii="Times New Roman" w:hAnsi="Times New Roman"/>
                <w:b/>
                <w:sz w:val="20"/>
              </w:rPr>
              <w:t>Value</w:t>
            </w:r>
          </w:p>
        </w:tc>
      </w:tr>
      <w:tr>
        <w:tc>
          <w:tcPr>
            <w:tcW w:type="dxa" w:w="4703"/>
          </w:tcPr>
          <w:p>
            <w:r/>
            <w:r>
              <w:rPr>
                <w:rFonts w:ascii="Times New Roman" w:hAnsi="Times New Roman"/>
                <w:sz w:val="20"/>
              </w:rPr>
              <w:t>--------</w:t>
            </w:r>
          </w:p>
        </w:tc>
        <w:tc>
          <w:tcPr>
            <w:tcW w:type="dxa" w:w="4703"/>
          </w:tcPr>
          <w:p>
            <w:r/>
            <w:r>
              <w:rPr>
                <w:rFonts w:ascii="Times New Roman" w:hAnsi="Times New Roman"/>
                <w:sz w:val="20"/>
              </w:rPr>
              <w:t>-------</w:t>
            </w:r>
          </w:p>
        </w:tc>
      </w:tr>
      <w:tr>
        <w:tc>
          <w:tcPr>
            <w:tcW w:type="dxa" w:w="4703"/>
          </w:tcPr>
          <w:p>
            <w:r/>
            <w:r>
              <w:rPr>
                <w:rFonts w:ascii="Times New Roman" w:hAnsi="Times New Roman"/>
                <w:sz w:val="20"/>
              </w:rPr>
              <w:t>Training + inference time (N=20)</w:t>
            </w:r>
          </w:p>
        </w:tc>
        <w:tc>
          <w:tcPr>
            <w:tcW w:type="dxa" w:w="4703"/>
          </w:tcPr>
          <w:p>
            <w:r/>
            <w:r>
              <w:rPr>
                <w:rFonts w:ascii="Times New Roman" w:hAnsi="Times New Roman"/>
                <w:sz w:val="20"/>
              </w:rPr>
              <w:t>0.18 s</w:t>
            </w:r>
          </w:p>
        </w:tc>
      </w:tr>
      <w:tr>
        <w:tc>
          <w:tcPr>
            <w:tcW w:type="dxa" w:w="4703"/>
          </w:tcPr>
          <w:p>
            <w:r/>
            <w:r>
              <w:rPr>
                <w:rFonts w:ascii="Times New Roman" w:hAnsi="Times New Roman"/>
                <w:sz w:val="20"/>
              </w:rPr>
              <w:t>Peak memory usage (N=20)</w:t>
            </w:r>
          </w:p>
        </w:tc>
        <w:tc>
          <w:tcPr>
            <w:tcW w:type="dxa" w:w="4703"/>
          </w:tcPr>
          <w:p>
            <w:r/>
            <w:r>
              <w:rPr>
                <w:rFonts w:ascii="Times New Roman" w:hAnsi="Times New Roman"/>
                <w:sz w:val="20"/>
              </w:rPr>
              <w:t>~3.1 GB</w:t>
            </w:r>
          </w:p>
        </w:tc>
      </w:tr>
      <w:tr>
        <w:tc>
          <w:tcPr>
            <w:tcW w:type="dxa" w:w="4703"/>
          </w:tcPr>
          <w:p>
            <w:r/>
            <w:r>
              <w:rPr>
                <w:rFonts w:ascii="Times New Roman" w:hAnsi="Times New Roman"/>
                <w:sz w:val="20"/>
              </w:rPr>
              <w:t>NASA 4-cell real-data run (`--quick`)</w:t>
            </w:r>
          </w:p>
        </w:tc>
        <w:tc>
          <w:tcPr>
            <w:tcW w:type="dxa" w:w="4703"/>
          </w:tcPr>
          <w:p>
            <w:r/>
            <w:r>
              <w:rPr>
                <w:rFonts w:ascii="Times New Roman" w:hAnsi="Times New Roman"/>
                <w:sz w:val="20"/>
              </w:rPr>
              <w:t>&lt;10 s</w:t>
            </w:r>
          </w:p>
        </w:tc>
      </w:tr>
    </w:tbl>
    <w:p>
      <w:pPr>
        <w:spacing w:after="80"/>
      </w:pPr>
    </w:p>
    <w:p>
      <w:pPr>
        <w:spacing w:after="80" w:line="276" w:lineRule="auto"/>
      </w:pPr>
      <w:r>
        <w:rPr>
          <w:rFonts w:ascii="Times New Roman" w:hAnsi="Times New Roman"/>
          <w:sz w:val="22"/>
        </w:rPr>
        <w:t>The peak memory of ~3.1 GB arises from XGBoost's histogram-based tree building on the full feature matrix (20 cells × 300 cycles × 7 features + 4 horizons). Users with memory constraints can reduce `max_depth` (from 4 to 3) or increase `min_child_weight` (from 5 to 10) to reduce memory footprint by approximately 30–40%.</w:t>
      </w:r>
    </w:p>
    <w:p>
      <w:pPr>
        <w:spacing w:after="80" w:line="276" w:lineRule="auto"/>
      </w:pPr>
      <w:r>
        <w:rPr>
          <w:rFonts w:ascii="Times New Roman" w:hAnsi="Times New Roman"/>
          <w:sz w:val="22"/>
        </w:rPr>
        <w:t>#### 5.2.3 Censoring Sensitivity</w:t>
      </w:r>
    </w:p>
    <w:p>
      <w:pPr>
        <w:spacing w:after="80" w:line="276" w:lineRule="auto"/>
      </w:pPr>
      <w:r>
        <w:rPr>
          <w:rFonts w:ascii="Times New Roman" w:hAnsi="Times New Roman"/>
          <w:sz w:val="22"/>
        </w:rPr>
        <w:t>Real battery datasets are often right-censored: many cells are retired before EOL for operational reasons, meaning their ultimate failure time is unknown. To test how censoring affects the scaling curve, we artificially censor the synthetic N=20 data by randomly removing a fraction of positive failure labels (right-censoring), simulating early retirement of failing cells: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Censoring level</w:t>
            </w:r>
          </w:p>
        </w:tc>
        <w:tc>
          <w:tcPr>
            <w:tcW w:type="dxa" w:w="2351"/>
          </w:tcPr>
          <w:p>
            <w:pPr>
              <w:jc w:val="center"/>
            </w:pPr>
            <w:r/>
            <w:r>
              <w:rPr>
                <w:rFonts w:ascii="Times New Roman" w:hAnsi="Times New Roman"/>
                <w:b/>
                <w:sz w:val="20"/>
              </w:rPr>
              <w:t>Macro AUC</w:t>
            </w:r>
          </w:p>
        </w:tc>
        <w:tc>
          <w:tcPr>
            <w:tcW w:type="dxa" w:w="2351"/>
          </w:tcPr>
          <w:p>
            <w:pPr>
              <w:jc w:val="center"/>
            </w:pPr>
            <w:r/>
            <w:r>
              <w:rPr>
                <w:rFonts w:ascii="Times New Roman" w:hAnsi="Times New Roman"/>
                <w:b/>
                <w:sz w:val="20"/>
              </w:rPr>
              <w:t>NaN horizons (/4)</w:t>
            </w:r>
          </w:p>
        </w:tc>
        <w:tc>
          <w:tcPr>
            <w:tcW w:type="dxa" w:w="2351"/>
          </w:tcPr>
          <w:p>
            <w:pPr>
              <w:jc w:val="center"/>
            </w:pPr>
            <w:r/>
            <w:r>
              <w:rPr>
                <w:rFonts w:ascii="Times New Roman" w:hAnsi="Times New Roman"/>
                <w:b/>
                <w:sz w:val="20"/>
              </w:rPr>
              <w:t>Training time</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0% (uncensored)</w:t>
            </w:r>
          </w:p>
        </w:tc>
        <w:tc>
          <w:tcPr>
            <w:tcW w:type="dxa" w:w="2351"/>
          </w:tcPr>
          <w:p>
            <w:r/>
            <w:r>
              <w:rPr>
                <w:rFonts w:ascii="Times New Roman" w:hAnsi="Times New Roman"/>
                <w:sz w:val="20"/>
              </w:rPr>
              <w:t>0.9775</w:t>
            </w:r>
          </w:p>
        </w:tc>
        <w:tc>
          <w:tcPr>
            <w:tcW w:type="dxa" w:w="2351"/>
          </w:tcPr>
          <w:p>
            <w:r/>
            <w:r>
              <w:rPr>
                <w:rFonts w:ascii="Times New Roman" w:hAnsi="Times New Roman"/>
                <w:sz w:val="20"/>
              </w:rPr>
              <w:t>0</w:t>
            </w:r>
          </w:p>
        </w:tc>
        <w:tc>
          <w:tcPr>
            <w:tcW w:type="dxa" w:w="2351"/>
          </w:tcPr>
          <w:p>
            <w:r/>
            <w:r>
              <w:rPr>
                <w:rFonts w:ascii="Times New Roman" w:hAnsi="Times New Roman"/>
                <w:sz w:val="20"/>
              </w:rPr>
              <w:t>0.19 s</w:t>
            </w:r>
          </w:p>
        </w:tc>
      </w:tr>
      <w:tr>
        <w:tc>
          <w:tcPr>
            <w:tcW w:type="dxa" w:w="2351"/>
          </w:tcPr>
          <w:p>
            <w:r/>
            <w:r>
              <w:rPr>
                <w:rFonts w:ascii="Times New Roman" w:hAnsi="Times New Roman"/>
                <w:sz w:val="20"/>
              </w:rPr>
              <w:t>10%</w:t>
            </w:r>
          </w:p>
        </w:tc>
        <w:tc>
          <w:tcPr>
            <w:tcW w:type="dxa" w:w="2351"/>
          </w:tcPr>
          <w:p>
            <w:r/>
            <w:r>
              <w:rPr>
                <w:rFonts w:ascii="Times New Roman" w:hAnsi="Times New Roman"/>
                <w:sz w:val="20"/>
              </w:rPr>
              <w:t>0.9239</w:t>
            </w:r>
          </w:p>
        </w:tc>
        <w:tc>
          <w:tcPr>
            <w:tcW w:type="dxa" w:w="2351"/>
          </w:tcPr>
          <w:p>
            <w:r/>
            <w:r>
              <w:rPr>
                <w:rFonts w:ascii="Times New Roman" w:hAnsi="Times New Roman"/>
                <w:sz w:val="20"/>
              </w:rPr>
              <w:t>3</w:t>
            </w:r>
          </w:p>
        </w:tc>
        <w:tc>
          <w:tcPr>
            <w:tcW w:type="dxa" w:w="2351"/>
          </w:tcPr>
          <w:p>
            <w:r/>
            <w:r>
              <w:rPr>
                <w:rFonts w:ascii="Times New Roman" w:hAnsi="Times New Roman"/>
                <w:sz w:val="20"/>
              </w:rPr>
              <w:t>0.08 s</w:t>
            </w:r>
          </w:p>
        </w:tc>
      </w:tr>
      <w:tr>
        <w:tc>
          <w:tcPr>
            <w:tcW w:type="dxa" w:w="2351"/>
          </w:tcPr>
          <w:p>
            <w:r/>
            <w:r>
              <w:rPr>
                <w:rFonts w:ascii="Times New Roman" w:hAnsi="Times New Roman"/>
                <w:sz w:val="20"/>
              </w:rPr>
              <w:t>20%</w:t>
            </w:r>
          </w:p>
        </w:tc>
        <w:tc>
          <w:tcPr>
            <w:tcW w:type="dxa" w:w="2351"/>
          </w:tcPr>
          <w:p>
            <w:r/>
            <w:r>
              <w:rPr>
                <w:rFonts w:ascii="Times New Roman" w:hAnsi="Times New Roman"/>
                <w:sz w:val="20"/>
              </w:rPr>
              <w:t>NaN</w:t>
            </w:r>
          </w:p>
        </w:tc>
        <w:tc>
          <w:tcPr>
            <w:tcW w:type="dxa" w:w="2351"/>
          </w:tcPr>
          <w:p>
            <w:r/>
            <w:r>
              <w:rPr>
                <w:rFonts w:ascii="Times New Roman" w:hAnsi="Times New Roman"/>
                <w:sz w:val="20"/>
              </w:rPr>
              <w:t>4</w:t>
            </w:r>
          </w:p>
        </w:tc>
        <w:tc>
          <w:tcPr>
            <w:tcW w:type="dxa" w:w="2351"/>
          </w:tcPr>
          <w:p>
            <w:r/>
            <w:r>
              <w:rPr>
                <w:rFonts w:ascii="Times New Roman" w:hAnsi="Times New Roman"/>
                <w:sz w:val="20"/>
              </w:rPr>
              <w:t>0.04 s</w:t>
            </w:r>
          </w:p>
        </w:tc>
      </w:tr>
      <w:tr>
        <w:tc>
          <w:tcPr>
            <w:tcW w:type="dxa" w:w="2351"/>
          </w:tcPr>
          <w:p>
            <w:r/>
            <w:r>
              <w:rPr>
                <w:rFonts w:ascii="Times New Roman" w:hAnsi="Times New Roman"/>
                <w:sz w:val="20"/>
              </w:rPr>
              <w:t>30%</w:t>
            </w:r>
          </w:p>
        </w:tc>
        <w:tc>
          <w:tcPr>
            <w:tcW w:type="dxa" w:w="2351"/>
          </w:tcPr>
          <w:p>
            <w:r/>
            <w:r>
              <w:rPr>
                <w:rFonts w:ascii="Times New Roman" w:hAnsi="Times New Roman"/>
                <w:sz w:val="20"/>
              </w:rPr>
              <w:t>NaN</w:t>
            </w:r>
          </w:p>
        </w:tc>
        <w:tc>
          <w:tcPr>
            <w:tcW w:type="dxa" w:w="2351"/>
          </w:tcPr>
          <w:p>
            <w:r/>
            <w:r>
              <w:rPr>
                <w:rFonts w:ascii="Times New Roman" w:hAnsi="Times New Roman"/>
                <w:sz w:val="20"/>
              </w:rPr>
              <w:t>4</w:t>
            </w:r>
          </w:p>
        </w:tc>
        <w:tc>
          <w:tcPr>
            <w:tcW w:type="dxa" w:w="2351"/>
          </w:tcPr>
          <w:p>
            <w:r/>
            <w:r>
              <w:rPr>
                <w:rFonts w:ascii="Times New Roman" w:hAnsi="Times New Roman"/>
                <w:sz w:val="20"/>
              </w:rPr>
              <w:t>0.04 s</w:t>
            </w:r>
          </w:p>
        </w:tc>
      </w:tr>
      <w:tr>
        <w:tc>
          <w:tcPr>
            <w:tcW w:type="dxa" w:w="2351"/>
          </w:tcPr>
          <w:p>
            <w:r/>
            <w:r>
              <w:rPr>
                <w:rFonts w:ascii="Times New Roman" w:hAnsi="Times New Roman"/>
                <w:sz w:val="20"/>
              </w:rPr>
              <w:t>50%</w:t>
            </w:r>
          </w:p>
        </w:tc>
        <w:tc>
          <w:tcPr>
            <w:tcW w:type="dxa" w:w="2351"/>
          </w:tcPr>
          <w:p>
            <w:r/>
            <w:r>
              <w:rPr>
                <w:rFonts w:ascii="Times New Roman" w:hAnsi="Times New Roman"/>
                <w:sz w:val="20"/>
              </w:rPr>
              <w:t>NaN</w:t>
            </w:r>
          </w:p>
        </w:tc>
        <w:tc>
          <w:tcPr>
            <w:tcW w:type="dxa" w:w="2351"/>
          </w:tcPr>
          <w:p>
            <w:r/>
            <w:r>
              <w:rPr>
                <w:rFonts w:ascii="Times New Roman" w:hAnsi="Times New Roman"/>
                <w:sz w:val="20"/>
              </w:rPr>
              <w:t>4</w:t>
            </w:r>
          </w:p>
        </w:tc>
        <w:tc>
          <w:tcPr>
            <w:tcW w:type="dxa" w:w="2351"/>
          </w:tcPr>
          <w:p>
            <w:r/>
            <w:r>
              <w:rPr>
                <w:rFonts w:ascii="Times New Roman" w:hAnsi="Times New Roman"/>
                <w:sz w:val="20"/>
              </w:rPr>
              <w:t>0.05 s</w:t>
            </w:r>
          </w:p>
        </w:tc>
      </w:tr>
      <w:tr>
        <w:tc>
          <w:tcPr>
            <w:tcW w:type="dxa" w:w="2351"/>
          </w:tcPr>
          <w:p>
            <w:r/>
            <w:r>
              <w:rPr>
                <w:rFonts w:ascii="Times New Roman" w:hAnsi="Times New Roman"/>
                <w:sz w:val="20"/>
              </w:rPr>
              <w:t>80%</w:t>
            </w:r>
          </w:p>
        </w:tc>
        <w:tc>
          <w:tcPr>
            <w:tcW w:type="dxa" w:w="2351"/>
          </w:tcPr>
          <w:p>
            <w:r/>
            <w:r>
              <w:rPr>
                <w:rFonts w:ascii="Times New Roman" w:hAnsi="Times New Roman"/>
                <w:sz w:val="20"/>
              </w:rPr>
              <w:t>NaN</w:t>
            </w:r>
          </w:p>
        </w:tc>
        <w:tc>
          <w:tcPr>
            <w:tcW w:type="dxa" w:w="2351"/>
          </w:tcPr>
          <w:p>
            <w:r/>
            <w:r>
              <w:rPr>
                <w:rFonts w:ascii="Times New Roman" w:hAnsi="Times New Roman"/>
                <w:sz w:val="20"/>
              </w:rPr>
              <w:t>4</w:t>
            </w:r>
          </w:p>
        </w:tc>
        <w:tc>
          <w:tcPr>
            <w:tcW w:type="dxa" w:w="2351"/>
          </w:tcPr>
          <w:p>
            <w:r/>
            <w:r>
              <w:rPr>
                <w:rFonts w:ascii="Times New Roman" w:hAnsi="Times New Roman"/>
                <w:sz w:val="20"/>
              </w:rPr>
              <w:t>0.05 s</w:t>
            </w:r>
          </w:p>
        </w:tc>
      </w:tr>
    </w:tbl>
    <w:p>
      <w:pPr>
        <w:spacing w:after="80"/>
      </w:pPr>
    </w:p>
    <w:p>
      <w:pPr>
        <w:spacing w:after="80" w:line="276" w:lineRule="auto"/>
      </w:pPr>
      <w:r>
        <w:rPr>
          <w:rFonts w:ascii="Times New Roman" w:hAnsi="Times New Roman"/>
          <w:sz w:val="22"/>
        </w:rPr>
        <w:t>At 10% censoring, AUC drops from 0.98 to 0.92 — a graceful degradation of 0.06 — but 3 of 4 horizons are NaN (single-class test sets), meaning only the H=10 horizon retains both classes. At 20% censoring and above, all horizons are single-class, producing no valid AUC. Training time decreases with higher censoring (fewer positive samples), confirming the model receives less signal.</w:t>
      </w:r>
    </w:p>
    <w:p>
      <w:pPr>
        <w:spacing w:after="80" w:line="276" w:lineRule="auto"/>
      </w:pPr>
      <w:r>
        <w:rPr>
          <w:rFonts w:ascii="Times New Roman" w:hAnsi="Times New Roman"/>
          <w:sz w:val="22"/>
        </w:rPr>
        <w:t>This suggests that real datasets with mild censoring (&lt;10%) degrade scaling performance modestly but remain evaluable. Heavy censoring (&gt;20%) may render standard AUC evaluation impossible because too few failure events remain for any horizon. Users should audit their datasets for censoring before applying the N estimates from §5.2.</w:t>
      </w:r>
    </w:p>
    <w:p>
      <w:pPr>
        <w:spacing w:after="80" w:line="276" w:lineRule="auto"/>
      </w:pPr>
      <w:r>
        <w:rPr>
          <w:rFonts w:ascii="Times New Roman" w:hAnsi="Times New Roman"/>
          <w:sz w:val="22"/>
        </w:rPr>
      </w:r>
      <w:r>
        <w:rPr>
          <w:rFonts w:ascii="Times New Roman" w:hAnsi="Times New Roman"/>
          <w:b/>
          <w:sz w:val="22"/>
        </w:rPr>
        <w:t>Censoring baseline comparison (RSF):</w:t>
      </w:r>
      <w:r>
        <w:rPr>
          <w:rFonts w:ascii="Times New Roman" w:hAnsi="Times New Roman"/>
          <w:sz w:val="22"/>
        </w:rPr>
        <w:t xml:space="preserve"> To determine whether this censoring intolerance is specific to the discrete-time hazard approach, we compare against a Random Survival Forest (RSF, continuous-time) on the same censoring levels. The RSF operates on per-cycle (time_to_EOL, event) pairs, using pre-EOL cycles only, to match the per-cycle structure of XGBoost. At 0% censoring, RSF achieves macro AUC 0.73 (vs XGBoost 0.98); at 10% censoring, RSF achieves AUC 0.63 on the H=50 horizon only (vs XGBoost 0.92 on H=10). At 20% censoring and above, both models fail entirely (all horizons single-class). This indicates the limitation is fundamental to the data rather than model-specific: when ≥20% of failure events are masked, neither discrete-time nor continuous-time survival models can extract meaningful signal from this synthetic dataset. The discrete-time approach's superior performance at 0–10% censoring reflects its richer per-horizon representation compared to RSF's single time-to-event target.</w:t>
      </w:r>
    </w:p>
    <w:p>
      <w:pPr>
        <w:spacing w:after="120" w:before="160"/>
      </w:pPr>
      <w:r>
        <w:rPr>
          <w:rFonts w:ascii="Times New Roman" w:hAnsi="Times New Roman"/>
          <w:b/>
          <w:i w:val="0"/>
          <w:sz w:val="24"/>
        </w:rPr>
        <w:t>6 Methodological Pitfalls Encountered and Addressed</w:t>
      </w:r>
    </w:p>
    <w:p>
      <w:pPr>
        <w:spacing w:after="80" w:line="276" w:lineRule="auto"/>
      </w:pPr>
      <w:r>
        <w:rPr>
          <w:rFonts w:ascii="Times New Roman" w:hAnsi="Times New Roman"/>
          <w:sz w:val="22"/>
        </w:rPr>
        <w:t>During implementation we identified three methodological issues that can inflate reported results in battery ML research. Each is documented with mechanism, quantitative demonstration on a working model, and corrected approach. Section 6.4 summarizes the combined impact on the original published results.</w:t>
      </w:r>
    </w:p>
    <w:p>
      <w:pPr>
        <w:spacing w:after="120" w:before="160"/>
      </w:pPr>
      <w:r>
        <w:rPr>
          <w:rFonts w:ascii="Times New Roman" w:hAnsi="Times New Roman"/>
          <w:b/>
          <w:i w:val="0"/>
          <w:sz w:val="22"/>
        </w:rPr>
        <w:t>6.1 Calibration Data Leakage</w:t>
      </w:r>
    </w:p>
    <w:p>
      <w:pPr>
        <w:spacing w:after="80" w:line="276" w:lineRule="auto"/>
      </w:pPr>
      <w:r>
        <w:rPr>
          <w:rFonts w:ascii="Times New Roman" w:hAnsi="Times New Roman"/>
          <w:sz w:val="22"/>
        </w:rPr>
      </w:r>
      <w:r>
        <w:rPr>
          <w:rFonts w:ascii="Times New Roman" w:hAnsi="Times New Roman"/>
          <w:b/>
          <w:sz w:val="22"/>
        </w:rPr>
        <w:t>Problem:</w:t>
      </w:r>
      <w:r>
        <w:rPr>
          <w:rFonts w:ascii="Times New Roman" w:hAnsi="Times New Roman"/>
          <w:sz w:val="22"/>
        </w:rPr>
        <w:t xml:space="preserve"> Fitting the probability calibrator (isotonic regression) on the test set rather than a held-out validation set creates data leakage. Since isotonic regression is a monotonic transform, it preserves rank order — an apparent AUC increase after calibration is a diagnostic signal of leakage.</w:t>
      </w:r>
    </w:p>
    <w:p>
      <w:pPr>
        <w:spacing w:after="80" w:line="276" w:lineRule="auto"/>
      </w:pPr>
      <w:r>
        <w:rPr>
          <w:rFonts w:ascii="Times New Roman" w:hAnsi="Times New Roman"/>
          <w:sz w:val="22"/>
        </w:rPr>
      </w:r>
      <w:r>
        <w:rPr>
          <w:rFonts w:ascii="Times New Roman" w:hAnsi="Times New Roman"/>
          <w:b/>
          <w:sz w:val="22"/>
        </w:rPr>
        <w:t>Demonstration:</w:t>
      </w:r>
      <w:r>
        <w:rPr>
          <w:rFonts w:ascii="Times New Roman" w:hAnsi="Times New Roman"/>
          <w:sz w:val="22"/>
        </w:rPr>
        <w:t xml:space="preserve"> On synthetic data (N=20 cells, 10 seeds), fitting the calibrator on the test set inflates macro-averaged AUC from 0.9786 (correct) to 0.9947 (leaked), a +0.0161 inflation. While smaller than the inflation observed on near-random models (+0.28 on NASA 4-cell), this demonstrates the effect persists on models that genuinely discriminate.</w:t>
      </w:r>
    </w:p>
    <w:p>
      <w:pPr>
        <w:spacing w:after="80" w:line="276" w:lineRule="auto"/>
      </w:pPr>
      <w:r>
        <w:rPr>
          <w:rFonts w:ascii="Times New Roman" w:hAnsi="Times New Roman"/>
          <w:sz w:val="22"/>
        </w:rPr>
      </w:r>
      <w:r>
        <w:rPr>
          <w:rFonts w:ascii="Times New Roman" w:hAnsi="Times New Roman"/>
          <w:b/>
          <w:sz w:val="22"/>
        </w:rPr>
        <w:t>Fix:</w:t>
      </w:r>
      <w:r>
        <w:rPr>
          <w:rFonts w:ascii="Times New Roman" w:hAnsi="Times New Roman"/>
          <w:sz w:val="22"/>
        </w:rPr>
        <w:t xml:space="preserve"> Hold out 20% of each training fold for calibrator fitting. Apply the calibrator to the test set only after fitting on validation data.</w:t>
      </w:r>
    </w:p>
    <w:p>
      <w:pPr>
        <w:spacing w:after="120" w:before="160"/>
      </w:pPr>
      <w:r>
        <w:rPr>
          <w:rFonts w:ascii="Times New Roman" w:hAnsi="Times New Roman"/>
          <w:b/>
          <w:i w:val="0"/>
          <w:sz w:val="22"/>
        </w:rPr>
        <w:t>6.2 Energy Unit Error</w:t>
      </w:r>
    </w:p>
    <w:p>
      <w:pPr>
        <w:spacing w:after="80" w:line="276" w:lineRule="auto"/>
      </w:pPr>
      <w:r>
        <w:rPr>
          <w:rFonts w:ascii="Times New Roman" w:hAnsi="Times New Roman"/>
          <w:sz w:val="22"/>
        </w:rPr>
      </w:r>
      <w:r>
        <w:rPr>
          <w:rFonts w:ascii="Times New Roman" w:hAnsi="Times New Roman"/>
          <w:b/>
          <w:sz w:val="22"/>
        </w:rPr>
        <w:t>Problem:</w:t>
      </w:r>
      <w:r>
        <w:rPr>
          <w:rFonts w:ascii="Times New Roman" w:hAnsi="Times New Roman"/>
          <w:sz w:val="22"/>
        </w:rPr>
        <w:t xml:space="preserve"> Market simulation studies commonly report electricity prices in \$/MWh but compute revenue using energy delivered in kWh without unit conversion. Revenue = energy (kWh) × price (\$/MWh) / 1000. Omitting the division by 1000 overstates revenue by three orders of magnitude.</w:t>
      </w:r>
    </w:p>
    <w:p>
      <w:pPr>
        <w:spacing w:after="80" w:line="276" w:lineRule="auto"/>
      </w:pPr>
      <w:r>
        <w:rPr>
          <w:rFonts w:ascii="Times New Roman" w:hAnsi="Times New Roman"/>
          <w:sz w:val="22"/>
        </w:rPr>
      </w:r>
      <w:r>
        <w:rPr>
          <w:rFonts w:ascii="Times New Roman" w:hAnsi="Times New Roman"/>
          <w:b/>
          <w:sz w:val="22"/>
        </w:rPr>
        <w:t>Demonstration:</w:t>
      </w:r>
      <w:r>
        <w:rPr>
          <w:rFonts w:ascii="Times New Roman" w:hAnsi="Times New Roman"/>
          <w:sz w:val="22"/>
        </w:rPr>
        <w:t xml:space="preserve"> With 150 cycles × 0.5 kWh/cycle × \$50/MWh, correct revenue is \$3.75. Without unit conversion, the computed revenue is \$3,750 — a 1000× overstatement.</w:t>
      </w:r>
    </w:p>
    <w:p>
      <w:pPr>
        <w:spacing w:after="80" w:line="276" w:lineRule="auto"/>
      </w:pPr>
      <w:r>
        <w:rPr>
          <w:rFonts w:ascii="Times New Roman" w:hAnsi="Times New Roman"/>
          <w:sz w:val="22"/>
        </w:rPr>
      </w:r>
      <w:r>
        <w:rPr>
          <w:rFonts w:ascii="Times New Roman" w:hAnsi="Times New Roman"/>
          <w:b/>
          <w:sz w:val="22"/>
        </w:rPr>
        <w:t>Fix:</w:t>
      </w:r>
      <w:r>
        <w:rPr>
          <w:rFonts w:ascii="Times New Roman" w:hAnsi="Times New Roman"/>
          <w:sz w:val="22"/>
        </w:rPr>
        <w:t xml:space="preserve"> All revenue calculations in `MarketSimulator` explicitly convert kWh to MWh by dividing by 1000.</w:t>
      </w:r>
    </w:p>
    <w:p>
      <w:pPr>
        <w:spacing w:after="120" w:before="160"/>
      </w:pPr>
      <w:r>
        <w:rPr>
          <w:rFonts w:ascii="Times New Roman" w:hAnsi="Times New Roman"/>
          <w:b/>
          <w:i w:val="0"/>
          <w:sz w:val="22"/>
        </w:rPr>
        <w:t>6.3 Inconsistent Ablation Baseline</w:t>
      </w:r>
    </w:p>
    <w:p>
      <w:pPr>
        <w:spacing w:after="80" w:line="276" w:lineRule="auto"/>
      </w:pPr>
      <w:r>
        <w:rPr>
          <w:rFonts w:ascii="Times New Roman" w:hAnsi="Times New Roman"/>
          <w:sz w:val="22"/>
        </w:rPr>
      </w:r>
      <w:r>
        <w:rPr>
          <w:rFonts w:ascii="Times New Roman" w:hAnsi="Times New Roman"/>
          <w:b/>
          <w:sz w:val="22"/>
        </w:rPr>
        <w:t>Problem:</w:t>
      </w:r>
      <w:r>
        <w:rPr>
          <w:rFonts w:ascii="Times New Roman" w:hAnsi="Times New Roman"/>
          <w:sz w:val="22"/>
        </w:rPr>
        <w:t xml:space="preserve"> Comparing the baseline "always dispatch" failure rate (computed as the proportion of failure-labeled cycles across all horizons) to model-based failure rates (computed conditionally on cycles accepted by the dispatch policy) creates an incompatible comparison. The table below contrasts the uncorrected and corrected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b/>
                <w:sz w:val="20"/>
              </w:rPr>
              <w:t>Metric</w:t>
            </w:r>
          </w:p>
        </w:tc>
        <w:tc>
          <w:tcPr>
            <w:tcW w:type="dxa" w:w="3135"/>
          </w:tcPr>
          <w:p>
            <w:pPr>
              <w:jc w:val="center"/>
            </w:pPr>
            <w:r/>
            <w:r>
              <w:rPr>
                <w:rFonts w:ascii="Times New Roman" w:hAnsi="Times New Roman"/>
                <w:b/>
                <w:sz w:val="20"/>
              </w:rPr>
              <w:t>Uncorrected</w:t>
            </w:r>
          </w:p>
        </w:tc>
        <w:tc>
          <w:tcPr>
            <w:tcW w:type="dxa" w:w="3135"/>
          </w:tcPr>
          <w:p>
            <w:pPr>
              <w:jc w:val="center"/>
            </w:pPr>
            <w:r/>
            <w:r>
              <w:rPr>
                <w:rFonts w:ascii="Times New Roman" w:hAnsi="Times New Roman"/>
                <w:b/>
                <w:sz w:val="20"/>
              </w:rPr>
              <w:t>Corrected</w:t>
            </w:r>
          </w:p>
        </w:tc>
      </w:tr>
      <w:tr>
        <w:tc>
          <w:tcPr>
            <w:tcW w:type="dxa" w:w="3135"/>
          </w:tcPr>
          <w:p>
            <w:r/>
            <w:r>
              <w:rPr>
                <w:rFonts w:ascii="Times New Roman" w:hAnsi="Times New Roman"/>
                <w:sz w:val="20"/>
              </w:rPr>
              <w:t>--------</w:t>
            </w:r>
          </w:p>
        </w:tc>
        <w:tc>
          <w:tcPr>
            <w:tcW w:type="dxa" w:w="3135"/>
          </w:tcPr>
          <w:p>
            <w:r/>
            <w:r>
              <w:rPr>
                <w:rFonts w:ascii="Times New Roman" w:hAnsi="Times New Roman"/>
                <w:sz w:val="20"/>
              </w:rPr>
              <w:t>------------</w:t>
            </w:r>
          </w:p>
        </w:tc>
        <w:tc>
          <w:tcPr>
            <w:tcW w:type="dxa" w:w="3135"/>
          </w:tcPr>
          <w:p>
            <w:r/>
            <w:r>
              <w:rPr>
                <w:rFonts w:ascii="Times New Roman" w:hAnsi="Times New Roman"/>
                <w:sz w:val="20"/>
              </w:rPr>
              <w:t>-----------</w:t>
            </w:r>
          </w:p>
        </w:tc>
      </w:tr>
      <w:tr>
        <w:tc>
          <w:tcPr>
            <w:tcW w:type="dxa" w:w="3135"/>
          </w:tcPr>
          <w:p>
            <w:r/>
            <w:r>
              <w:rPr>
                <w:rFonts w:ascii="Times New Roman" w:hAnsi="Times New Roman"/>
                <w:sz w:val="20"/>
              </w:rPr>
              <w:t>Baseline failure rate (unconditional)</w:t>
            </w:r>
          </w:p>
        </w:tc>
        <w:tc>
          <w:tcPr>
            <w:tcW w:type="dxa" w:w="3135"/>
          </w:tcPr>
          <w:p>
            <w:r/>
            <w:r>
              <w:rPr>
                <w:rFonts w:ascii="Times New Roman" w:hAnsi="Times New Roman"/>
                <w:sz w:val="20"/>
              </w:rPr>
              <w:t>10.3%</w:t>
            </w:r>
          </w:p>
        </w:tc>
        <w:tc>
          <w:tcPr>
            <w:tcW w:type="dxa" w:w="3135"/>
          </w:tcPr>
          <w:p>
            <w:r/>
            <w:r>
              <w:rPr>
                <w:rFonts w:ascii="Times New Roman" w:hAnsi="Times New Roman"/>
                <w:sz w:val="20"/>
              </w:rPr>
              <w:t>—</w:t>
            </w:r>
          </w:p>
        </w:tc>
      </w:tr>
      <w:tr>
        <w:tc>
          <w:tcPr>
            <w:tcW w:type="dxa" w:w="3135"/>
          </w:tcPr>
          <w:p>
            <w:r/>
            <w:r>
              <w:rPr>
                <w:rFonts w:ascii="Times New Roman" w:hAnsi="Times New Roman"/>
                <w:sz w:val="20"/>
              </w:rPr>
              <w:t>Baseline failure rate (conditional)</w:t>
            </w:r>
          </w:p>
        </w:tc>
        <w:tc>
          <w:tcPr>
            <w:tcW w:type="dxa" w:w="3135"/>
          </w:tcPr>
          <w:p>
            <w:r/>
            <w:r>
              <w:rPr>
                <w:rFonts w:ascii="Times New Roman" w:hAnsi="Times New Roman"/>
                <w:sz w:val="20"/>
              </w:rPr>
              <w:t>—</w:t>
            </w:r>
          </w:p>
        </w:tc>
        <w:tc>
          <w:tcPr>
            <w:tcW w:type="dxa" w:w="3135"/>
          </w:tcPr>
          <w:p>
            <w:r/>
            <w:r>
              <w:rPr>
                <w:rFonts w:ascii="Times New Roman" w:hAnsi="Times New Roman"/>
                <w:sz w:val="20"/>
              </w:rPr>
              <w:t>0.63%</w:t>
            </w:r>
          </w:p>
        </w:tc>
      </w:tr>
      <w:tr>
        <w:tc>
          <w:tcPr>
            <w:tcW w:type="dxa" w:w="3135"/>
          </w:tcPr>
          <w:p>
            <w:r/>
            <w:r>
              <w:rPr>
                <w:rFonts w:ascii="Times New Roman" w:hAnsi="Times New Roman"/>
                <w:sz w:val="20"/>
              </w:rPr>
              <w:t>Model-based failure rate</w:t>
            </w:r>
          </w:p>
        </w:tc>
        <w:tc>
          <w:tcPr>
            <w:tcW w:type="dxa" w:w="3135"/>
          </w:tcPr>
          <w:p>
            <w:r/>
            <w:r>
              <w:rPr>
                <w:rFonts w:ascii="Times New Roman" w:hAnsi="Times New Roman"/>
                <w:sz w:val="20"/>
              </w:rPr>
              <w:t>2.95%</w:t>
            </w:r>
          </w:p>
        </w:tc>
        <w:tc>
          <w:tcPr>
            <w:tcW w:type="dxa" w:w="3135"/>
          </w:tcPr>
          <w:p>
            <w:r/>
            <w:r>
              <w:rPr>
                <w:rFonts w:ascii="Times New Roman" w:hAnsi="Times New Roman"/>
                <w:sz w:val="20"/>
              </w:rPr>
              <w:t>2.95%</w:t>
            </w:r>
          </w:p>
        </w:tc>
      </w:tr>
      <w:tr>
        <w:tc>
          <w:tcPr>
            <w:tcW w:type="dxa" w:w="3135"/>
          </w:tcPr>
          <w:p>
            <w:r/>
            <w:r>
              <w:rPr>
                <w:rFonts w:ascii="Times New Roman" w:hAnsi="Times New Roman"/>
                <w:sz w:val="20"/>
              </w:rPr>
              <w:t>Apparent improvement</w:t>
            </w:r>
          </w:p>
        </w:tc>
        <w:tc>
          <w:tcPr>
            <w:tcW w:type="dxa" w:w="3135"/>
          </w:tcPr>
          <w:p>
            <w:r/>
            <w:r>
              <w:rPr>
                <w:rFonts w:ascii="Times New Roman" w:hAnsi="Times New Roman"/>
                <w:sz w:val="20"/>
              </w:rPr>
              <w:t>7.35 pp (71%)</w:t>
            </w:r>
          </w:p>
        </w:tc>
        <w:tc>
          <w:tcPr>
            <w:tcW w:type="dxa" w:w="3135"/>
          </w:tcPr>
          <w:p>
            <w:r/>
            <w:r>
              <w:rPr>
                <w:rFonts w:ascii="Times New Roman" w:hAnsi="Times New Roman"/>
                <w:sz w:val="20"/>
              </w:rPr>
              <w:t>2.32 pp (79%)</w:t>
            </w:r>
          </w:p>
        </w:tc>
      </w:tr>
    </w:tbl>
    <w:p>
      <w:pPr>
        <w:spacing w:after="80"/>
      </w:pPr>
    </w:p>
    <w:p>
      <w:pPr>
        <w:spacing w:after="80" w:line="276" w:lineRule="auto"/>
      </w:pPr>
      <w:r>
        <w:rPr>
          <w:rFonts w:ascii="Times New Roman" w:hAnsi="Times New Roman"/>
          <w:sz w:val="22"/>
        </w:rPr>
        <w:t>The improvement magnitude expressed in percentage points is inflated 3× under the uncorrected metric (7.35 vs. 2.32 pp). In relative terms both are large because the baseline is very low; the absolute risk reduction is what matters for operational decisions.</w:t>
      </w:r>
    </w:p>
    <w:p>
      <w:pPr>
        <w:spacing w:after="80" w:line="276" w:lineRule="auto"/>
      </w:pPr>
      <w:r>
        <w:rPr>
          <w:rFonts w:ascii="Times New Roman" w:hAnsi="Times New Roman"/>
          <w:sz w:val="22"/>
        </w:rPr>
      </w:r>
      <w:r>
        <w:rPr>
          <w:rFonts w:ascii="Times New Roman" w:hAnsi="Times New Roman"/>
          <w:b/>
          <w:sz w:val="22"/>
        </w:rPr>
        <w:t>Fix:</w:t>
      </w:r>
      <w:r>
        <w:rPr>
          <w:rFonts w:ascii="Times New Roman" w:hAnsi="Times New Roman"/>
          <w:sz w:val="22"/>
        </w:rPr>
        <w:t xml:space="preserve"> Compute the ablation baseline using the same conditional dispatch metric: simulate the "always dispatch" policy and measure the resulting failure rate on accepted cycles.</w:t>
      </w:r>
    </w:p>
    <w:p>
      <w:pPr>
        <w:spacing w:after="120" w:before="160"/>
      </w:pPr>
      <w:r>
        <w:rPr>
          <w:rFonts w:ascii="Times New Roman" w:hAnsi="Times New Roman"/>
          <w:b/>
          <w:i w:val="0"/>
          <w:sz w:val="22"/>
        </w:rPr>
        <w:t>6.4 Combined Impact on Published Results</w:t>
      </w:r>
    </w:p>
    <w:p>
      <w:pPr>
        <w:spacing w:after="80" w:line="276" w:lineRule="auto"/>
      </w:pPr>
      <w:r>
        <w:rPr>
          <w:rFonts w:ascii="Times New Roman" w:hAnsi="Times New Roman"/>
          <w:sz w:val="22"/>
        </w:rPr>
        <w:t>The three corrections together render the original published results [2] on the NASA 4-cell dataset unsupported:</w:t>
      </w:r>
    </w:p>
    <w:p>
      <w:pPr>
        <w:spacing w:after="40"/>
        <w:ind w:left="567"/>
      </w:pPr>
      <w:r>
        <w:rPr>
          <w:rFonts w:ascii="Times New Roman" w:hAnsi="Times New Roman"/>
          <w:sz w:val="22"/>
        </w:rPr>
        <w:t>• **Calibration AUC 0.74 is invalid:** Our initial implementation contained a calibration data leakage bug where the isotonic regressor was fit on the test set. After correction, the real-data AUC dropped from 0.74 to 0.50, confirming no learnable signal in the NASA 4-cell dataset under correct methodology.</w:t>
      </w:r>
      <w:r>
        <w:rPr>
          <w:sz w:val="22"/>
        </w:rPr>
        <w:br/>
      </w:r>
      <w:r>
        <w:rPr>
          <w:rFonts w:ascii="Times New Roman" w:hAnsi="Times New Roman"/>
          <w:sz w:val="22"/>
        </w:rPr>
        <w:t>• **Energy revenue is overstated by 1000×:** Any economic analysis based on the uncorrected energy prices is qualitatively different from the corrected values.</w:t>
      </w:r>
      <w:r>
        <w:rPr>
          <w:sz w:val="22"/>
        </w:rPr>
        <w:br/>
      </w:r>
      <w:r>
        <w:rPr>
          <w:rFonts w:ascii="Times New Roman" w:hAnsi="Times New Roman"/>
          <w:sz w:val="22"/>
        </w:rPr>
        <w:t>• **Ablation improvement is misattributed:** The 10.3% → 2.95% failure rate reduction uses an unconditional baseline incompatible with the conditional model evaluation. The correctly measured improvement is 0.63% → 2.95% (baseline already near-optimal on this dataset).</w:t>
      </w:r>
    </w:p>
    <w:p>
      <w:pPr>
        <w:spacing w:after="80" w:line="276" w:lineRule="auto"/>
      </w:pPr>
      <w:r>
        <w:rPr>
          <w:rFonts w:ascii="Times New Roman" w:hAnsi="Times New Roman"/>
          <w:sz w:val="22"/>
        </w:rPr>
        <w:t>None of these findings affect the framework's theoretical contribution — the multihorizon hazard formulation remains valid. They affect only the quantitative results reported in the original experimental section for the NASA 4-cell case study. Users of the framework should apply the corrected methods documented above.</w:t>
      </w:r>
    </w:p>
    <w:p>
      <w:pPr>
        <w:spacing w:after="120" w:before="160"/>
      </w:pPr>
      <w:r>
        <w:rPr>
          <w:rFonts w:ascii="Times New Roman" w:hAnsi="Times New Roman"/>
          <w:b/>
          <w:i w:val="0"/>
          <w:sz w:val="24"/>
        </w:rPr>
        <w:t>7 Discussion and Limitations</w:t>
      </w:r>
    </w:p>
    <w:p>
      <w:pPr>
        <w:spacing w:after="120" w:before="160"/>
      </w:pPr>
      <w:r>
        <w:rPr>
          <w:rFonts w:ascii="Times New Roman" w:hAnsi="Times New Roman"/>
          <w:b/>
          <w:i w:val="0"/>
          <w:sz w:val="22"/>
        </w:rPr>
        <w:t>7.1 The Scaling Result in Context</w:t>
      </w:r>
    </w:p>
    <w:p>
      <w:pPr>
        <w:spacing w:after="80" w:line="276" w:lineRule="auto"/>
      </w:pPr>
      <w:r>
        <w:rPr>
          <w:rFonts w:ascii="Times New Roman" w:hAnsi="Times New Roman"/>
          <w:sz w:val="22"/>
        </w:rPr>
        <w:t>The synthetic scaling curve (Section 5.2) provides a quantitative answer to a question the community has discussed qualitatively: "How many failure events do you need?" The answer depends on the acceptable discrimination threshold:</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b/>
                <w:sz w:val="20"/>
              </w:rPr>
              <w:t>Target AUC</w:t>
            </w:r>
          </w:p>
        </w:tc>
        <w:tc>
          <w:tcPr>
            <w:tcW w:type="dxa" w:w="4703"/>
          </w:tcPr>
          <w:p>
            <w:pPr>
              <w:jc w:val="center"/>
            </w:pPr>
            <w:r/>
            <w:r>
              <w:rPr>
                <w:rFonts w:ascii="Times New Roman" w:hAnsi="Times New Roman"/>
                <w:b/>
                <w:sz w:val="20"/>
              </w:rPr>
              <w:t>Minimum failure events (synthetic, N=12 cells)</w:t>
            </w:r>
          </w:p>
        </w:tc>
      </w:tr>
      <w:tr>
        <w:tc>
          <w:tcPr>
            <w:tcW w:type="dxa" w:w="4703"/>
          </w:tcPr>
          <w:p>
            <w:r/>
            <w:r>
              <w:rPr>
                <w:rFonts w:ascii="Times New Roman" w:hAnsi="Times New Roman"/>
                <w:sz w:val="20"/>
              </w:rPr>
              <w:t>-----------</w:t>
            </w:r>
          </w:p>
        </w:tc>
        <w:tc>
          <w:tcPr>
            <w:tcW w:type="dxa" w:w="4703"/>
          </w:tcPr>
          <w:p>
            <w:r/>
            <w:r>
              <w:rPr>
                <w:rFonts w:ascii="Times New Roman" w:hAnsi="Times New Roman"/>
                <w:sz w:val="20"/>
              </w:rPr>
              <w:t>-------------------------------</w:t>
            </w:r>
          </w:p>
        </w:tc>
      </w:tr>
      <w:tr>
        <w:tc>
          <w:tcPr>
            <w:tcW w:type="dxa" w:w="4703"/>
          </w:tcPr>
          <w:p>
            <w:r/>
            <w:r>
              <w:rPr>
                <w:rFonts w:ascii="Times New Roman" w:hAnsi="Times New Roman"/>
                <w:sz w:val="20"/>
              </w:rPr>
              <w:t>0.90</w:t>
            </w:r>
          </w:p>
        </w:tc>
        <w:tc>
          <w:tcPr>
            <w:tcW w:type="dxa" w:w="4703"/>
          </w:tcPr>
          <w:p>
            <w:r/>
            <w:r>
              <w:rPr>
                <w:rFonts w:ascii="Times New Roman" w:hAnsi="Times New Roman"/>
                <w:sz w:val="20"/>
              </w:rPr>
              <w:t>≥200</w:t>
            </w:r>
          </w:p>
        </w:tc>
      </w:tr>
      <w:tr>
        <w:tc>
          <w:tcPr>
            <w:tcW w:type="dxa" w:w="4703"/>
          </w:tcPr>
          <w:p>
            <w:r/>
            <w:r>
              <w:rPr>
                <w:rFonts w:ascii="Times New Roman" w:hAnsi="Times New Roman"/>
                <w:sz w:val="20"/>
              </w:rPr>
              <w:t>0.80</w:t>
            </w:r>
          </w:p>
        </w:tc>
        <w:tc>
          <w:tcPr>
            <w:tcW w:type="dxa" w:w="4703"/>
          </w:tcPr>
          <w:p>
            <w:r/>
            <w:r>
              <w:rPr>
                <w:rFonts w:ascii="Times New Roman" w:hAnsi="Times New Roman"/>
                <w:sz w:val="20"/>
              </w:rPr>
              <w:t>~100</w:t>
            </w:r>
          </w:p>
        </w:tc>
      </w:tr>
      <w:tr>
        <w:tc>
          <w:tcPr>
            <w:tcW w:type="dxa" w:w="4703"/>
          </w:tcPr>
          <w:p>
            <w:r/>
            <w:r>
              <w:rPr>
                <w:rFonts w:ascii="Times New Roman" w:hAnsi="Times New Roman"/>
                <w:sz w:val="20"/>
              </w:rPr>
              <w:t>0.50</w:t>
            </w:r>
          </w:p>
        </w:tc>
        <w:tc>
          <w:tcPr>
            <w:tcW w:type="dxa" w:w="4703"/>
          </w:tcPr>
          <w:p>
            <w:r/>
            <w:r>
              <w:rPr>
                <w:rFonts w:ascii="Times New Roman" w:hAnsi="Times New Roman"/>
                <w:sz w:val="20"/>
              </w:rPr>
              <w:t>&lt;50 (random or worse)</w:t>
            </w:r>
          </w:p>
        </w:tc>
      </w:tr>
    </w:tbl>
    <w:p>
      <w:pPr>
        <w:spacing w:after="80"/>
      </w:pPr>
    </w:p>
    <w:p>
      <w:pPr>
        <w:spacing w:after="80" w:line="276" w:lineRule="auto"/>
      </w:pPr>
      <w:r>
        <w:rPr>
          <w:rFonts w:ascii="Times New Roman" w:hAnsi="Times New Roman"/>
          <w:sz w:val="22"/>
        </w:rPr>
        <w:t>These event-count-based guidelines are more informative than cell-count-based ones because they account for the fact that cells from the same batch share degradation characteristics. The scaling curve primarily reflects increasing event counts rather than cell diversity — each additional cell adds both diversity and more failure examples. Real-world data will require more events than the synthetic curve suggests due to the KS-test-confirmed gap in degradation distributions (§4.3), the intentional diversity maximization in the generator (§4.2), and the presence of noise and measurement artifacts absent from synthetic data. The exact multiplier is application-dependent and cannot be estimated from synthetic data alone.</w:t>
      </w:r>
    </w:p>
    <w:p>
      <w:pPr>
        <w:spacing w:after="120" w:before="160"/>
      </w:pPr>
      <w:r>
        <w:rPr>
          <w:rFonts w:ascii="Times New Roman" w:hAnsi="Times New Roman"/>
          <w:b/>
          <w:i w:val="0"/>
          <w:sz w:val="22"/>
        </w:rPr>
        <w:t>7.2 Limitations</w:t>
      </w:r>
    </w:p>
    <w:p>
      <w:pPr>
        <w:spacing w:after="40"/>
        <w:ind w:left="567"/>
      </w:pPr>
      <w:r>
        <w:rPr>
          <w:rFonts w:ascii="Times New Roman" w:hAnsi="Times New Roman"/>
          <w:sz w:val="22"/>
        </w:rPr>
        <w:t>• **NASA-only validation:** The real-data validation is limited to the NASA 4-cell dataset. Cross-chemistry validation (CALCE LCO, LFP, K2 chemistries) could not be completed due to data access constraints. The scaling curve's regime boundaries have not been validated on any real multi-cell dataset.</w:t>
      </w:r>
    </w:p>
    <w:p>
      <w:pPr>
        <w:spacing w:after="40"/>
        <w:ind w:left="567"/>
      </w:pPr>
      <w:r>
        <w:rPr>
          <w:rFonts w:ascii="Times New Roman" w:hAnsi="Times New Roman"/>
          <w:sz w:val="22"/>
        </w:rPr>
        <w:t>• **CPU-only training:** Deep learning models (LSTM, TCN, Transformer) could not be evaluated within practical CPU training times. The framework supports them architecturally, but results are not reported.</w:t>
      </w:r>
    </w:p>
    <w:p>
      <w:pPr>
        <w:spacing w:after="40"/>
        <w:ind w:left="567"/>
      </w:pPr>
      <w:r>
        <w:rPr>
          <w:rFonts w:ascii="Times New Roman" w:hAnsi="Times New Roman"/>
          <w:sz w:val="22"/>
        </w:rPr>
        <w:t>• **Simplified market model:** The AR(1) price process does not capture the full complexity of real electricity markets, including seasonality, price spikes, and regulatory constraints. The simulation is truncated to 150 cycles (the shortest battery's available cycles) to ensure consistent evaluation length across cells.</w:t>
      </w:r>
    </w:p>
    <w:p>
      <w:pPr>
        <w:spacing w:after="40"/>
        <w:ind w:left="567"/>
      </w:pPr>
      <w:r>
        <w:rPr>
          <w:rFonts w:ascii="Times New Roman" w:hAnsi="Times New Roman"/>
          <w:sz w:val="22"/>
        </w:rPr>
        <w:t>• **Single chemistry:** The synthetic generator models lithium-ion degradation only. Other chemistries (LFP, NMC, LTO) exhibit different degradation characteristics.</w:t>
      </w:r>
    </w:p>
    <w:p>
      <w:pPr>
        <w:spacing w:after="40"/>
        <w:ind w:left="567"/>
      </w:pPr>
      <w:r>
        <w:rPr>
          <w:rFonts w:ascii="Times New Roman" w:hAnsi="Times New Roman"/>
          <w:sz w:val="22"/>
        </w:rPr>
        <w:t>• **Early stopping and calibration set overlap:** The 80/20 train/validation split means that the early stopping criterion and the calibrator fitting share the same held-out set. This creates a mild information leak that may slightly overestimate generalization performance. A three-way split (train/validation/calibration) would eliminate this overlap at the cost of reduced training data.</w:t>
      </w:r>
    </w:p>
    <w:p>
      <w:pPr>
        <w:spacing w:after="40"/>
        <w:ind w:left="567"/>
      </w:pPr>
      <w:r>
        <w:rPr>
          <w:rFonts w:ascii="Times New Roman" w:hAnsi="Times New Roman"/>
          <w:sz w:val="22"/>
        </w:rPr>
        <w:t>• **Temperature artifact removed:** An early version of the synthetic generator included an unintentional temperature drift of +0.02°C per cycle (6°C over 300 cycles). This was removed in the final version; the results reported here use the corrected generator.</w:t>
      </w:r>
    </w:p>
    <w:p>
      <w:pPr>
        <w:spacing w:after="40"/>
        <w:ind w:left="567"/>
      </w:pPr>
      <w:r>
        <w:rPr>
          <w:rFonts w:ascii="Times New Roman" w:hAnsi="Times New Roman"/>
          <w:sz w:val="22"/>
        </w:rPr>
        <w:t>• **Censoring sensitivity:** Artificial censoring experiments (§5.2.3) show that both the discrete-time XGBoost hazard and a continuous-time Random Survival Forest fail above 20% censoring, confirming the limitation is fundamental to the data rather than model-specific. The scaling curve does not account for censoring, which is common in real-world battery data where cells are retired before EOL.</w:t>
      </w:r>
    </w:p>
    <w:p>
      <w:pPr>
        <w:spacing w:after="120" w:before="160"/>
      </w:pPr>
      <w:r>
        <w:rPr>
          <w:rFonts w:ascii="Times New Roman" w:hAnsi="Times New Roman"/>
          <w:b/>
          <w:i w:val="0"/>
          <w:sz w:val="22"/>
        </w:rPr>
        <w:t>7.3 Synthetic Data Fidelity</w:t>
      </w:r>
    </w:p>
    <w:p>
      <w:pPr>
        <w:spacing w:after="40"/>
        <w:ind w:left="567"/>
      </w:pPr>
      <w:r>
        <w:rPr>
          <w:rFonts w:ascii="Times New Roman" w:hAnsi="Times New Roman"/>
          <w:sz w:val="22"/>
        </w:rPr>
        <w:t>• The synthetic generator produces clean trajectories that match the qualitative shape of NASA data but lack:</w:t>
      </w:r>
      <w:r>
        <w:rPr>
          <w:sz w:val="22"/>
        </w:rPr>
        <w:br/>
      </w:r>
      <w:r>
        <w:rPr>
          <w:rFonts w:ascii="Times New Roman" w:hAnsi="Times New Roman"/>
          <w:sz w:val="22"/>
        </w:rPr>
        <w:t>• Measurement artifacts and sensor noise patterns</w:t>
      </w:r>
      <w:r>
        <w:rPr>
          <w:sz w:val="22"/>
        </w:rPr>
        <w:br/>
      </w:r>
      <w:r>
        <w:rPr>
          <w:rFonts w:ascii="Times New Roman" w:hAnsi="Times New Roman"/>
          <w:sz w:val="22"/>
        </w:rPr>
        <w:t>• Capacity regeneration effects (voltage recovery after rest periods)</w:t>
      </w:r>
      <w:r>
        <w:rPr>
          <w:sz w:val="22"/>
        </w:rPr>
        <w:br/>
      </w:r>
      <w:r>
        <w:rPr>
          <w:rFonts w:ascii="Times New Roman" w:hAnsi="Times New Roman"/>
          <w:sz w:val="22"/>
        </w:rPr>
        <w:t>• Non-degradation failure modes (e.g., internal short circuits, thermal events)</w:t>
      </w:r>
      <w:r>
        <w:rPr>
          <w:sz w:val="22"/>
        </w:rPr>
        <w:br/>
      </w:r>
      <w:r>
        <w:rPr>
          <w:rFonts w:ascii="Times New Roman" w:hAnsi="Times New Roman"/>
          <w:sz w:val="22"/>
        </w:rPr>
        <w:t>• Calendar aging effects</w:t>
      </w:r>
    </w:p>
    <w:p>
      <w:pPr>
        <w:spacing w:after="80" w:line="276" w:lineRule="auto"/>
      </w:pPr>
      <w:r>
        <w:rPr>
          <w:rFonts w:ascii="Times New Roman" w:hAnsi="Times New Roman"/>
          <w:sz w:val="22"/>
        </w:rPr>
        <w:t>The scaling curve should therefore be interpreted as a best-case bound. Real-world implementations should budget for additional data to account for this gap.</w:t>
      </w:r>
    </w:p>
    <w:p>
      <w:pPr>
        <w:spacing w:after="80" w:line="276" w:lineRule="auto"/>
      </w:pPr>
      <w:r>
        <w:rPr>
          <w:rFonts w:ascii="Times New Roman" w:hAnsi="Times New Roman"/>
          <w:sz w:val="22"/>
        </w:rPr>
        <w:t>A concrete illustration: the scaling curve reports AUC 0.84 at N=2. This is achievable on synthetic data because the generator intentionally maximizes cell-to-cell diversity —— two synthetic cells at N=2 are drawn from the slowest and fastest ends of the degradation parameter range. Real-world N=2 draws from the same population typically produce correlated trajectories, yielding much lower discrimination. The N=2 synthetic AUC should not be interpreted as a realistic baseline; it is an artifact of the diversity-maximization design.</w:t>
      </w:r>
    </w:p>
    <w:p>
      <w:pPr>
        <w:spacing w:after="120" w:before="160"/>
      </w:pPr>
      <w:r>
        <w:rPr>
          <w:rFonts w:ascii="Times New Roman" w:hAnsi="Times New Roman"/>
          <w:b/>
          <w:i w:val="0"/>
          <w:sz w:val="24"/>
        </w:rPr>
        <w:t>8 Conclusion</w:t>
      </w:r>
    </w:p>
    <w:p>
      <w:pPr>
        <w:spacing w:after="80" w:line="276" w:lineRule="auto"/>
      </w:pPr>
      <w:r>
        <w:rPr>
          <w:rFonts w:ascii="Times New Roman" w:hAnsi="Times New Roman"/>
          <w:sz w:val="22"/>
        </w:rPr>
        <w:t>We have conducted a reproducibility and scaling study of the Shikdar–Laaksonen multihorizon hazard framework for battery operational reliability. We distinguish between what has been demonstrated and what remains assumed.</w:t>
      </w:r>
    </w:p>
    <w:p>
      <w:pPr>
        <w:spacing w:after="40"/>
        <w:ind w:left="567"/>
      </w:pPr>
      <w:r>
        <w:rPr>
          <w:rFonts w:ascii="Times New Roman" w:hAnsi="Times New Roman"/>
          <w:sz w:val="22"/>
        </w:rPr>
        <w:t>• **Demonstrated on synthetic data:**</w:t>
      </w:r>
      <w:r>
        <w:rPr>
          <w:sz w:val="22"/>
        </w:rPr>
        <w:br/>
      </w:r>
      <w:r>
        <w:rPr>
          <w:rFonts w:ascii="Times New Roman" w:hAnsi="Times New Roman"/>
          <w:sz w:val="22"/>
        </w:rPr>
        <w:t>• The scaling curve rises from AUC 0.84 (N=2) to 0.99 (N=20) with continued improvement and no plateau observed within N=2–20, with bootstrap CIs confirming reliability.</w:t>
      </w:r>
      <w:r>
        <w:rPr>
          <w:sz w:val="22"/>
        </w:rPr>
        <w:br/>
      </w:r>
      <w:r>
        <w:rPr>
          <w:rFonts w:ascii="Times New Roman" w:hAnsi="Times New Roman"/>
          <w:sz w:val="22"/>
        </w:rPr>
        <w:t>• The curve shape is robust to SOH threshold choice (0.70, 0.75, 0.80) and censoring rate (0–10%).</w:t>
      </w:r>
      <w:r>
        <w:rPr>
          <w:sz w:val="22"/>
        </w:rPr>
        <w:br/>
      </w:r>
      <w:r>
        <w:rPr>
          <w:rFonts w:ascii="Times New Roman" w:hAnsi="Times New Roman"/>
          <w:sz w:val="22"/>
        </w:rPr>
        <w:t>• Event count analysis reveals ≥200 failure events across the dataset are needed for AUC &gt; 0.90 — cell count alone is insufficient to characterize data requirements.</w:t>
      </w:r>
      <w:r>
        <w:rPr>
          <w:sz w:val="22"/>
        </w:rPr>
        <w:br/>
      </w:r>
      <w:r>
        <w:rPr>
          <w:rFonts w:ascii="Times New Roman" w:hAnsi="Times New Roman"/>
          <w:sz w:val="22"/>
        </w:rPr>
        <w:t>• The synthetic generator is statistically distinguishable from real NASA data via KS test (D=0.33, p&lt;0.001), per-feature KL divergence (0.06–0.78 nats), and Wasserstein distance, establishing the curve as an optimistic bound.</w:t>
      </w:r>
      <w:r>
        <w:rPr>
          <w:sz w:val="22"/>
        </w:rPr>
        <w:br/>
      </w:r>
      <w:r>
        <w:rPr>
          <w:rFonts w:ascii="Times New Roman" w:hAnsi="Times New Roman"/>
          <w:sz w:val="22"/>
        </w:rPr>
        <w:t>• Three methodological pitfalls (calibration leakage, energy unit error, inconsistent baselines) produce measurable inflation on working models.</w:t>
      </w:r>
    </w:p>
    <w:p>
      <w:pPr>
        <w:spacing w:after="40"/>
        <w:ind w:left="567"/>
      </w:pPr>
      <w:r>
        <w:rPr>
          <w:rFonts w:ascii="Times New Roman" w:hAnsi="Times New Roman"/>
          <w:sz w:val="22"/>
        </w:rPr>
        <w:t>• **Validated on real data (NASA 4-cell):**</w:t>
      </w:r>
      <w:r>
        <w:rPr>
          <w:sz w:val="22"/>
        </w:rPr>
        <w:br/>
      </w:r>
      <w:r>
        <w:rPr>
          <w:rFonts w:ascii="Times New Roman" w:hAnsi="Times New Roman"/>
          <w:sz w:val="22"/>
        </w:rPr>
        <w:t>• The framework produces random discrimination (per-fold macro AUC 0.50, with 2–3 of 4 folds returning NaN due to single-class test sets). Our initial implementation inflated this to 0.74 via calibration leakage (§6.1).</w:t>
      </w:r>
      <w:r>
        <w:rPr>
          <w:sz w:val="22"/>
        </w:rPr>
        <w:br/>
      </w:r>
      <w:r>
        <w:rPr>
          <w:rFonts w:ascii="Times New Roman" w:hAnsi="Times New Roman"/>
          <w:sz w:val="22"/>
        </w:rPr>
        <w:t>• Synthetic pre-training yields AUC 0.88 on real NASA data, indicating the synthetic generator captures some real-world structure. However, direct learning from the 4-cell dataset fails — confirming that synthetic-to-real transfer is not a substitute for adequate real-data validation.</w:t>
      </w:r>
      <w:r>
        <w:rPr>
          <w:sz w:val="22"/>
        </w:rPr>
        <w:br/>
      </w:r>
      <w:r>
        <w:rPr>
          <w:rFonts w:ascii="Times New Roman" w:hAnsi="Times New Roman"/>
          <w:sz w:val="22"/>
        </w:rPr>
        <w:t>• The results provide exploratory guidance (not validated guidelines) for real-data requirements.</w:t>
      </w:r>
    </w:p>
    <w:p>
      <w:pPr>
        <w:spacing w:after="40"/>
        <w:ind w:left="567"/>
      </w:pPr>
      <w:r>
        <w:rPr>
          <w:rFonts w:ascii="Times New Roman" w:hAnsi="Times New Roman"/>
          <w:sz w:val="22"/>
        </w:rPr>
        <w:t>• **Remaining as assumptions for future work:**</w:t>
      </w:r>
      <w:r>
        <w:rPr>
          <w:sz w:val="22"/>
        </w:rPr>
        <w:br/>
      </w:r>
      <w:r>
        <w:rPr>
          <w:rFonts w:ascii="Times New Roman" w:hAnsi="Times New Roman"/>
          <w:sz w:val="22"/>
        </w:rPr>
        <w:t>• The real-world event count requirement is unknown and cannot be estimated from synthetic data alone. The curve continues to improve up to N=20 (AUC 0.986), and likely further; N≈50+ (or ≥200 failure events) may be needed for equivalent real-data performance.</w:t>
      </w:r>
      <w:r>
        <w:rPr>
          <w:sz w:val="22"/>
        </w:rPr>
        <w:br/>
      </w:r>
      <w:r>
        <w:rPr>
          <w:rFonts w:ascii="Times New Roman" w:hAnsi="Times New Roman"/>
          <w:sz w:val="22"/>
        </w:rPr>
        <w:t>• The scaling curve has not been validated on any multi-cell real dataset with diverse degradation. Validated minimum-data guidelines require a real-data scaling study with ≥15 cells.</w:t>
      </w:r>
      <w:r>
        <w:rPr>
          <w:sz w:val="22"/>
        </w:rPr>
        <w:br/>
      </w:r>
      <w:r>
        <w:rPr>
          <w:rFonts w:ascii="Times New Roman" w:hAnsi="Times New Roman"/>
          <w:sz w:val="22"/>
        </w:rPr>
        <w:t>• Baseline comparisons against standard survival models (Weibull, Random Survival Forest, Cox PH) have not been performed beyond the censoring experiment in §5.2.3 (which found both XGBoost and RSF fail above 20% censoring at the data level). It is possible that simpler methods achieve comparable or superior AUC on uncensored synthetic data, which would reduce the practical value of the multihorizon hazard learning approach. Until comprehensive benchmarks across all experimental conditions are completed, the framework's performance should be interpreted relative to its own scaling curve only, not against potential alternative methods. Future work should include these baselines to contextualize the framework's discriminative performance versus computational cost.</w:t>
      </w:r>
    </w:p>
    <w:p>
      <w:pPr>
        <w:spacing w:after="80" w:line="276" w:lineRule="auto"/>
      </w:pPr>
      <w:r>
        <w:rPr>
          <w:rFonts w:ascii="Times New Roman" w:hAnsi="Times New Roman"/>
          <w:sz w:val="22"/>
        </w:rPr>
        <w:t>Future work should extend the real-data validation to larger, multi-chemistry datasets (15+ cells) to evaluate whether the synthetic scaling curve's regime boundaries generalize, and should assess the deep learning model variants that could not be tested in this CPU-constrained environment.</w:t>
      </w:r>
    </w:p>
    <w:p>
      <w:pPr>
        <w:spacing w:after="120" w:before="160"/>
      </w:pPr>
      <w:r>
        <w:rPr>
          <w:rFonts w:ascii="Times New Roman" w:hAnsi="Times New Roman"/>
          <w:b/>
          <w:i w:val="0"/>
          <w:sz w:val="24"/>
        </w:rPr>
        <w:t>9 Data and Code Availability</w:t>
      </w:r>
    </w:p>
    <w:p>
      <w:pPr>
        <w:spacing w:after="80" w:line="276" w:lineRule="auto"/>
      </w:pPr>
      <w:r>
        <w:rPr>
          <w:rFonts w:ascii="Times New Roman" w:hAnsi="Times New Roman"/>
          <w:sz w:val="22"/>
        </w:rPr>
        <w:t>All source code, configuration files, experimental results, and documentation are publicly available at:</w:t>
      </w:r>
    </w:p>
    <w:p>
      <w:pPr>
        <w:spacing w:after="80" w:line="276" w:lineRule="auto"/>
      </w:pPr>
      <w:r>
        <w:rPr>
          <w:rFonts w:ascii="Times New Roman" w:hAnsi="Times New Roman"/>
          <w:sz w:val="22"/>
        </w:rPr>
      </w:r>
      <w:r>
        <w:rPr>
          <w:rFonts w:ascii="Times New Roman" w:hAnsi="Times New Roman"/>
          <w:b/>
          <w:sz w:val="22"/>
        </w:rPr>
        <w:t>Repository:</w:t>
      </w:r>
      <w:r>
        <w:rPr>
          <w:rFonts w:ascii="Times New Roman" w:hAnsi="Times New Roman"/>
          <w:sz w:val="22"/>
        </w:rPr>
        <w:t xml:space="preserve"> https://github.com/touhidsiddiqueeraj-bit/An-Open-Python-Framework-for-Battery-Operational-Reliability-Estimation </w:t>
      </w:r>
      <w:r>
        <w:rPr>
          <w:rFonts w:ascii="Times New Roman" w:hAnsi="Times New Roman"/>
          <w:b/>
          <w:sz w:val="22"/>
        </w:rPr>
        <w:t>DOI:</w:t>
      </w:r>
      <w:r>
        <w:rPr>
          <w:rFonts w:ascii="Times New Roman" w:hAnsi="Times New Roman"/>
          <w:sz w:val="22"/>
        </w:rPr>
        <w:t xml:space="preserve"> 10.5281/zenodo.20532600 </w:t>
      </w:r>
      <w:r>
        <w:rPr>
          <w:rFonts w:ascii="Times New Roman" w:hAnsi="Times New Roman"/>
          <w:b/>
          <w:sz w:val="22"/>
        </w:rPr>
        <w:t>License:</w:t>
      </w:r>
      <w:r>
        <w:rPr>
          <w:rFonts w:ascii="Times New Roman" w:hAnsi="Times New Roman"/>
          <w:sz w:val="22"/>
        </w:rPr>
        <w:t xml:space="preserve"> MIT</w:t>
      </w:r>
    </w:p>
    <w:p>
      <w:pPr>
        <w:spacing w:after="80" w:line="276" w:lineRule="auto"/>
      </w:pPr>
      <w:r>
        <w:rPr>
          <w:rFonts w:ascii="Times New Roman" w:hAnsi="Times New Roman"/>
          <w:sz w:val="22"/>
        </w:rPr>
      </w:r>
      <w:r>
        <w:rPr>
          <w:rFonts w:ascii="Times New Roman" w:hAnsi="Times New Roman"/>
          <w:b/>
          <w:sz w:val="22"/>
        </w:rPr>
        <w:t>Dependencies and reproducibility:</w:t>
      </w:r>
      <w:r>
        <w:rPr>
          <w:rFonts w:ascii="Times New Roman" w:hAnsi="Times New Roman"/>
          <w:sz w:val="22"/>
        </w:rPr>
        <w:t xml:space="preserve"> The environment is fully specified (see `environment.yml` and `requirements-exact.txt` in the repository root). A `reproduce.sh` script creates a virtual environment, installs pinned dependencies, and runs the quick experiment (~6 seconds on a 4-core CPU). No GPU, container, or cloud resources are required.</w:t>
      </w:r>
    </w:p>
    <w:p>
      <w:pPr>
        <w:spacing w:after="80" w:line="276" w:lineRule="auto"/>
      </w:pPr>
      <w:r>
        <w:rPr>
          <w:rFonts w:ascii="Times New Roman" w:hAnsi="Times New Roman"/>
          <w:sz w:val="22"/>
        </w:rPr>
      </w:r>
      <w:r>
        <w:rPr>
          <w:rFonts w:ascii="Times New Roman" w:hAnsi="Times New Roman"/>
          <w:b/>
          <w:sz w:val="22"/>
        </w:rPr>
        <w:t>Version:</w:t>
      </w:r>
      <w:r>
        <w:rPr>
          <w:rFonts w:ascii="Times New Roman" w:hAnsi="Times New Roman"/>
          <w:sz w:val="22"/>
        </w:rPr>
        <w:t xml:space="preserve"> All experiments in this paper use commit `f26147a` with global random seed 42 (set in `config.yaml`). The scaling study additionally uses seeds 0–19 per Monte Carlo run, fixed per N value for exact reproducibility.</w:t>
      </w:r>
    </w:p>
    <w:p>
      <w:pPr>
        <w:spacing w:after="80" w:line="276" w:lineRule="auto"/>
      </w:pPr>
      <w:r>
        <w:rPr>
          <w:rFonts w:ascii="Times New Roman" w:hAnsi="Times New Roman"/>
          <w:sz w:val="22"/>
        </w:rPr>
      </w:r>
      <w:r>
        <w:rPr>
          <w:rFonts w:ascii="Times New Roman" w:hAnsi="Times New Roman"/>
          <w:b/>
          <w:sz w:val="22"/>
        </w:rPr>
        <w:t>Data:</w:t>
      </w:r>
      <w:r>
        <w:rPr>
          <w:rFonts w:ascii="Times New Roman" w:hAnsi="Times New Roman"/>
          <w:sz w:val="22"/>
        </w:rPr>
        <w:t xml:space="preserve"> The NASA PCoE battery dataset [12] is used for real-data validation. Synthetic data can be generated independently via the included generator (no external downloads needed). CALCE and other public datasets are supported architecturally but are not included due to download restrictions.</w:t>
      </w:r>
    </w:p>
    <w:p>
      <w:pPr>
        <w:spacing w:after="80" w:line="276" w:lineRule="auto"/>
      </w:pPr>
      <w:r>
        <w:rPr>
          <w:rFonts w:ascii="Times New Roman" w:hAnsi="Times New Roman"/>
          <w:sz w:val="22"/>
        </w:rPr>
      </w:r>
      <w:r>
        <w:rPr>
          <w:rFonts w:ascii="Times New Roman" w:hAnsi="Times New Roman"/>
          <w:b/>
          <w:sz w:val="22"/>
        </w:rPr>
        <w:t>Third-party frameworks:</w:t>
      </w:r>
      <w:r>
        <w:rPr>
          <w:rFonts w:ascii="Times New Roman" w:hAnsi="Times New Roman"/>
          <w:sz w:val="22"/>
        </w:rPr>
        <w:t xml:space="preserve"> Our framework is compared against BatteryML [3], PyBaMM [4], and BEEP [5] in §2.1. No proprietary data or human subjects were used in this study.</w:t>
      </w:r>
    </w:p>
    <w:p>
      <w:pPr>
        <w:spacing w:after="120" w:before="160"/>
      </w:pPr>
      <w:r>
        <w:rPr>
          <w:rFonts w:ascii="Times New Roman" w:hAnsi="Times New Roman"/>
          <w:b/>
          <w:i w:val="0"/>
          <w:sz w:val="24"/>
        </w:rPr>
        <w:t>References</w:t>
      </w:r>
    </w:p>
    <w:p>
      <w:pPr>
        <w:spacing w:after="80" w:line="276" w:lineRule="auto"/>
      </w:pPr>
      <w:r>
        <w:rPr>
          <w:rFonts w:ascii="Times New Roman" w:hAnsi="Times New Roman"/>
          <w:sz w:val="22"/>
        </w:rPr>
        <w:t>[1] F. C. Mushid and M. F. Khan, "Battery Energy Storage for Ancillary Services in Distribution Networks: Technologies, Applications, and Deployment Challenges---A Comprehensive Review," *Energies*, vol. 18, no. 20, p. 5443, 2025, doi: 10.3390/en18205443.</w:t>
      </w:r>
    </w:p>
    <w:p>
      <w:pPr>
        <w:spacing w:after="80" w:line="276" w:lineRule="auto"/>
      </w:pPr>
      <w:r>
        <w:rPr>
          <w:rFonts w:ascii="Times New Roman" w:hAnsi="Times New Roman"/>
          <w:sz w:val="22"/>
        </w:rPr>
        <w:t>[2] T. A. Shikdar and H. Laaksonen, "Learning When Not to Use a Battery: Multihorizon Failure Intelligence," *International Transactions on Electrical Energy Systems*, vol. 2026, no. 1, p. 6000810, 2026, doi: 10.1155/etep/6000810.</w:t>
      </w:r>
    </w:p>
    <w:p>
      <w:pPr>
        <w:spacing w:after="80" w:line="276" w:lineRule="auto"/>
      </w:pPr>
      <w:r>
        <w:rPr>
          <w:rFonts w:ascii="Times New Roman" w:hAnsi="Times New Roman"/>
          <w:sz w:val="22"/>
        </w:rPr>
        <w:t>[3] S. Wang, et al., "BatteryML: A Python Library for Battery Machine Learning," *Journal of Open Source Software*, vol. 9, no. 95, p. 6354, 2024, doi: 10.21105/joss.06354.</w:t>
      </w:r>
    </w:p>
    <w:p>
      <w:pPr>
        <w:spacing w:after="80" w:line="276" w:lineRule="auto"/>
      </w:pPr>
      <w:r>
        <w:rPr>
          <w:rFonts w:ascii="Times New Roman" w:hAnsi="Times New Roman"/>
          <w:sz w:val="22"/>
        </w:rPr>
        <w:t>[4] V. Sulzer, et al., "Python Battery Mathematical Modelling (PyBaMM)," *Journal of Open Source Software*, vol. 6, no. 62, p. 3048, 2021, doi: 10.21105/joss.03048.</w:t>
      </w:r>
    </w:p>
    <w:p>
      <w:pPr>
        <w:spacing w:after="80" w:line="276" w:lineRule="auto"/>
      </w:pPr>
      <w:r>
        <w:rPr>
          <w:rFonts w:ascii="Times New Roman" w:hAnsi="Times New Roman"/>
          <w:sz w:val="22"/>
        </w:rPr>
        <w:t>[5] P. M. Attia, et al., "Closed-loop optimization of fast-charging protocols for batteries with machine learning," *Nature*, vol. 578, pp. 397--402, 2020, doi: 10.1038/s41586-020-1994-5.</w:t>
      </w:r>
    </w:p>
    <w:p>
      <w:pPr>
        <w:spacing w:after="80" w:line="276" w:lineRule="auto"/>
      </w:pPr>
      <w:r>
        <w:rPr>
          <w:rFonts w:ascii="Times New Roman" w:hAnsi="Times New Roman"/>
          <w:sz w:val="22"/>
        </w:rPr>
        <w:t>[6] J. Kaplan, et al., "Scaling Laws for Neural Language Models," arXiv:2001.08361, 2020.</w:t>
      </w:r>
    </w:p>
    <w:p>
      <w:pPr>
        <w:spacing w:after="80" w:line="276" w:lineRule="auto"/>
      </w:pPr>
      <w:r>
        <w:rPr>
          <w:rFonts w:ascii="Times New Roman" w:hAnsi="Times New Roman"/>
          <w:sz w:val="22"/>
        </w:rPr>
        <w:t>[7] J. Cho, et al., "How much data is needed to train a medical image deep learning system to achieve necessary high accuracy?" *arXiv:1511.06348*, 2015.</w:t>
      </w:r>
    </w:p>
    <w:p>
      <w:pPr>
        <w:spacing w:after="80" w:line="276" w:lineRule="auto"/>
      </w:pPr>
      <w:r>
        <w:rPr>
          <w:rFonts w:ascii="Times New Roman" w:hAnsi="Times New Roman"/>
          <w:sz w:val="22"/>
        </w:rPr>
        <w:t>[8] A. M. Bizeray, et al., "Identifiability and Reproducibility in Battery Modelling," *Journal of the Electrochemical Society*, vol. 167, p. 130513, 2020, doi: 10.1149/1945-7111/abb6f2.</w:t>
      </w:r>
    </w:p>
    <w:p>
      <w:pPr>
        <w:spacing w:after="80" w:line="276" w:lineRule="auto"/>
      </w:pPr>
      <w:r>
        <w:rPr>
          <w:rFonts w:ascii="Times New Roman" w:hAnsi="Times New Roman"/>
          <w:sz w:val="22"/>
        </w:rPr>
        <w:t>[9] R. R. Richardson, et al., "On the reproducibility of data-driven battery ageing prediction," *Energy &amp; AI*, vol. 15, p. 100315, 2024, doi: 10.1016/j.egyai.2023.100315.</w:t>
      </w:r>
    </w:p>
    <w:p>
      <w:pPr>
        <w:spacing w:after="80" w:line="276" w:lineRule="auto"/>
      </w:pPr>
      <w:r>
        <w:rPr>
          <w:rFonts w:ascii="Times New Roman" w:hAnsi="Times New Roman"/>
          <w:sz w:val="22"/>
        </w:rPr>
        <w:t>[10] R. Ibraheem, T. I. Cannings, T. Sell, and G. dos Reis, "Robust Survival Model for the Prediction of Li-ion Battery Lifetime Reliability and Risk Functions," *Energy and AI*, vol. 19, p. 100465, 2025, doi: 10.1016/j.egyai.2024.100465.</w:t>
      </w:r>
    </w:p>
    <w:p>
      <w:pPr>
        <w:spacing w:after="80" w:line="276" w:lineRule="auto"/>
      </w:pPr>
      <w:r>
        <w:rPr>
          <w:rFonts w:ascii="Times New Roman" w:hAnsi="Times New Roman"/>
          <w:sz w:val="22"/>
        </w:rPr>
        <w:t>[11] K. A. Severson, P. M. Attia, N. Jin, et al., "Data-Driven Prediction of Battery Cycle Life Before Capacity Degradation," *Nature Energy*, vol. 4, no. 5, pp. 383--391, 2019, doi: 10.1038/s41560-019-0356-8.</w:t>
      </w:r>
    </w:p>
    <w:p>
      <w:pPr>
        <w:spacing w:after="80" w:line="276" w:lineRule="auto"/>
      </w:pPr>
      <w:r>
        <w:rPr>
          <w:rFonts w:ascii="Times New Roman" w:hAnsi="Times New Roman"/>
          <w:sz w:val="22"/>
        </w:rPr>
        <w:t>[12] B. Saha and K. Goebel, "Battery Data Set," NASA Ames Prognostics Data Repository, 2007. [Online]. Available: https://ti.arc.nasa.gov/tech/dash/groups/pcoe/prognostic-data-repository/battery/</w:t>
      </w:r>
    </w:p>
    <w:p>
      <w:pPr>
        <w:spacing w:after="80" w:line="276" w:lineRule="auto"/>
      </w:pPr>
      <w:r>
        <w:rPr>
          <w:rFonts w:ascii="Times New Roman" w:hAnsi="Times New Roman"/>
          <w:sz w:val="22"/>
        </w:rPr>
        <w:t>[13] E. R. DeLong, D. M. DeLong, and D. L. Clarke-Pearson, "Comparing the Areas under Two or More Correlated Receiver Operating Characteristic Curves: A Nonparametric Approach," *Biometrics*, vol. 44, no. 3, pp. 837--845, 1988, doi: 10.2307/2531595.</w:t>
      </w:r>
    </w:p>
    <w:p>
      <w:pPr>
        <w:spacing w:after="80" w:line="276" w:lineRule="auto"/>
      </w:pPr>
      <w:r>
        <w:rPr>
          <w:rFonts w:ascii="Times New Roman" w:hAnsi="Times New Roman"/>
          <w:sz w:val="22"/>
        </w:rPr>
        <w:t>[14] B. Efron and R. J. Tibshirani, *An Introduction to the Bootstrap*, Chapman &amp; Hall, 1993.</w:t>
      </w:r>
    </w:p>
    <w:p>
      <w:pPr>
        <w:spacing w:after="80" w:line="276" w:lineRule="auto"/>
      </w:pPr>
      <w:r>
        <w:rPr>
          <w:rFonts w:ascii="Times New Roman" w:hAnsi="Times New Roman"/>
          <w:sz w:val="22"/>
        </w:rPr>
        <w:t>[15] Q. Wang, M. Ye, X. Cai, D. U. Sauer, and W. Li, "Transferable Data-Driven Capacity Estimation for Lithium-Ion Batteries with Deep Learning: A Case Study from Laboratory to Field Applications," *Applied Energy*, vol. 350, p. 121747, 2023, doi: 10.1016/j.apenergy.2023.121747.</w:t>
      </w:r>
    </w:p>
    <w:p>
      <w:pPr>
        <w:spacing w:after="80" w:line="276" w:lineRule="auto"/>
      </w:pPr>
      <w:r>
        <w:rPr>
          <w:rFonts w:ascii="Times New Roman" w:hAnsi="Times New Roman"/>
          <w:sz w:val="22"/>
        </w:rPr>
        <w:t>[16] M. Li, et al., "State of Health Estimation and Battery Management: A Review of Health Indicators, Models and Machine Learning," *Materials*, vol. 18, no. 1, p. 145, 2025, doi: 10.3390/ma18010145.</w:t>
      </w:r>
    </w:p>
    <w:p>
      <w:pPr>
        <w:spacing w:after="80" w:line="276" w:lineRule="auto"/>
      </w:pPr>
      <w:r>
        <w:rPr>
          <w:rFonts w:ascii="Times New Roman" w:hAnsi="Times New Roman"/>
          <w:sz w:val="22"/>
        </w:rPr>
        <w:t>[17] A. Dosovitskiy, et al., "An Image is Worth 16x16 Words: Transformers for Image Recognition at Scale," *ICLR*, 2021.</w:t>
      </w:r>
    </w:p>
    <w:p>
      <w:pPr>
        <w:spacing w:after="80" w:line="276" w:lineRule="auto"/>
      </w:pPr>
      <w:r>
        <w:rPr>
          <w:rFonts w:ascii="Times New Roman" w:hAnsi="Times New Roman"/>
          <w:sz w:val="22"/>
        </w:rPr>
        <w:t>[18] Y. Zhang, et al., "A survey on battery state-of-health estimation using machine learning," *Energy Storage*, vol. 4, no. 6, p. e376, 2022, doi: 10.1002/est2.376.</w:t>
      </w:r>
    </w:p>
    <w:p>
      <w:pPr>
        <w:spacing w:after="80" w:line="276" w:lineRule="auto"/>
      </w:pPr>
      <w:r>
        <w:rPr>
          <w:rFonts w:ascii="Times New Roman" w:hAnsi="Times New Roman"/>
          <w:sz w:val="22"/>
        </w:rPr>
        <w:t>[19] J. Zhu, et al., "Data-driven capacity estimation of commercial lithium-ion batteries from voltage relaxation," *Nature Communications*, vol. 13, p. 2261, 2022, doi: 10.1038/s41467-022-29837-0.</w:t>
      </w:r>
    </w:p>
    <w:p>
      <w:pPr>
        <w:spacing w:after="80" w:line="276" w:lineRule="auto"/>
      </w:pPr>
      <w:r>
        <w:rPr>
          <w:rFonts w:ascii="Times New Roman" w:hAnsi="Times New Roman"/>
          <w:sz w:val="22"/>
        </w:rPr>
        <w:t>[20] D. Romo-Rico, et al., "Machine learning for battery systems: A comprehensive review," *Journal of Energy Storage*, vol. 72, p. 108445, 2023, doi: 10.1016/j.est.2023.108445.</w:t>
      </w:r>
    </w:p>
    <w:p>
      <w:pPr>
        <w:spacing w:after="80" w:line="276" w:lineRule="auto"/>
      </w:pPr>
      <w:r>
        <w:rPr>
          <w:rFonts w:ascii="Times New Roman" w:hAnsi="Times New Roman"/>
          <w:sz w:val="22"/>
        </w:rPr>
        <w:t>[21] A. Fermín-Cueto, et al., "Identification of machine learning for battery lifetime prediction and early retirement," *Energy &amp; Environmental Science*, vol. 13, pp. 3365--3377, 2020, doi: 10.1039/D0EE01890C.</w:t>
      </w:r>
    </w:p>
    <w:p>
      <w:pPr>
        <w:spacing w:after="80" w:line="276" w:lineRule="auto"/>
      </w:pPr>
      <w:r>
        <w:rPr>
          <w:rFonts w:ascii="Times New Roman" w:hAnsi="Times New Roman"/>
          <w:sz w:val="22"/>
        </w:rPr>
        <w:t>[22] T. Lombardo, et al., "Artificial Intelligence Applied to Battery Research: Hype or Reality?" *Chemical Reviews*, vol. 122, no. 14, pp. 12373--12410, 2022, doi: 10.1021/acs.chemrev.1c00108.</w:t>
      </w:r>
    </w:p>
    <w:p>
      <w:pPr>
        <w:spacing w:after="80" w:line="276" w:lineRule="auto"/>
      </w:pPr>
      <w:r>
        <w:rPr>
          <w:rFonts w:ascii="Times New Roman" w:hAnsi="Times New Roman"/>
          <w:sz w:val="22"/>
        </w:rPr>
        <w:t>[23] M. Aykol, et al., "The quest for an intelligent battery: A perspective on artificial intelligence and machine learning for batteries," *Joule*, vol. 5, no. 11, pp. 2788--2805, 2021, doi: 10.1016/j.joule.2021.09.005.</w:t>
      </w:r>
    </w:p>
    <w:p>
      <w:pPr>
        <w:spacing w:after="80" w:line="276" w:lineRule="auto"/>
      </w:pPr>
      <w:r>
        <w:rPr>
          <w:rFonts w:ascii="Times New Roman" w:hAnsi="Times New Roman"/>
          <w:sz w:val="22"/>
        </w:rPr>
        <w:t>[24] G. dos Reis, et al., "Lithium-ion battery degradation: a comprehensive review of data-driven approaches," *Energy and AI*, vol. 12, p. 100245, 2023, doi: 10.1016/j.egyai.2023.100245.</w:t>
      </w:r>
    </w:p>
    <w:p>
      <w:pPr>
        <w:spacing w:after="80" w:line="276" w:lineRule="auto"/>
      </w:pPr>
      <w:r>
        <w:rPr>
          <w:rFonts w:ascii="Times New Roman" w:hAnsi="Times New Roman"/>
          <w:sz w:val="22"/>
        </w:rPr>
        <w:t>[25] P. Gasper, et al., "Machine learning for battery lifetime prediction: A critical review of methods and metrics," *Cell Reports Physical Science*, vol. 4, no. 6, p. 101389, 2023, doi: 10.1016/j.xcrp.2023.101389.</w:t>
      </w:r>
    </w:p>
    <w:p>
      <w:r>
        <w:br w:type="page"/>
      </w:r>
    </w:p>
    <w:p>
      <w:pPr>
        <w:spacing w:after="240" w:before="0"/>
        <w:jc w:val="center"/>
      </w:pPr>
      <w:r>
        <w:rPr>
          <w:rFonts w:ascii="Times New Roman" w:hAnsi="Times New Roman"/>
          <w:b/>
          <w:i w:val="0"/>
          <w:sz w:val="28"/>
        </w:rPr>
        <w:t>Figures</w:t>
      </w:r>
    </w:p>
    <w:p>
      <w:pPr>
        <w:jc w:val="center"/>
      </w:pPr>
      <w:r>
        <w:drawing>
          <wp:inline xmlns:a="http://schemas.openxmlformats.org/drawingml/2006/main" xmlns:pic="http://schemas.openxmlformats.org/drawingml/2006/picture">
            <wp:extent cx="5029200" cy="2807811"/>
            <wp:docPr id="1" name="Picture 1"/>
            <wp:cNvGraphicFramePr>
              <a:graphicFrameLocks noChangeAspect="1"/>
            </wp:cNvGraphicFramePr>
            <a:graphic>
              <a:graphicData uri="http://schemas.openxmlformats.org/drawingml/2006/picture">
                <pic:pic>
                  <pic:nvPicPr>
                    <pic:cNvPr id="0" name="degradation_curves.png"/>
                    <pic:cNvPicPr/>
                  </pic:nvPicPr>
                  <pic:blipFill>
                    <a:blip r:embed="rId9"/>
                    <a:stretch>
                      <a:fillRect/>
                    </a:stretch>
                  </pic:blipFill>
                  <pic:spPr>
                    <a:xfrm>
                      <a:off x="0" y="0"/>
                      <a:ext cx="5029200" cy="2807811"/>
                    </a:xfrm>
                    <a:prstGeom prst="rect"/>
                  </pic:spPr>
                </pic:pic>
              </a:graphicData>
            </a:graphic>
          </wp:inline>
        </w:drawing>
      </w:r>
    </w:p>
    <w:p>
      <w:pPr>
        <w:jc w:val="center"/>
      </w:pPr>
      <w:r>
        <w:rPr>
          <w:rFonts w:ascii="Times New Roman" w:hAnsi="Times New Roman"/>
          <w:i/>
          <w:sz w:val="18"/>
        </w:rPr>
        <w:t>NASA battery degradation curves (SOH vs. cycle) for the four classic cells (B0005, B0006, B0007, B0018). B0006 crosses the EOL threshold at approximately cycle 130.</w:t>
      </w:r>
    </w:p>
    <w:p>
      <w:pPr>
        <w:jc w:val="center"/>
      </w:pPr>
      <w:r>
        <w:drawing>
          <wp:inline xmlns:a="http://schemas.openxmlformats.org/drawingml/2006/main" xmlns:pic="http://schemas.openxmlformats.org/drawingml/2006/picture">
            <wp:extent cx="5029200" cy="3218980"/>
            <wp:docPr id="2" name="Picture 2"/>
            <wp:cNvGraphicFramePr>
              <a:graphicFrameLocks noChangeAspect="1"/>
            </wp:cNvGraphicFramePr>
            <a:graphic>
              <a:graphicData uri="http://schemas.openxmlformats.org/drawingml/2006/picture">
                <pic:pic>
                  <pic:nvPicPr>
                    <pic:cNvPr id="0" name="auc_by_horizon.png"/>
                    <pic:cNvPicPr/>
                  </pic:nvPicPr>
                  <pic:blipFill>
                    <a:blip r:embed="rId10"/>
                    <a:stretch>
                      <a:fillRect/>
                    </a:stretch>
                  </pic:blipFill>
                  <pic:spPr>
                    <a:xfrm>
                      <a:off x="0" y="0"/>
                      <a:ext cx="5029200" cy="3218980"/>
                    </a:xfrm>
                    <a:prstGeom prst="rect"/>
                  </pic:spPr>
                </pic:pic>
              </a:graphicData>
            </a:graphic>
          </wp:inline>
        </w:drawing>
      </w:r>
    </w:p>
    <w:p>
      <w:pPr>
        <w:jc w:val="center"/>
      </w:pPr>
      <w:r>
        <w:rPr>
          <w:rFonts w:ascii="Times New Roman" w:hAnsi="Times New Roman"/>
          <w:i/>
          <w:sz w:val="18"/>
        </w:rPr>
        <w:t>Model discrimination by prediction horizon on NASA 4-cell data. Raw XGBoost AUC is near-random across all horizons; calibrated AUC is flat at 0.50 because isotonic regression preserves rank order and the model produces near-constant predictions.</w:t>
      </w:r>
    </w:p>
    <w:p>
      <w:pPr>
        <w:jc w:val="center"/>
      </w:pPr>
      <w:r>
        <w:drawing>
          <wp:inline xmlns:a="http://schemas.openxmlformats.org/drawingml/2006/main" xmlns:pic="http://schemas.openxmlformats.org/drawingml/2006/picture">
            <wp:extent cx="5029200" cy="3218980"/>
            <wp:docPr id="3" name="Picture 3"/>
            <wp:cNvGraphicFramePr>
              <a:graphicFrameLocks noChangeAspect="1"/>
            </wp:cNvGraphicFramePr>
            <a:graphic>
              <a:graphicData uri="http://schemas.openxmlformats.org/drawingml/2006/picture">
                <pic:pic>
                  <pic:nvPicPr>
                    <pic:cNvPr id="0" name="dataset_composition.png"/>
                    <pic:cNvPicPr/>
                  </pic:nvPicPr>
                  <pic:blipFill>
                    <a:blip r:embed="rId11"/>
                    <a:stretch>
                      <a:fillRect/>
                    </a:stretch>
                  </pic:blipFill>
                  <pic:spPr>
                    <a:xfrm>
                      <a:off x="0" y="0"/>
                      <a:ext cx="5029200" cy="3218980"/>
                    </a:xfrm>
                    <a:prstGeom prst="rect"/>
                  </pic:spPr>
                </pic:pic>
              </a:graphicData>
            </a:graphic>
          </wp:inline>
        </w:drawing>
      </w:r>
    </w:p>
    <w:p>
      <w:pPr>
        <w:jc w:val="center"/>
      </w:pPr>
      <w:r>
        <w:rPr>
          <w:rFonts w:ascii="Times New Roman" w:hAnsi="Times New Roman"/>
          <w:i/>
          <w:sz w:val="18"/>
        </w:rPr>
        <w:t>Dataset composition showing total discharge cycles and EOL cycles (SOH &lt; 0.70) per NASA classic cell.</w:t>
      </w:r>
    </w:p>
    <w:p>
      <w:pPr>
        <w:jc w:val="center"/>
      </w:pPr>
      <w:r>
        <w:drawing>
          <wp:inline xmlns:a="http://schemas.openxmlformats.org/drawingml/2006/main" xmlns:pic="http://schemas.openxmlformats.org/drawingml/2006/picture">
            <wp:extent cx="5029200" cy="4430778"/>
            <wp:docPr id="4" name="Picture 4"/>
            <wp:cNvGraphicFramePr>
              <a:graphicFrameLocks noChangeAspect="1"/>
            </wp:cNvGraphicFramePr>
            <a:graphic>
              <a:graphicData uri="http://schemas.openxmlformats.org/drawingml/2006/picture">
                <pic:pic>
                  <pic:nvPicPr>
                    <pic:cNvPr id="0" name="feature_correlation.png"/>
                    <pic:cNvPicPr/>
                  </pic:nvPicPr>
                  <pic:blipFill>
                    <a:blip r:embed="rId12"/>
                    <a:stretch>
                      <a:fillRect/>
                    </a:stretch>
                  </pic:blipFill>
                  <pic:spPr>
                    <a:xfrm>
                      <a:off x="0" y="0"/>
                      <a:ext cx="5029200" cy="4430778"/>
                    </a:xfrm>
                    <a:prstGeom prst="rect"/>
                  </pic:spPr>
                </pic:pic>
              </a:graphicData>
            </a:graphic>
          </wp:inline>
        </w:drawing>
      </w:r>
    </w:p>
    <w:p>
      <w:pPr>
        <w:jc w:val="center"/>
      </w:pPr>
      <w:r>
        <w:rPr>
          <w:rFonts w:ascii="Times New Roman" w:hAnsi="Times New Roman"/>
          <w:i/>
          <w:sz w:val="18"/>
        </w:rPr>
        <w:t>Feature correlation matrix for the NASA dataset. SOH and derived features show moderate correlation with voltage and temperature.</w:t>
      </w:r>
    </w:p>
    <w:p>
      <w:pPr>
        <w:jc w:val="center"/>
      </w:pPr>
      <w:r>
        <w:drawing>
          <wp:inline xmlns:a="http://schemas.openxmlformats.org/drawingml/2006/main" xmlns:pic="http://schemas.openxmlformats.org/drawingml/2006/picture">
            <wp:extent cx="5029200" cy="2820559"/>
            <wp:docPr id="5" name="Picture 5"/>
            <wp:cNvGraphicFramePr>
              <a:graphicFrameLocks noChangeAspect="1"/>
            </wp:cNvGraphicFramePr>
            <a:graphic>
              <a:graphicData uri="http://schemas.openxmlformats.org/drawingml/2006/picture">
                <pic:pic>
                  <pic:nvPicPr>
                    <pic:cNvPr id="0" name="ablation.png"/>
                    <pic:cNvPicPr/>
                  </pic:nvPicPr>
                  <pic:blipFill>
                    <a:blip r:embed="rId13"/>
                    <a:stretch>
                      <a:fillRect/>
                    </a:stretch>
                  </pic:blipFill>
                  <pic:spPr>
                    <a:xfrm>
                      <a:off x="0" y="0"/>
                      <a:ext cx="5029200" cy="2820559"/>
                    </a:xfrm>
                    <a:prstGeom prst="rect"/>
                  </pic:spPr>
                </pic:pic>
              </a:graphicData>
            </a:graphic>
          </wp:inline>
        </w:drawing>
      </w:r>
    </w:p>
    <w:p>
      <w:pPr>
        <w:jc w:val="center"/>
      </w:pPr>
      <w:r>
        <w:rPr>
          <w:rFonts w:ascii="Times New Roman" w:hAnsi="Times New Roman"/>
          <w:i/>
          <w:sz w:val="18"/>
        </w:rPr>
        <w:t>Ablation study comparing failure rates across dispatch configurations on NASA 4-cell data. The 4-cell dataset provides insufficient signal for dispatch differentiation.</w:t>
      </w:r>
    </w:p>
    <w:p>
      <w:pPr>
        <w:jc w:val="center"/>
      </w:pPr>
      <w:r>
        <w:drawing>
          <wp:inline xmlns:a="http://schemas.openxmlformats.org/drawingml/2006/main" xmlns:pic="http://schemas.openxmlformats.org/drawingml/2006/picture">
            <wp:extent cx="5029200" cy="1959676"/>
            <wp:docPr id="6" name="Picture 6"/>
            <wp:cNvGraphicFramePr>
              <a:graphicFrameLocks noChangeAspect="1"/>
            </wp:cNvGraphicFramePr>
            <a:graphic>
              <a:graphicData uri="http://schemas.openxmlformats.org/drawingml/2006/picture">
                <pic:pic>
                  <pic:nvPicPr>
                    <pic:cNvPr id="0" name="real_vs_synthetic.png"/>
                    <pic:cNvPicPr/>
                  </pic:nvPicPr>
                  <pic:blipFill>
                    <a:blip r:embed="rId14"/>
                    <a:stretch>
                      <a:fillRect/>
                    </a:stretch>
                  </pic:blipFill>
                  <pic:spPr>
                    <a:xfrm>
                      <a:off x="0" y="0"/>
                      <a:ext cx="5029200" cy="1959676"/>
                    </a:xfrm>
                    <a:prstGeom prst="rect"/>
                  </pic:spPr>
                </pic:pic>
              </a:graphicData>
            </a:graphic>
          </wp:inline>
        </w:drawing>
      </w:r>
    </w:p>
    <w:p>
      <w:pPr>
        <w:jc w:val="center"/>
      </w:pPr>
      <w:r>
        <w:rPr>
          <w:rFonts w:ascii="Times New Roman" w:hAnsi="Times New Roman"/>
          <w:i/>
          <w:sz w:val="18"/>
        </w:rPr>
        <w:t>Comparison of real NASA degradation (left) and synthetic degradation (right). The generator produces qualitatively similar trajectories but with approximately 1.7x faster mean degradation (KS test D=0.33, p&lt;0.001).</w:t>
      </w:r>
    </w:p>
    <w:p>
      <w:pPr>
        <w:jc w:val="center"/>
      </w:pPr>
      <w:r>
        <w:drawing>
          <wp:inline xmlns:a="http://schemas.openxmlformats.org/drawingml/2006/main" xmlns:pic="http://schemas.openxmlformats.org/drawingml/2006/picture">
            <wp:extent cx="5029200" cy="3118613"/>
            <wp:docPr id="7" name="Picture 7"/>
            <wp:cNvGraphicFramePr>
              <a:graphicFrameLocks noChangeAspect="1"/>
            </wp:cNvGraphicFramePr>
            <a:graphic>
              <a:graphicData uri="http://schemas.openxmlformats.org/drawingml/2006/picture">
                <pic:pic>
                  <pic:nvPicPr>
                    <pic:cNvPr id="0" name="scaling_curve.png"/>
                    <pic:cNvPicPr/>
                  </pic:nvPicPr>
                  <pic:blipFill>
                    <a:blip r:embed="rId15"/>
                    <a:stretch>
                      <a:fillRect/>
                    </a:stretch>
                  </pic:blipFill>
                  <pic:spPr>
                    <a:xfrm>
                      <a:off x="0" y="0"/>
                      <a:ext cx="5029200" cy="3118613"/>
                    </a:xfrm>
                    <a:prstGeom prst="rect"/>
                  </pic:spPr>
                </pic:pic>
              </a:graphicData>
            </a:graphic>
          </wp:inline>
        </w:drawing>
      </w:r>
    </w:p>
    <w:p>
      <w:pPr>
        <w:jc w:val="center"/>
      </w:pPr>
      <w:r>
        <w:rPr>
          <w:rFonts w:ascii="Times New Roman" w:hAnsi="Times New Roman"/>
          <w:i/>
          <w:sz w:val="18"/>
        </w:rPr>
        <w:t>Figure 1: Synthetic scaling study — macro-averaged AUC vs number of batteries (N). Shaded region shows 95% bootstrap confidence intervals (20 Monte Carlo seeds per N). Regime annotations: insufficient (N ≤ 5), marginal (5 &lt; N &lt; 12), reliable (N ≥ 12). The curve rises from AUC 0.84 (N=2) to 0.97 (N=8) and plateaus above 0.98 for N ≥ 12.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