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b/>
          <w:color w:val="1B3A5C"/>
          <w:sz w:val="56"/>
        </w:rPr>
        <w:t>Fixable Limitations &amp;</w:t>
        <w:br/>
        <w:t>Improvement Roadmap</w:t>
      </w:r>
    </w:p>
    <w:p>
      <w:pPr>
        <w:pStyle w:val="Normal"/>
        <w:rPr/>
      </w:pPr>
      <w:r>
        <w:rPr/>
      </w:r>
    </w:p>
    <w:p>
      <w:pPr>
        <w:pStyle w:val="Normal"/>
        <w:jc w:val="center"/>
        <w:rPr/>
      </w:pPr>
      <w:r>
        <w:rPr>
          <w:color w:val="555555"/>
          <w:sz w:val="28"/>
        </w:rPr>
        <w:t>Technical Report on the Paper:</w:t>
        <w:br/>
        <w:t>"Learning When Not to Use a Battery: Multihorizon Failure Intelligence"</w:t>
        <w:br/>
        <w:t>by T. A. Shikdar &amp; H. Laaksonen (2026)</w:t>
      </w:r>
    </w:p>
    <w:p>
      <w:pPr>
        <w:pStyle w:val="Normal"/>
        <w:rPr/>
      </w:pPr>
      <w:r>
        <w:rPr/>
      </w:r>
    </w:p>
    <w:p>
      <w:pPr>
        <w:pStyle w:val="Normal"/>
        <w:rPr/>
      </w:pPr>
      <w:r>
        <w:rPr/>
      </w:r>
    </w:p>
    <w:p>
      <w:pPr>
        <w:pStyle w:val="Normal"/>
        <w:jc w:val="center"/>
        <w:rPr/>
      </w:pPr>
      <w:r>
        <w:rPr>
          <w:b/>
          <w:sz w:val="28"/>
        </w:rPr>
        <w:t>Author:  Team Dynamic</w:t>
      </w:r>
    </w:p>
    <w:p>
      <w:pPr>
        <w:pStyle w:val="Normal"/>
        <w:jc w:val="center"/>
        <w:rPr/>
      </w:pPr>
      <w:r>
        <w:rPr>
          <w:color w:val="555555"/>
          <w:sz w:val="24"/>
        </w:rPr>
        <w:t>June 03, 2026</w:t>
      </w:r>
    </w:p>
    <w:p>
      <w:pPr>
        <w:pStyle w:val="Normal"/>
        <w:rPr/>
      </w:pPr>
      <w:r>
        <w:rPr/>
      </w:r>
      <w:r>
        <w:br w:type="page"/>
      </w:r>
    </w:p>
    <w:p>
      <w:pPr>
        <w:pStyle w:val="Heading1"/>
        <w:spacing w:before="0" w:after="0"/>
        <w:rPr/>
      </w:pPr>
      <w:r>
        <w:rPr/>
        <w:t>Table of Contents</w:t>
      </w:r>
    </w:p>
    <w:p>
      <w:pPr>
        <w:pStyle w:val="Normal"/>
        <w:spacing w:before="0" w:after="40"/>
        <w:rPr/>
      </w:pPr>
      <w:r>
        <w:rPr>
          <w:sz w:val="22"/>
        </w:rPr>
        <w:t>1.  Executive Summary</w:t>
      </w:r>
    </w:p>
    <w:p>
      <w:pPr>
        <w:pStyle w:val="Normal"/>
        <w:spacing w:before="0" w:after="40"/>
        <w:rPr/>
      </w:pPr>
      <w:r>
        <w:rPr>
          <w:sz w:val="22"/>
        </w:rPr>
        <w:t>2.  Scope and Methodology</w:t>
      </w:r>
    </w:p>
    <w:p>
      <w:pPr>
        <w:pStyle w:val="Normal"/>
        <w:spacing w:before="0" w:after="40"/>
        <w:rPr/>
      </w:pPr>
      <w:r>
        <w:rPr>
          <w:sz w:val="22"/>
        </w:rPr>
        <w:t>3.  Limitation Breakdown</w:t>
      </w:r>
    </w:p>
    <w:p>
      <w:pPr>
        <w:pStyle w:val="Normal"/>
        <w:spacing w:before="0" w:after="40"/>
        <w:rPr/>
      </w:pPr>
      <w:r>
        <w:rPr>
          <w:sz w:val="22"/>
        </w:rPr>
        <w:t xml:space="preserve">    </w:t>
      </w:r>
      <w:r>
        <w:rPr>
          <w:sz w:val="22"/>
        </w:rPr>
        <w:t>3.1  Fixed Horizon Set</w:t>
      </w:r>
    </w:p>
    <w:p>
      <w:pPr>
        <w:pStyle w:val="Normal"/>
        <w:spacing w:before="0" w:after="40"/>
        <w:rPr/>
      </w:pPr>
      <w:r>
        <w:rPr>
          <w:sz w:val="22"/>
        </w:rPr>
        <w:t xml:space="preserve">    </w:t>
      </w:r>
      <w:r>
        <w:rPr>
          <w:sz w:val="22"/>
        </w:rPr>
        <w:t>3.2  Single Model Class (XGBoost Only)</w:t>
      </w:r>
    </w:p>
    <w:p>
      <w:pPr>
        <w:pStyle w:val="Normal"/>
        <w:spacing w:before="0" w:after="40"/>
        <w:rPr/>
      </w:pPr>
      <w:r>
        <w:rPr>
          <w:sz w:val="22"/>
        </w:rPr>
        <w:t xml:space="preserve">    </w:t>
      </w:r>
      <w:r>
        <w:rPr>
          <w:sz w:val="22"/>
        </w:rPr>
        <w:t>3.3  Single-Criterion Failure Definition</w:t>
      </w:r>
    </w:p>
    <w:p>
      <w:pPr>
        <w:pStyle w:val="Normal"/>
        <w:spacing w:before="0" w:after="40"/>
        <w:rPr/>
      </w:pPr>
      <w:r>
        <w:rPr>
          <w:sz w:val="22"/>
        </w:rPr>
        <w:t xml:space="preserve">    </w:t>
      </w:r>
      <w:r>
        <w:rPr>
          <w:sz w:val="22"/>
        </w:rPr>
        <w:t>3.4  Single Battery Chemistry</w:t>
      </w:r>
    </w:p>
    <w:p>
      <w:pPr>
        <w:pStyle w:val="Normal"/>
        <w:spacing w:before="0" w:after="40"/>
        <w:rPr/>
      </w:pPr>
      <w:r>
        <w:rPr>
          <w:sz w:val="22"/>
        </w:rPr>
        <w:t xml:space="preserve">    </w:t>
      </w:r>
      <w:r>
        <w:rPr>
          <w:sz w:val="22"/>
        </w:rPr>
        <w:t>3.5  Laboratory-Only Data</w:t>
      </w:r>
    </w:p>
    <w:p>
      <w:pPr>
        <w:pStyle w:val="Normal"/>
        <w:spacing w:before="0" w:after="40"/>
        <w:rPr/>
      </w:pPr>
      <w:r>
        <w:rPr>
          <w:sz w:val="22"/>
        </w:rPr>
        <w:t xml:space="preserve">    </w:t>
      </w:r>
      <w:r>
        <w:rPr>
          <w:sz w:val="22"/>
        </w:rPr>
        <w:t>3.6  Offline Dispatch Evaluation</w:t>
      </w:r>
    </w:p>
    <w:p>
      <w:pPr>
        <w:pStyle w:val="Normal"/>
        <w:spacing w:before="0" w:after="40"/>
        <w:rPr/>
      </w:pPr>
      <w:r>
        <w:rPr>
          <w:sz w:val="22"/>
        </w:rPr>
        <w:t xml:space="preserve">    </w:t>
      </w:r>
      <w:r>
        <w:rPr>
          <w:sz w:val="22"/>
        </w:rPr>
        <w:t>3.7  Static Binary Threshold Policy</w:t>
      </w:r>
    </w:p>
    <w:p>
      <w:pPr>
        <w:pStyle w:val="Normal"/>
        <w:spacing w:before="0" w:after="40"/>
        <w:rPr/>
      </w:pPr>
      <w:r>
        <w:rPr>
          <w:sz w:val="22"/>
        </w:rPr>
        <w:t>4.  Implementation Roadmap</w:t>
      </w:r>
    </w:p>
    <w:p>
      <w:pPr>
        <w:pStyle w:val="Normal"/>
        <w:spacing w:before="0" w:after="40"/>
        <w:rPr/>
      </w:pPr>
      <w:r>
        <w:rPr>
          <w:sz w:val="22"/>
        </w:rPr>
        <w:t>5.  Concluding Remarks</w:t>
      </w:r>
    </w:p>
    <w:p>
      <w:pPr>
        <w:pStyle w:val="Normal"/>
        <w:rPr/>
      </w:pPr>
      <w:r>
        <w:rPr/>
      </w:r>
      <w:r>
        <w:br w:type="page"/>
      </w:r>
    </w:p>
    <w:p>
      <w:pPr>
        <w:pStyle w:val="Heading1"/>
        <w:spacing w:before="0" w:after="0"/>
        <w:rPr/>
      </w:pPr>
      <w:r>
        <w:rPr/>
        <w:t>1. Executive Summary</w:t>
      </w:r>
    </w:p>
    <w:p>
      <w:pPr>
        <w:pStyle w:val="Normal"/>
        <w:rPr/>
      </w:pPr>
      <w:r>
        <w:rPr/>
        <w:t xml:space="preserve">This report identifies seven limitations in Shikdar &amp; Laaksonen (2026) that can be addressed within a reasonable engineering time frame (days to weeks). Each limitation is accompanied by a concrete remediation strategy, an assessment of the expected impact on scientific or operational validity, and a best-effort estimate of implementation time. </w:t>
      </w:r>
    </w:p>
    <w:p>
      <w:pPr>
        <w:pStyle w:val="Normal"/>
        <w:rPr/>
      </w:pPr>
      <w:r>
        <w:rPr/>
        <w:t>The limitations span three dimensions: experimental design (chemistries, data sources, failure criteria), methodological depth (model class, horizon flexibility), and operational realism (dispatch policy, market interaction). Together they represent the gap between a compelling proof-of-concept and a production-ready battery reliability system.</w:t>
      </w:r>
    </w:p>
    <w:tbl>
      <w:tblPr>
        <w:tblStyle w:val="LightGrid-Accent1"/>
        <w:tblW w:w="8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160"/>
        <w:gridCol w:w="2160"/>
        <w:gridCol w:w="2160"/>
        <w:gridCol w:w="2160"/>
      </w:tblGrid>
      <w:tr>
        <w:trPr/>
        <w:tc>
          <w:tcPr>
            <w:tcW w:w="2160" w:type="dxa"/>
            <w:tcBorders>
              <w:bottom w:val="single" w:sz="18" w:space="0" w:color="4F81BD"/>
            </w:tcBorders>
          </w:tcPr>
          <w:p>
            <w:pPr>
              <w:pStyle w:val="Normal"/>
              <w:widowControl/>
              <w:suppressAutoHyphens w:val="true"/>
              <w:spacing w:before="0" w:after="120"/>
              <w:jc w:val="center"/>
              <w:rPr>
                <w:rFonts w:eastAsia="ＭＳ ゴシック" w:cs=""/>
                <w:b/>
                <w:bCs/>
                <w:kern w:val="0"/>
                <w:szCs w:val="22"/>
                <w:lang w:val="en-US" w:eastAsia="en-US" w:bidi="ar-SA"/>
              </w:rPr>
            </w:pPr>
            <w:r>
              <w:rPr>
                <w:rFonts w:eastAsia="ＭＳ ゴシック" w:cs=""/>
                <w:b/>
                <w:bCs/>
                <w:kern w:val="0"/>
                <w:sz w:val="20"/>
                <w:szCs w:val="22"/>
                <w:lang w:val="en-US" w:eastAsia="en-US" w:bidi="ar-SA"/>
              </w:rPr>
              <w:t>ID</w:t>
            </w:r>
          </w:p>
        </w:tc>
        <w:tc>
          <w:tcPr>
            <w:tcW w:w="2160" w:type="dxa"/>
            <w:tcBorders>
              <w:bottom w:val="single" w:sz="18" w:space="0" w:color="4F81BD"/>
            </w:tcBorders>
          </w:tcPr>
          <w:p>
            <w:pPr>
              <w:pStyle w:val="Normal"/>
              <w:widowControl/>
              <w:suppressAutoHyphens w:val="true"/>
              <w:spacing w:before="0" w:after="120"/>
              <w:jc w:val="center"/>
              <w:rPr>
                <w:rFonts w:eastAsia="ＭＳ ゴシック" w:cs=""/>
                <w:b/>
                <w:bCs/>
                <w:kern w:val="0"/>
                <w:szCs w:val="22"/>
                <w:lang w:val="en-US" w:eastAsia="en-US" w:bidi="ar-SA"/>
              </w:rPr>
            </w:pPr>
            <w:r>
              <w:rPr>
                <w:rFonts w:eastAsia="ＭＳ ゴシック" w:cs=""/>
                <w:b/>
                <w:bCs/>
                <w:kern w:val="0"/>
                <w:sz w:val="20"/>
                <w:szCs w:val="22"/>
                <w:lang w:val="en-US" w:eastAsia="en-US" w:bidi="ar-SA"/>
              </w:rPr>
              <w:t>Limitation</w:t>
            </w:r>
          </w:p>
        </w:tc>
        <w:tc>
          <w:tcPr>
            <w:tcW w:w="2160" w:type="dxa"/>
            <w:tcBorders>
              <w:bottom w:val="single" w:sz="18" w:space="0" w:color="4F81BD"/>
            </w:tcBorders>
          </w:tcPr>
          <w:p>
            <w:pPr>
              <w:pStyle w:val="Normal"/>
              <w:widowControl/>
              <w:suppressAutoHyphens w:val="true"/>
              <w:spacing w:before="0" w:after="120"/>
              <w:jc w:val="center"/>
              <w:rPr>
                <w:rFonts w:eastAsia="ＭＳ ゴシック" w:cs=""/>
                <w:b/>
                <w:bCs/>
                <w:kern w:val="0"/>
                <w:szCs w:val="22"/>
                <w:lang w:val="en-US" w:eastAsia="en-US" w:bidi="ar-SA"/>
              </w:rPr>
            </w:pPr>
            <w:r>
              <w:rPr>
                <w:rFonts w:eastAsia="ＭＳ ゴシック" w:cs=""/>
                <w:b/>
                <w:bCs/>
                <w:kern w:val="0"/>
                <w:sz w:val="20"/>
                <w:szCs w:val="22"/>
                <w:lang w:val="en-US" w:eastAsia="en-US" w:bidi="ar-SA"/>
              </w:rPr>
              <w:t>Effort</w:t>
            </w:r>
          </w:p>
        </w:tc>
        <w:tc>
          <w:tcPr>
            <w:tcW w:w="2160" w:type="dxa"/>
            <w:tcBorders>
              <w:bottom w:val="single" w:sz="18" w:space="0" w:color="4F81BD"/>
            </w:tcBorders>
          </w:tcPr>
          <w:p>
            <w:pPr>
              <w:pStyle w:val="Normal"/>
              <w:widowControl/>
              <w:suppressAutoHyphens w:val="true"/>
              <w:spacing w:before="0" w:after="120"/>
              <w:jc w:val="center"/>
              <w:rPr>
                <w:rFonts w:eastAsia="ＭＳ ゴシック" w:cs=""/>
                <w:b/>
                <w:bCs/>
                <w:kern w:val="0"/>
                <w:szCs w:val="22"/>
                <w:lang w:val="en-US" w:eastAsia="en-US" w:bidi="ar-SA"/>
              </w:rPr>
            </w:pPr>
            <w:r>
              <w:rPr>
                <w:rFonts w:eastAsia="ＭＳ ゴシック" w:cs=""/>
                <w:b/>
                <w:bCs/>
                <w:kern w:val="0"/>
                <w:sz w:val="20"/>
                <w:szCs w:val="22"/>
                <w:lang w:val="en-US" w:eastAsia="en-US" w:bidi="ar-SA"/>
              </w:rPr>
              <w:t>Impact</w:t>
            </w:r>
          </w:p>
        </w:tc>
      </w:tr>
      <w:tr>
        <w:trPr/>
        <w:tc>
          <w:tcPr>
            <w:tcW w:w="2160" w:type="dxa"/>
            <w:tcBorders/>
            <w:shd w:color="auto" w:fill="D3DFEE" w:themeFill="accent1" w:themeFillTint="3f" w:val="clear"/>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L1</w:t>
            </w:r>
          </w:p>
        </w:tc>
        <w:tc>
          <w:tcPr>
            <w:tcW w:w="2160"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Fixed horizon set {10, 20, 30, 50}</w:t>
            </w:r>
          </w:p>
        </w:tc>
        <w:tc>
          <w:tcPr>
            <w:tcW w:w="2160"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Low</w:t>
            </w:r>
          </w:p>
        </w:tc>
        <w:tc>
          <w:tcPr>
            <w:tcW w:w="2160"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High</w:t>
            </w:r>
          </w:p>
        </w:tc>
      </w:tr>
      <w:tr>
        <w:trPr/>
        <w:tc>
          <w:tcPr>
            <w:tcW w:w="2160" w:type="dxa"/>
            <w:tcBorders/>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L2</w:t>
            </w:r>
          </w:p>
        </w:tc>
        <w:tc>
          <w:tcPr>
            <w:tcW w:w="216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Single model class (XGBoost only)</w:t>
            </w:r>
          </w:p>
        </w:tc>
        <w:tc>
          <w:tcPr>
            <w:tcW w:w="216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Low</w:t>
            </w:r>
          </w:p>
        </w:tc>
        <w:tc>
          <w:tcPr>
            <w:tcW w:w="216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Medium</w:t>
            </w:r>
          </w:p>
        </w:tc>
      </w:tr>
      <w:tr>
        <w:trPr/>
        <w:tc>
          <w:tcPr>
            <w:tcW w:w="2160" w:type="dxa"/>
            <w:tcBorders/>
            <w:shd w:color="auto" w:fill="D3DFEE" w:themeFill="accent1" w:themeFillTint="3f" w:val="clear"/>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L3</w:t>
            </w:r>
          </w:p>
        </w:tc>
        <w:tc>
          <w:tcPr>
            <w:tcW w:w="2160"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Single-criterion failure (SOH &lt; 70%)</w:t>
            </w:r>
          </w:p>
        </w:tc>
        <w:tc>
          <w:tcPr>
            <w:tcW w:w="2160"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Low</w:t>
            </w:r>
          </w:p>
        </w:tc>
        <w:tc>
          <w:tcPr>
            <w:tcW w:w="2160"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High</w:t>
            </w:r>
          </w:p>
        </w:tc>
      </w:tr>
      <w:tr>
        <w:trPr/>
        <w:tc>
          <w:tcPr>
            <w:tcW w:w="2160" w:type="dxa"/>
            <w:tcBorders/>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L4</w:t>
            </w:r>
          </w:p>
        </w:tc>
        <w:tc>
          <w:tcPr>
            <w:tcW w:w="216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Single battery chemistry (18650 Li-ion)</w:t>
            </w:r>
          </w:p>
        </w:tc>
        <w:tc>
          <w:tcPr>
            <w:tcW w:w="216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Low</w:t>
            </w:r>
          </w:p>
        </w:tc>
        <w:tc>
          <w:tcPr>
            <w:tcW w:w="216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High</w:t>
            </w:r>
          </w:p>
        </w:tc>
      </w:tr>
      <w:tr>
        <w:trPr/>
        <w:tc>
          <w:tcPr>
            <w:tcW w:w="2160" w:type="dxa"/>
            <w:tcBorders/>
            <w:shd w:color="auto" w:fill="D3DFEE" w:themeFill="accent1" w:themeFillTint="3f" w:val="clear"/>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L5</w:t>
            </w:r>
          </w:p>
        </w:tc>
        <w:tc>
          <w:tcPr>
            <w:tcW w:w="2160"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Laboratory-only cycling data</w:t>
            </w:r>
          </w:p>
        </w:tc>
        <w:tc>
          <w:tcPr>
            <w:tcW w:w="2160"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Moderate</w:t>
            </w:r>
          </w:p>
        </w:tc>
        <w:tc>
          <w:tcPr>
            <w:tcW w:w="2160"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High</w:t>
            </w:r>
          </w:p>
        </w:tc>
      </w:tr>
      <w:tr>
        <w:trPr/>
        <w:tc>
          <w:tcPr>
            <w:tcW w:w="2160" w:type="dxa"/>
            <w:tcBorders/>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L6</w:t>
            </w:r>
          </w:p>
        </w:tc>
        <w:tc>
          <w:tcPr>
            <w:tcW w:w="216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Offline dispatch evaluation</w:t>
            </w:r>
          </w:p>
        </w:tc>
        <w:tc>
          <w:tcPr>
            <w:tcW w:w="216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Moderate</w:t>
            </w:r>
          </w:p>
        </w:tc>
        <w:tc>
          <w:tcPr>
            <w:tcW w:w="216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High</w:t>
            </w:r>
          </w:p>
        </w:tc>
      </w:tr>
      <w:tr>
        <w:trPr/>
        <w:tc>
          <w:tcPr>
            <w:tcW w:w="2160" w:type="dxa"/>
            <w:tcBorders/>
            <w:shd w:color="auto" w:fill="D3DFEE" w:themeFill="accent1" w:themeFillTint="3f" w:val="clear"/>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L7</w:t>
            </w:r>
          </w:p>
        </w:tc>
        <w:tc>
          <w:tcPr>
            <w:tcW w:w="2160"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Static binary threshold policy</w:t>
            </w:r>
          </w:p>
        </w:tc>
        <w:tc>
          <w:tcPr>
            <w:tcW w:w="2160"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High</w:t>
            </w:r>
          </w:p>
        </w:tc>
        <w:tc>
          <w:tcPr>
            <w:tcW w:w="2160"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Significant</w:t>
            </w:r>
          </w:p>
        </w:tc>
      </w:tr>
    </w:tbl>
    <w:p>
      <w:pPr>
        <w:pStyle w:val="Normal"/>
        <w:rPr/>
      </w:pPr>
      <w:r>
        <w:rPr/>
      </w:r>
    </w:p>
    <w:p>
      <w:pPr>
        <w:pStyle w:val="Normal"/>
        <w:rPr/>
      </w:pPr>
      <w:r>
        <w:rPr/>
      </w:r>
      <w:r>
        <w:br w:type="page"/>
      </w:r>
    </w:p>
    <w:p>
      <w:pPr>
        <w:pStyle w:val="Heading1"/>
        <w:spacing w:before="0" w:after="0"/>
        <w:rPr/>
      </w:pPr>
      <w:r>
        <w:rPr/>
        <w:t>2. Scope and Methodology</w:t>
      </w:r>
    </w:p>
    <w:p>
      <w:pPr>
        <w:pStyle w:val="Normal"/>
        <w:rPr/>
      </w:pPr>
      <w:r>
        <w:rPr/>
        <w:t>The analysis is based solely on the content of the target paper and its publicly cited sources (NASA battery dataset, XGBoost documentation). Limitations were extracted from Section 6.5 (explicit) and inferred from missing experiments, single-path methodological choices, and restricted evaluation scenarios (implicit).</w:t>
      </w:r>
    </w:p>
    <w:p>
      <w:pPr>
        <w:pStyle w:val="Normal"/>
        <w:rPr/>
      </w:pPr>
      <w:r>
        <w:rPr/>
        <w:t>Each limitation is assessed against three criteria:</w:t>
      </w:r>
    </w:p>
    <w:p>
      <w:pPr>
        <w:pStyle w:val="ListBullet"/>
        <w:numPr>
          <w:ilvl w:val="0"/>
          <w:numId w:val="1"/>
        </w:numPr>
        <w:rPr/>
      </w:pPr>
      <w:r>
        <w:rPr>
          <w:b/>
        </w:rPr>
        <w:t xml:space="preserve">Fixability:  </w:t>
      </w:r>
      <w:r>
        <w:rPr/>
        <w:t>Can it be resolved with existing tools, public data, and reasonable engineering effort (≤4 weeks for one person)?</w:t>
      </w:r>
    </w:p>
    <w:p>
      <w:pPr>
        <w:pStyle w:val="ListBullet"/>
        <w:numPr>
          <w:ilvl w:val="0"/>
          <w:numId w:val="1"/>
        </w:numPr>
        <w:rPr/>
      </w:pPr>
      <w:r>
        <w:rPr>
          <w:b/>
        </w:rPr>
        <w:t xml:space="preserve">Impact:  </w:t>
      </w:r>
      <w:r>
        <w:rPr/>
        <w:t>Does fixing it materially change the conclusions, improve generalizability, or increase operational relevance?</w:t>
      </w:r>
    </w:p>
    <w:p>
      <w:pPr>
        <w:pStyle w:val="ListBullet"/>
        <w:numPr>
          <w:ilvl w:val="0"/>
          <w:numId w:val="1"/>
        </w:numPr>
        <w:rPr/>
      </w:pPr>
      <w:r>
        <w:rPr>
          <w:b/>
        </w:rPr>
        <w:t xml:space="preserve">Verifiability:  </w:t>
      </w:r>
      <w:r>
        <w:rPr/>
        <w:t>Can the improvement be measured quantitatively (AUC, failure rate, energy delivered, etc.)?</w:t>
      </w:r>
    </w:p>
    <w:p>
      <w:pPr>
        <w:pStyle w:val="Normal"/>
        <w:rPr/>
      </w:pPr>
      <w:r>
        <w:rPr/>
      </w:r>
      <w:r>
        <w:br w:type="page"/>
      </w:r>
    </w:p>
    <w:p>
      <w:pPr>
        <w:pStyle w:val="Heading1"/>
        <w:spacing w:before="0" w:after="0"/>
        <w:rPr/>
      </w:pPr>
      <w:r>
        <w:rPr/>
        <w:t>3. Limitation Breakdown</w:t>
      </w:r>
    </w:p>
    <w:p>
      <w:pPr>
        <w:pStyle w:val="Normal"/>
        <w:rPr/>
      </w:pPr>
      <w:r>
        <w:rPr/>
        <w:t>Each entry below follows the same structure: description of the limitation, proposed remediation, expected impact, and effort estimate.</w:t>
      </w:r>
    </w:p>
    <w:p>
      <w:pPr>
        <w:pStyle w:val="Heading2"/>
        <w:rPr/>
      </w:pPr>
      <w:r>
        <w:rPr/>
        <w:t>3.1  Fixed Horizon Set</w:t>
      </w:r>
    </w:p>
    <w:p>
      <w:pPr>
        <w:pStyle w:val="Heading3"/>
        <w:rPr/>
      </w:pPr>
      <w:r>
        <w:rPr/>
        <w:t>Limitation</w:t>
      </w:r>
    </w:p>
    <w:p>
      <w:pPr>
        <w:pStyle w:val="Normal"/>
        <w:rPr/>
      </w:pPr>
      <w:r>
        <w:rPr/>
        <w:t>The model is trained and evaluated on exactly four discrete service horizons: H ∈ {10, 20, 30, 50} cycles. In practice, grid services span arbitrary durations (e.g., 15-min frequency regulation, 4-h peak shaving) that do not align with these pre-defined windows. Operators cannot query risk for any horizon of interest.</w:t>
      </w:r>
    </w:p>
    <w:p>
      <w:pPr>
        <w:pStyle w:val="Heading3"/>
        <w:rPr/>
      </w:pPr>
      <w:r>
        <w:rPr/>
        <w:t>Proposed Fix</w:t>
      </w:r>
    </w:p>
    <w:p>
      <w:pPr>
        <w:pStyle w:val="Normal"/>
        <w:rPr/>
      </w:pPr>
      <w:r>
        <w:rPr/>
        <w:t>Replace the discrete multi-output head with a continuous hazard formulation. Two concrete approaches:</w:t>
      </w:r>
    </w:p>
    <w:p>
      <w:pPr>
        <w:pStyle w:val="ListNumber"/>
        <w:numPr>
          <w:ilvl w:val="0"/>
          <w:numId w:val="4"/>
        </w:numPr>
        <w:rPr/>
      </w:pPr>
      <w:r>
        <w:rPr/>
        <w:t>Parametric hazard: model the hazard as a function of both feature vector and horizon via a learned basis (e.g., spline or small MLP):  h(t, H) = σ(φ(X_t) · ψ(H)). This allows evaluation at arbitrary H at inference time.</w:t>
      </w:r>
    </w:p>
    <w:p>
      <w:pPr>
        <w:pStyle w:val="ListNumber"/>
        <w:numPr>
          <w:ilvl w:val="0"/>
          <w:numId w:val="4"/>
        </w:numPr>
        <w:rPr/>
      </w:pPr>
      <w:r>
        <w:rPr/>
        <w:t>Interpolation post-hoc: train per-horizon models as done originally, then fit a monotonic interpolant (e.g., Piecewise Cubic Hermite) over H for each prediction. Weaker but requires no model architecture change.</w:t>
      </w:r>
    </w:p>
    <w:p>
      <w:pPr>
        <w:pStyle w:val="ListNumber"/>
        <w:numPr>
          <w:ilvl w:val="0"/>
          <w:numId w:val="4"/>
        </w:numPr>
        <w:rPr/>
      </w:pPr>
      <w:r>
        <w:rPr/>
        <w:t>Continuous-time survival model: replace discrete hazard with a Cox proportional hazards or a neural Cox model (DeepSurv) that treats time continuously.</w:t>
      </w:r>
    </w:p>
    <w:p>
      <w:pPr>
        <w:pStyle w:val="Heading3"/>
        <w:rPr/>
      </w:pPr>
      <w:r>
        <w:rPr/>
        <w:t>Expected Impact</w:t>
      </w:r>
    </w:p>
    <w:p>
      <w:pPr>
        <w:pStyle w:val="Normal"/>
        <w:rPr/>
      </w:pPr>
      <w:r>
        <w:rPr/>
        <w:t>High. Enables any service duration to be evaluated without retraining, making the framework directly applicable to real grid markets. Maintains calibration across a continuous spectrum of horizons.</w:t>
      </w:r>
    </w:p>
    <w:p>
      <w:pPr>
        <w:pStyle w:val="Heading3"/>
        <w:rPr/>
      </w:pPr>
      <w:r>
        <w:rPr/>
        <w:t>Effort Estimate</w:t>
      </w:r>
    </w:p>
    <w:p>
      <w:pPr>
        <w:pStyle w:val="Normal"/>
        <w:rPr/>
      </w:pPr>
      <w:r>
        <w:rPr/>
        <w:t>3–5 days for the parametric or interpolant approach; 5–10 days for the full continuous-time survival model (including re-validation).</w:t>
      </w:r>
    </w:p>
    <w:p>
      <w:pPr>
        <w:pStyle w:val="Heading2"/>
        <w:rPr/>
      </w:pPr>
      <w:r>
        <w:rPr/>
        <w:t>3.2  Single Model Class (XGBoost Only)</w:t>
      </w:r>
    </w:p>
    <w:p>
      <w:pPr>
        <w:pStyle w:val="Heading3"/>
        <w:rPr/>
      </w:pPr>
      <w:r>
        <w:rPr/>
        <w:t>Limitation</w:t>
      </w:r>
    </w:p>
    <w:p>
      <w:pPr>
        <w:pStyle w:val="Normal"/>
        <w:rPr/>
      </w:pPr>
      <w:r>
        <w:rPr/>
        <w:t>All experiments use gradient-boosted decision trees (XGBoost). While XGBoost is a strong tabular-data baseline, it does not exploit temporal structure explicitly and may underperform relative to sequence models on degradation trajectories. The paper does not benchmark alternatives, leaving model choice as an uncontrolled variable.</w:t>
      </w:r>
    </w:p>
    <w:p>
      <w:pPr>
        <w:pStyle w:val="Heading3"/>
        <w:rPr/>
      </w:pPr>
      <w:r>
        <w:rPr/>
        <w:t>Proposed Fix</w:t>
      </w:r>
    </w:p>
    <w:p>
      <w:pPr>
        <w:pStyle w:val="Normal"/>
        <w:rPr/>
      </w:pPr>
      <w:r>
        <w:rPr/>
        <w:t>Implement and compare the following architectures on the same data splits and metrics (AUC, Brier score, calibration ECE, inference latency):</w:t>
      </w:r>
    </w:p>
    <w:p>
      <w:pPr>
        <w:pStyle w:val="ListBullet"/>
        <w:numPr>
          <w:ilvl w:val="0"/>
          <w:numId w:val="1"/>
        </w:numPr>
        <w:rPr/>
      </w:pPr>
      <w:r>
        <w:rPr/>
        <w:t>LSTM / BiLSTM with per-step hazard output</w:t>
      </w:r>
    </w:p>
    <w:p>
      <w:pPr>
        <w:pStyle w:val="ListBullet"/>
        <w:numPr>
          <w:ilvl w:val="0"/>
          <w:numId w:val="1"/>
        </w:numPr>
        <w:rPr/>
      </w:pPr>
      <w:r>
        <w:rPr/>
        <w:t>Temporal Convolutional Network (TCN) with dilated convolutions</w:t>
      </w:r>
    </w:p>
    <w:p>
      <w:pPr>
        <w:pStyle w:val="ListBullet"/>
        <w:numPr>
          <w:ilvl w:val="0"/>
          <w:numId w:val="1"/>
        </w:numPr>
        <w:rPr/>
      </w:pPr>
      <w:r>
        <w:rPr/>
        <w:t>Transformer encoder with causal masking (small, ~4 layers)</w:t>
      </w:r>
    </w:p>
    <w:p>
      <w:pPr>
        <w:pStyle w:val="ListBullet"/>
        <w:numPr>
          <w:ilvl w:val="0"/>
          <w:numId w:val="1"/>
        </w:numPr>
        <w:rPr/>
      </w:pPr>
      <w:r>
        <w:rPr/>
        <w:t>LightGBM / CatBoost as additional tree-based baselines</w:t>
      </w:r>
    </w:p>
    <w:p>
      <w:pPr>
        <w:pStyle w:val="Normal"/>
        <w:rPr/>
      </w:pPr>
      <w:r>
        <w:rPr/>
        <w:t>All models should share the same input features, rolling-window construction, and leave-battery-out cross-validation protocol.</w:t>
      </w:r>
    </w:p>
    <w:p>
      <w:pPr>
        <w:pStyle w:val="Heading3"/>
        <w:rPr/>
      </w:pPr>
      <w:r>
        <w:rPr/>
        <w:t>Expected Impact</w:t>
      </w:r>
    </w:p>
    <w:p>
      <w:pPr>
        <w:pStyle w:val="Normal"/>
        <w:rPr/>
      </w:pPr>
      <w:r>
        <w:rPr/>
        <w:t>Medium. If a temporal model outperforms XGBoost (e.g., +0.02 AUC), it raises the ceiling of the framework. If not, the result strengthens the paper's claim that XGBoost is sufficient, providing a useful negative result for the community.</w:t>
      </w:r>
    </w:p>
    <w:p>
      <w:pPr>
        <w:pStyle w:val="Heading3"/>
        <w:rPr/>
      </w:pPr>
      <w:r>
        <w:rPr/>
        <w:t>Effort Estimate</w:t>
      </w:r>
    </w:p>
    <w:p>
      <w:pPr>
        <w:pStyle w:val="Normal"/>
        <w:rPr/>
      </w:pPr>
      <w:r>
        <w:rPr/>
        <w:t>5–7 days including implementation, hyperparameter tuning, and statistical comparison (paired bootstrap or McNemar).</w:t>
      </w:r>
    </w:p>
    <w:p>
      <w:pPr>
        <w:pStyle w:val="Heading2"/>
        <w:rPr/>
      </w:pPr>
      <w:r>
        <w:rPr/>
        <w:t>3.3  Single-Criterion Failure Definition</w:t>
      </w:r>
    </w:p>
    <w:p>
      <w:pPr>
        <w:pStyle w:val="Heading3"/>
        <w:rPr/>
      </w:pPr>
      <w:r>
        <w:rPr/>
        <w:t>Limitation</w:t>
      </w:r>
    </w:p>
    <w:p>
      <w:pPr>
        <w:pStyle w:val="Normal"/>
        <w:rPr/>
      </w:pPr>
      <w:r>
        <w:rPr/>
        <w:t>Operational failure is defined exclusively as capacity dropping below 70 % of nominal (the conventional EOL threshold). Real operational failures are multi-factorial: a battery may fail to complete a service due to voltage sag, internal resistance exceeding a limit, thermal constraints, or sudden capacity fade, even when SOH &gt; 70 %.</w:t>
      </w:r>
    </w:p>
    <w:p>
      <w:pPr>
        <w:pStyle w:val="Heading3"/>
        <w:rPr/>
      </w:pPr>
      <w:r>
        <w:rPr/>
        <w:t>Proposed Fix</w:t>
      </w:r>
    </w:p>
    <w:p>
      <w:pPr>
        <w:pStyle w:val="Normal"/>
        <w:rPr/>
      </w:pPr>
      <w:r>
        <w:rPr/>
        <w:t>Define a composite failure event using multiple indicators available in the NASA dataset:</w:t>
      </w:r>
    </w:p>
    <w:p>
      <w:pPr>
        <w:pStyle w:val="ListBullet"/>
        <w:numPr>
          <w:ilvl w:val="0"/>
          <w:numId w:val="1"/>
        </w:numPr>
        <w:rPr/>
      </w:pPr>
      <w:r>
        <w:rPr/>
        <w:t>SOH &lt; 70 % (existing criterion).</w:t>
      </w:r>
    </w:p>
    <w:p>
      <w:pPr>
        <w:pStyle w:val="ListBullet"/>
        <w:numPr>
          <w:ilvl w:val="0"/>
          <w:numId w:val="1"/>
        </w:numPr>
        <w:rPr/>
      </w:pPr>
      <w:r>
        <w:rPr/>
        <w:t>Internal resistance increase &gt; 100 % from beginning-of-life.</w:t>
      </w:r>
    </w:p>
    <w:p>
      <w:pPr>
        <w:pStyle w:val="ListBullet"/>
        <w:numPr>
          <w:ilvl w:val="0"/>
          <w:numId w:val="1"/>
        </w:numPr>
        <w:rPr/>
      </w:pPr>
      <w:r>
        <w:rPr/>
        <w:t>Sudden capacity drop: Δcapacity &lt; −5 % in a single cycle.</w:t>
      </w:r>
    </w:p>
    <w:p>
      <w:pPr>
        <w:pStyle w:val="ListBullet"/>
        <w:numPr>
          <w:ilvl w:val="0"/>
          <w:numId w:val="1"/>
        </w:numPr>
        <w:rPr/>
      </w:pPr>
      <w:r>
        <w:rPr/>
        <w:t>Any cycle where voltage falls below the manufacturer's discharge cutoff before rated capacity is delivered.</w:t>
      </w:r>
    </w:p>
    <w:p>
      <w:pPr>
        <w:pStyle w:val="Normal"/>
        <w:rPr/>
      </w:pPr>
      <w:r>
        <w:rPr/>
        <w:t>Re-label the dataset with the composite event, retrain, and compare AUC / failure-rate metrics against the original single-criterion model.</w:t>
      </w:r>
    </w:p>
    <w:p>
      <w:pPr>
        <w:pStyle w:val="Heading3"/>
        <w:rPr/>
      </w:pPr>
      <w:r>
        <w:rPr/>
        <w:t>Expected Impact</w:t>
      </w:r>
    </w:p>
    <w:p>
      <w:pPr>
        <w:pStyle w:val="Normal"/>
        <w:rPr/>
      </w:pPr>
      <w:r>
        <w:rPr/>
        <w:t>High. Produces a failure probability that reflects multiple real-world failure modes, making the system safer and more credible to grid operators. The composite label also increases the number of positive (failure) events, which may improve model training.</w:t>
      </w:r>
    </w:p>
    <w:p>
      <w:pPr>
        <w:pStyle w:val="Heading3"/>
        <w:rPr/>
      </w:pPr>
      <w:r>
        <w:rPr/>
        <w:t>Effort Estimate</w:t>
      </w:r>
    </w:p>
    <w:p>
      <w:pPr>
        <w:pStyle w:val="Normal"/>
        <w:rPr/>
      </w:pPr>
      <w:r>
        <w:rPr/>
        <w:t>2–3 days for data re-labeling, re-training, and evaluation.</w:t>
      </w:r>
    </w:p>
    <w:p>
      <w:pPr>
        <w:pStyle w:val="Heading2"/>
        <w:rPr/>
      </w:pPr>
      <w:r>
        <w:rPr/>
        <w:t>3.4  Single Battery Chemistry</w:t>
      </w:r>
    </w:p>
    <w:p>
      <w:pPr>
        <w:pStyle w:val="Heading3"/>
        <w:rPr/>
      </w:pPr>
      <w:r>
        <w:rPr/>
        <w:t>Limitation</w:t>
      </w:r>
    </w:p>
    <w:p>
      <w:pPr>
        <w:pStyle w:val="Normal"/>
        <w:rPr/>
      </w:pPr>
      <w:r>
        <w:rPr/>
        <w:t>Experiments use only 18,650 lithium-ion cells from a single source (NASA PCoE). Results may not generalize to other form factors (pouch, prismatic), chemistries (LFP, NMC, LTO, LCO), or operating conditions (high C-rate, partial cycling).</w:t>
      </w:r>
    </w:p>
    <w:p>
      <w:pPr>
        <w:pStyle w:val="Heading3"/>
        <w:rPr/>
      </w:pPr>
      <w:r>
        <w:rPr/>
        <w:t>Proposed Fix</w:t>
      </w:r>
    </w:p>
    <w:p>
      <w:pPr>
        <w:pStyle w:val="Normal"/>
        <w:rPr/>
      </w:pPr>
      <w:r>
        <w:rPr/>
        <w:t>Acquire and test on additional public battery aging datasets:</w:t>
      </w:r>
    </w:p>
    <w:p>
      <w:pPr>
        <w:pStyle w:val="ListBullet"/>
        <w:numPr>
          <w:ilvl w:val="0"/>
          <w:numId w:val="1"/>
        </w:numPr>
        <w:rPr/>
      </w:pPr>
      <w:r>
        <w:rPr/>
        <w:t>CALCE (University of Maryland) — multiple chemistries and form factors.</w:t>
      </w:r>
    </w:p>
    <w:p>
      <w:pPr>
        <w:pStyle w:val="ListBullet"/>
        <w:numPr>
          <w:ilvl w:val="0"/>
          <w:numId w:val="1"/>
        </w:numPr>
        <w:rPr/>
      </w:pPr>
      <w:r>
        <w:rPr/>
        <w:t>Oxford Battery Degradation Dataset — LFP cells under various charge profiles.</w:t>
      </w:r>
    </w:p>
    <w:p>
      <w:pPr>
        <w:pStyle w:val="ListBullet"/>
        <w:numPr>
          <w:ilvl w:val="0"/>
          <w:numId w:val="1"/>
        </w:numPr>
        <w:rPr/>
      </w:pPr>
      <w:r>
        <w:rPr/>
        <w:t>HUST Battery Dataset — NMC cells with diverse cycling protocols.</w:t>
      </w:r>
    </w:p>
    <w:p>
      <w:pPr>
        <w:pStyle w:val="ListBullet"/>
        <w:numPr>
          <w:ilvl w:val="0"/>
          <w:numId w:val="1"/>
        </w:numPr>
        <w:rPr/>
      </w:pPr>
      <w:r>
        <w:rPr/>
        <w:t>PANASONIC 18650PF (McMaster) — high-rate cycling data.</w:t>
      </w:r>
    </w:p>
    <w:p>
      <w:pPr>
        <w:pStyle w:val="Normal"/>
        <w:rPr/>
      </w:pPr>
      <w:r>
        <w:rPr/>
        <w:t>Apply the same preprocessing, feature extraction, and leave-one-out cross-validation. Report per-dataset AUC, Brier, and calibration curves. A cross-dataset transfer experiment (train on NASA, test on CALCE) would further assess domain generalization.</w:t>
      </w:r>
    </w:p>
    <w:p>
      <w:pPr>
        <w:pStyle w:val="Heading3"/>
        <w:rPr/>
      </w:pPr>
      <w:r>
        <w:rPr/>
        <w:t>Expected Impact</w:t>
      </w:r>
    </w:p>
    <w:p>
      <w:pPr>
        <w:pStyle w:val="Normal"/>
        <w:rPr/>
      </w:pPr>
      <w:r>
        <w:rPr/>
        <w:t>High. Validates (or refutes) the claim that the hazard-learning approach is chemistry-agnostic. Enhances credibility for multi-technology BESS fleets.</w:t>
      </w:r>
    </w:p>
    <w:p>
      <w:pPr>
        <w:pStyle w:val="Heading3"/>
        <w:rPr/>
      </w:pPr>
      <w:r>
        <w:rPr/>
        <w:t>Effort Estimate</w:t>
      </w:r>
    </w:p>
    <w:p>
      <w:pPr>
        <w:pStyle w:val="Normal"/>
        <w:rPr/>
      </w:pPr>
      <w:r>
        <w:rPr/>
        <w:t>5–8 days for data acquisition, preprocessing, adaptation (different sampling rates, voltage ranges, cycle definitions), running experiments, and reporting.</w:t>
      </w:r>
    </w:p>
    <w:p>
      <w:pPr>
        <w:pStyle w:val="Heading2"/>
        <w:rPr/>
      </w:pPr>
      <w:r>
        <w:rPr/>
        <w:t>3.5  Laboratory-Only Cycling Data</w:t>
      </w:r>
    </w:p>
    <w:p>
      <w:pPr>
        <w:pStyle w:val="Heading3"/>
        <w:rPr/>
      </w:pPr>
      <w:r>
        <w:rPr/>
        <w:t>Limitation</w:t>
      </w:r>
    </w:p>
    <w:p>
      <w:pPr>
        <w:pStyle w:val="Normal"/>
        <w:rPr/>
      </w:pPr>
      <w:r>
        <w:rPr/>
        <w:t>All data come from controlled laboratory cycling with fixed protocols (constant current, full charge/discharge, controlled temperature). Real BESS field operation includes partial cycles, irregular rest periods, variable ambient temperatures, and unbalanced cell behavior in strings — none of which are represented.</w:t>
      </w:r>
    </w:p>
    <w:p>
      <w:pPr>
        <w:pStyle w:val="Heading3"/>
        <w:rPr/>
      </w:pPr>
      <w:r>
        <w:rPr/>
        <w:t>Proposed Fix</w:t>
      </w:r>
    </w:p>
    <w:p>
      <w:pPr>
        <w:pStyle w:val="Normal"/>
        <w:rPr/>
      </w:pPr>
      <w:r>
        <w:rPr/>
        <w:t>Introduce operational variability through two complementary approaches:</w:t>
      </w:r>
    </w:p>
    <w:p>
      <w:pPr>
        <w:pStyle w:val="ListNumber"/>
        <w:numPr>
          <w:ilvl w:val="0"/>
          <w:numId w:val="4"/>
        </w:numPr>
        <w:rPr/>
      </w:pPr>
      <w:r>
        <w:rPr/>
        <w:t>Simulation-based augmentation: take laboratory cycles and insert synthetic partial cycles (e.g., 20–80 % SoC windows), random rest periods (30 min to 24 h), and temperature perturbations (±5 °C). Use an empirical capacity-fade model (e.g., semi-empirical Arrhenius-based) to assign health labels.</w:t>
      </w:r>
    </w:p>
    <w:p>
      <w:pPr>
        <w:pStyle w:val="ListNumber"/>
        <w:numPr>
          <w:ilvl w:val="0"/>
          <w:numId w:val="4"/>
        </w:numPr>
        <w:rPr/>
      </w:pPr>
      <w:r>
        <w:rPr/>
        <w:t>Field-data case study: source publicly available BESS field data (e.g., PG&amp;E / NREL datasets, Tesla Megapack whitepapers, or academic partnerships). Even a small field dataset (5–10 cells, 6 months) provides a qualitative validation of the framework's behavioral assumptions.</w:t>
      </w:r>
    </w:p>
    <w:p>
      <w:pPr>
        <w:pStyle w:val="Heading3"/>
        <w:rPr/>
      </w:pPr>
      <w:r>
        <w:rPr/>
        <w:t>Expected Impact</w:t>
      </w:r>
    </w:p>
    <w:p>
      <w:pPr>
        <w:pStyle w:val="Normal"/>
        <w:rPr/>
      </w:pPr>
      <w:r>
        <w:rPr/>
        <w:t>High. Demonstrates robustness to the partial cycling and irregular operation that dominate real-world battery usage. Closes the largest gap between the paper and practical deployment.</w:t>
      </w:r>
    </w:p>
    <w:p>
      <w:pPr>
        <w:pStyle w:val="Heading3"/>
        <w:rPr/>
      </w:pPr>
      <w:r>
        <w:rPr/>
        <w:t>Effort Estimate</w:t>
      </w:r>
    </w:p>
    <w:p>
      <w:pPr>
        <w:pStyle w:val="Normal"/>
        <w:rPr/>
      </w:pPr>
      <w:r>
        <w:rPr/>
        <w:t>7–10 days for simulation augmentation + validation; field-data case study adds 10–15 days depending on data availability and preprocessing complexity.</w:t>
      </w:r>
    </w:p>
    <w:p>
      <w:pPr>
        <w:pStyle w:val="Heading2"/>
        <w:rPr/>
      </w:pPr>
      <w:r>
        <w:rPr/>
        <w:t>3.6  Offline Dispatch Evaluation</w:t>
      </w:r>
    </w:p>
    <w:p>
      <w:pPr>
        <w:pStyle w:val="Heading3"/>
        <w:rPr/>
      </w:pPr>
      <w:r>
        <w:rPr/>
        <w:t>Limitation</w:t>
      </w:r>
    </w:p>
    <w:p>
      <w:pPr>
        <w:pStyle w:val="Normal"/>
        <w:rPr/>
      </w:pPr>
      <w:r>
        <w:rPr/>
        <w:t>The dispatch policy is evaluated in a replay setting: given historical degradation trajectories, the policy either accepts or rejects each service request. There is no market feedback loop — no bidding, no competition, no price response, and no system-level constraint (e.g., transmission limits, portfolio effects).</w:t>
      </w:r>
    </w:p>
    <w:p>
      <w:pPr>
        <w:pStyle w:val="Heading3"/>
        <w:rPr/>
      </w:pPr>
      <w:r>
        <w:rPr/>
        <w:t>Proposed Fix</w:t>
      </w:r>
    </w:p>
    <w:p>
      <w:pPr>
        <w:pStyle w:val="Normal"/>
        <w:rPr/>
      </w:pPr>
      <w:r>
        <w:rPr/>
        <w:t>Build a lightweight simulation environment that couples the battery reliability model with a simplified market model:</w:t>
      </w:r>
    </w:p>
    <w:p>
      <w:pPr>
        <w:pStyle w:val="ListNumber"/>
        <w:numPr>
          <w:ilvl w:val="0"/>
          <w:numId w:val="4"/>
        </w:numPr>
        <w:rPr/>
      </w:pPr>
      <w:r>
        <w:rPr/>
        <w:t>Define a day-ahead or real-time flexibility market with stochastic prices (e.g., ARMA model calibrated to real energy market data).</w:t>
      </w:r>
    </w:p>
    <w:p>
      <w:pPr>
        <w:pStyle w:val="ListNumber"/>
        <w:numPr>
          <w:ilvl w:val="0"/>
          <w:numId w:val="4"/>
        </w:numPr>
        <w:rPr/>
      </w:pPr>
      <w:r>
        <w:rPr/>
        <w:t>Allow the battery to submit bids; the bid are accepted if price clears and the battery is deemed reliable by the hazard model.</w:t>
      </w:r>
    </w:p>
    <w:p>
      <w:pPr>
        <w:pStyle w:val="ListNumber"/>
        <w:numPr>
          <w:ilvl w:val="0"/>
          <w:numId w:val="4"/>
        </w:numPr>
        <w:rPr/>
      </w:pPr>
      <w:r>
        <w:rPr/>
        <w:t>Track cumulative revenue, delivered energy, and failure events over simulated operational horizon.</w:t>
      </w:r>
    </w:p>
    <w:p>
      <w:pPr>
        <w:pStyle w:val="ListNumber"/>
        <w:numPr>
          <w:ilvl w:val="0"/>
          <w:numId w:val="4"/>
        </w:numPr>
        <w:rPr/>
      </w:pPr>
      <w:r>
        <w:rPr/>
        <w:t>Compare revenue and failure rate against always-dispatch and SOH-based strategies.</w:t>
      </w:r>
    </w:p>
    <w:p>
      <w:pPr>
        <w:pStyle w:val="Normal"/>
        <w:rPr/>
      </w:pPr>
      <w:r>
        <w:rPr/>
        <w:t>This simulation can be implemented in Python (pandas + NumPy) without external optimization solvers. A stochastic Monte Carlo run (N=1000 price scenarios) would quantify the distribution of outcomes.</w:t>
      </w:r>
    </w:p>
    <w:p>
      <w:pPr>
        <w:pStyle w:val="Heading3"/>
        <w:rPr/>
      </w:pPr>
      <w:r>
        <w:rPr/>
        <w:t>Expected Impact</w:t>
      </w:r>
    </w:p>
    <w:p>
      <w:pPr>
        <w:pStyle w:val="Normal"/>
        <w:rPr/>
      </w:pPr>
      <w:r>
        <w:rPr/>
        <w:t>High. Transforms the framework from a diagnostic tool into a demonstrable decision-support system. Provides quantitative evidence that reliability-aware dispatch improves risk-adjusted profit, not just failure rate.</w:t>
      </w:r>
    </w:p>
    <w:p>
      <w:pPr>
        <w:pStyle w:val="Heading3"/>
        <w:rPr/>
      </w:pPr>
      <w:r>
        <w:rPr/>
        <w:t>Effort Estimate</w:t>
      </w:r>
    </w:p>
    <w:p>
      <w:pPr>
        <w:pStyle w:val="Normal"/>
        <w:rPr/>
      </w:pPr>
      <w:r>
        <w:rPr/>
        <w:t>6–10 days for market simulation design, implementation, integration with the hazard model, and Monte Carlo analysis.</w:t>
      </w:r>
    </w:p>
    <w:p>
      <w:pPr>
        <w:pStyle w:val="Heading2"/>
        <w:rPr/>
      </w:pPr>
      <w:r>
        <w:rPr/>
        <w:t>3.7  Static Binary Threshold Policy</w:t>
      </w:r>
    </w:p>
    <w:p>
      <w:pPr>
        <w:pStyle w:val="Heading3"/>
        <w:rPr/>
      </w:pPr>
      <w:r>
        <w:rPr/>
        <w:t>Limitation</w:t>
      </w:r>
    </w:p>
    <w:p>
      <w:pPr>
        <w:pStyle w:val="Normal"/>
        <w:rPr/>
      </w:pPr>
      <w:r>
        <w:rPr/>
        <w:t>The dispatch policy applies a hard threshold: accept if P_cal ≤ τ, reject otherwise. This is a binary on/off decision that wastes partial energy that could have been safely delivered. It does not differentiate between "barely safe" (P = 0.049) and "very safe" (P = 0.001) states — both are accepted equally when τ = 0.05.</w:t>
      </w:r>
    </w:p>
    <w:p>
      <w:pPr>
        <w:pStyle w:val="Heading3"/>
        <w:rPr/>
      </w:pPr>
      <w:r>
        <w:rPr/>
        <w:t>Proposed Fix</w:t>
      </w:r>
    </w:p>
    <w:p>
      <w:pPr>
        <w:pStyle w:val="Normal"/>
        <w:rPr/>
      </w:pPr>
      <w:r>
        <w:rPr/>
        <w:t>Replace the binary gate with a continuous derating function:</w:t>
      </w:r>
    </w:p>
    <w:p>
      <w:pPr>
        <w:pStyle w:val="ListNumber"/>
        <w:numPr>
          <w:ilvl w:val="0"/>
          <w:numId w:val="4"/>
        </w:numPr>
        <w:rPr/>
      </w:pPr>
      <w:r>
        <w:rPr/>
        <w:t>Proportional derating:  E_offered = E_requested × max(0, 1 − α·P_cal), where α is a scaling parameter. The offer decreases continuously as risk rises.</w:t>
      </w:r>
    </w:p>
    <w:p>
      <w:pPr>
        <w:pStyle w:val="ListNumber"/>
        <w:numPr>
          <w:ilvl w:val="0"/>
          <w:numId w:val="4"/>
        </w:numPr>
        <w:rPr/>
      </w:pPr>
      <w:r>
        <w:rPr/>
        <w:t>Piecewise-linear: define safety zones (e.g., full, 75 %, 50 %, 0 %) using multiple thresholds, providing granular control while retaining simplicity.</w:t>
      </w:r>
    </w:p>
    <w:p>
      <w:pPr>
        <w:pStyle w:val="ListNumber"/>
        <w:numPr>
          <w:ilvl w:val="0"/>
          <w:numId w:val="4"/>
        </w:numPr>
        <w:rPr/>
      </w:pPr>
      <w:r>
        <w:rPr/>
        <w:t>RL-based dispatch: train a small policy (e.g., linear or shallow neural net) using P_cal, SOH, and requested energy as state variables, with reward = delivered_energy − λ × failure_penalty. This end-to-end approach would remove the need to manually set τ.</w:t>
      </w:r>
    </w:p>
    <w:p>
      <w:pPr>
        <w:pStyle w:val="Heading3"/>
        <w:rPr/>
      </w:pPr>
      <w:r>
        <w:rPr/>
        <w:t>Expected Impact</w:t>
      </w:r>
    </w:p>
    <w:p>
      <w:pPr>
        <w:pStyle w:val="Normal"/>
        <w:rPr/>
      </w:pPr>
      <w:r>
        <w:rPr/>
        <w:t>Significant. Continuous derating increases total energy delivery by utilizing partially risky states, while maintaining a lower failure rate than the binary policy. The RL variant would represent a step-change in operational sophistication.</w:t>
      </w:r>
    </w:p>
    <w:p>
      <w:pPr>
        <w:pStyle w:val="Heading3"/>
        <w:rPr/>
      </w:pPr>
      <w:r>
        <w:rPr/>
        <w:t>Effort Estimate</w:t>
      </w:r>
    </w:p>
    <w:p>
      <w:pPr>
        <w:pStyle w:val="Normal"/>
        <w:rPr/>
      </w:pPr>
      <w:r>
        <w:rPr/>
        <w:t>3–5 days for proportional/piecewise derating; 10–15 days for RL-based dispatch (environment design, policy training, hyperparameter sweep, stability analysis).</w:t>
      </w:r>
    </w:p>
    <w:p>
      <w:pPr>
        <w:pStyle w:val="Normal"/>
        <w:rPr/>
      </w:pPr>
      <w:r>
        <w:rPr/>
      </w:r>
      <w:r>
        <w:br w:type="page"/>
      </w:r>
    </w:p>
    <w:p>
      <w:pPr>
        <w:pStyle w:val="Heading1"/>
        <w:spacing w:before="0" w:after="0"/>
        <w:rPr/>
      </w:pPr>
      <w:r>
        <w:rPr/>
        <w:t>4. Implementation Roadmap</w:t>
      </w:r>
    </w:p>
    <w:p>
      <w:pPr>
        <w:pStyle w:val="Normal"/>
        <w:rPr/>
      </w:pPr>
      <w:r>
        <w:rPr/>
        <w:t>The limitations above are ordered roughly by increasing effort. A recommended sequenced plan follows, with each phase producing a standalone improvement that can be released independently.</w:t>
      </w:r>
    </w:p>
    <w:tbl>
      <w:tblPr>
        <w:tblStyle w:val="LightGrid-Accent1"/>
        <w:tblW w:w="8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160"/>
        <w:gridCol w:w="2160"/>
        <w:gridCol w:w="2160"/>
        <w:gridCol w:w="2160"/>
      </w:tblGrid>
      <w:tr>
        <w:trPr/>
        <w:tc>
          <w:tcPr>
            <w:tcW w:w="2160" w:type="dxa"/>
            <w:tcBorders>
              <w:bottom w:val="single" w:sz="18" w:space="0" w:color="4F81BD"/>
            </w:tcBorders>
          </w:tcPr>
          <w:p>
            <w:pPr>
              <w:pStyle w:val="Normal"/>
              <w:widowControl/>
              <w:suppressAutoHyphens w:val="true"/>
              <w:spacing w:before="0" w:after="120"/>
              <w:jc w:val="center"/>
              <w:rPr>
                <w:rFonts w:eastAsia="ＭＳ ゴシック" w:cs=""/>
                <w:b/>
                <w:bCs/>
                <w:kern w:val="0"/>
                <w:szCs w:val="22"/>
                <w:lang w:val="en-US" w:eastAsia="en-US" w:bidi="ar-SA"/>
              </w:rPr>
            </w:pPr>
            <w:r>
              <w:rPr>
                <w:rFonts w:eastAsia="ＭＳ ゴシック" w:cs=""/>
                <w:b/>
                <w:bCs/>
                <w:kern w:val="0"/>
                <w:sz w:val="20"/>
                <w:szCs w:val="22"/>
                <w:lang w:val="en-US" w:eastAsia="en-US" w:bidi="ar-SA"/>
              </w:rPr>
              <w:t>Phase</w:t>
            </w:r>
          </w:p>
        </w:tc>
        <w:tc>
          <w:tcPr>
            <w:tcW w:w="2160" w:type="dxa"/>
            <w:tcBorders>
              <w:bottom w:val="single" w:sz="18" w:space="0" w:color="4F81BD"/>
            </w:tcBorders>
          </w:tcPr>
          <w:p>
            <w:pPr>
              <w:pStyle w:val="Normal"/>
              <w:widowControl/>
              <w:suppressAutoHyphens w:val="true"/>
              <w:spacing w:before="0" w:after="120"/>
              <w:jc w:val="center"/>
              <w:rPr>
                <w:rFonts w:eastAsia="ＭＳ ゴシック" w:cs=""/>
                <w:b/>
                <w:bCs/>
                <w:kern w:val="0"/>
                <w:szCs w:val="22"/>
                <w:lang w:val="en-US" w:eastAsia="en-US" w:bidi="ar-SA"/>
              </w:rPr>
            </w:pPr>
            <w:r>
              <w:rPr>
                <w:rFonts w:eastAsia="ＭＳ ゴシック" w:cs=""/>
                <w:b/>
                <w:bCs/>
                <w:kern w:val="0"/>
                <w:sz w:val="20"/>
                <w:szCs w:val="22"/>
                <w:lang w:val="en-US" w:eastAsia="en-US" w:bidi="ar-SA"/>
              </w:rPr>
              <w:t>Limitations Addressed</w:t>
            </w:r>
          </w:p>
        </w:tc>
        <w:tc>
          <w:tcPr>
            <w:tcW w:w="2160" w:type="dxa"/>
            <w:tcBorders>
              <w:bottom w:val="single" w:sz="18" w:space="0" w:color="4F81BD"/>
            </w:tcBorders>
          </w:tcPr>
          <w:p>
            <w:pPr>
              <w:pStyle w:val="Normal"/>
              <w:widowControl/>
              <w:suppressAutoHyphens w:val="true"/>
              <w:spacing w:before="0" w:after="120"/>
              <w:jc w:val="center"/>
              <w:rPr>
                <w:rFonts w:eastAsia="ＭＳ ゴシック" w:cs=""/>
                <w:b/>
                <w:bCs/>
                <w:kern w:val="0"/>
                <w:szCs w:val="22"/>
                <w:lang w:val="en-US" w:eastAsia="en-US" w:bidi="ar-SA"/>
              </w:rPr>
            </w:pPr>
            <w:r>
              <w:rPr>
                <w:rFonts w:eastAsia="ＭＳ ゴシック" w:cs=""/>
                <w:b/>
                <w:bCs/>
                <w:kern w:val="0"/>
                <w:sz w:val="20"/>
                <w:szCs w:val="22"/>
                <w:lang w:val="en-US" w:eastAsia="en-US" w:bidi="ar-SA"/>
              </w:rPr>
              <w:t>Deliverable</w:t>
            </w:r>
          </w:p>
        </w:tc>
        <w:tc>
          <w:tcPr>
            <w:tcW w:w="2160" w:type="dxa"/>
            <w:tcBorders>
              <w:bottom w:val="single" w:sz="18" w:space="0" w:color="4F81BD"/>
            </w:tcBorders>
          </w:tcPr>
          <w:p>
            <w:pPr>
              <w:pStyle w:val="Normal"/>
              <w:widowControl/>
              <w:suppressAutoHyphens w:val="true"/>
              <w:spacing w:before="0" w:after="120"/>
              <w:jc w:val="center"/>
              <w:rPr>
                <w:rFonts w:eastAsia="ＭＳ ゴシック" w:cs=""/>
                <w:b/>
                <w:bCs/>
                <w:kern w:val="0"/>
                <w:szCs w:val="22"/>
                <w:lang w:val="en-US" w:eastAsia="en-US" w:bidi="ar-SA"/>
              </w:rPr>
            </w:pPr>
            <w:r>
              <w:rPr>
                <w:rFonts w:eastAsia="ＭＳ ゴシック" w:cs=""/>
                <w:b/>
                <w:bCs/>
                <w:kern w:val="0"/>
                <w:sz w:val="20"/>
                <w:szCs w:val="22"/>
                <w:lang w:val="en-US" w:eastAsia="en-US" w:bidi="ar-SA"/>
              </w:rPr>
              <w:t>Rationale</w:t>
            </w:r>
          </w:p>
        </w:tc>
      </w:tr>
      <w:tr>
        <w:trPr/>
        <w:tc>
          <w:tcPr>
            <w:tcW w:w="2160" w:type="dxa"/>
            <w:tcBorders/>
            <w:shd w:color="auto" w:fill="D3DFEE" w:themeFill="accent1" w:themeFillTint="3f" w:val="clear"/>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Phase 1</w:t>
              <w:br/>
              <w:t>(Days 1–5)</w:t>
            </w:r>
          </w:p>
        </w:tc>
        <w:tc>
          <w:tcPr>
            <w:tcW w:w="2160"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L1: Continuous horizons</w:t>
              <w:br/>
              <w:t>L3: Composite failure</w:t>
            </w:r>
          </w:p>
        </w:tc>
        <w:tc>
          <w:tcPr>
            <w:tcW w:w="2160"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Single re-trained model; updated dataset labels</w:t>
            </w:r>
          </w:p>
        </w:tc>
        <w:tc>
          <w:tcPr>
            <w:tcW w:w="2160"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Most visible improvement for operators; minimal code churn</w:t>
            </w:r>
          </w:p>
        </w:tc>
      </w:tr>
      <w:tr>
        <w:trPr/>
        <w:tc>
          <w:tcPr>
            <w:tcW w:w="2160" w:type="dxa"/>
            <w:tcBorders/>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Phase 2</w:t>
              <w:br/>
              <w:t>(Days 6–15)</w:t>
            </w:r>
          </w:p>
        </w:tc>
        <w:tc>
          <w:tcPr>
            <w:tcW w:w="216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L4: Multi-chemistry</w:t>
              <w:br/>
              <w:t>L5: Augmented data</w:t>
            </w:r>
          </w:p>
        </w:tc>
        <w:tc>
          <w:tcPr>
            <w:tcW w:w="216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Cross-dataset validation table; robustness analysis</w:t>
            </w:r>
          </w:p>
        </w:tc>
        <w:tc>
          <w:tcPr>
            <w:tcW w:w="216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Strengthens generalizability claims significantly</w:t>
            </w:r>
          </w:p>
        </w:tc>
      </w:tr>
      <w:tr>
        <w:trPr/>
        <w:tc>
          <w:tcPr>
            <w:tcW w:w="2160" w:type="dxa"/>
            <w:tcBorders/>
            <w:shd w:color="auto" w:fill="D3DFEE" w:themeFill="accent1" w:themeFillTint="3f" w:val="clear"/>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Phase 3</w:t>
              <w:br/>
              <w:t>(Days 16–20)</w:t>
            </w:r>
          </w:p>
        </w:tc>
        <w:tc>
          <w:tcPr>
            <w:tcW w:w="2160"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L2: Model comparison</w:t>
            </w:r>
          </w:p>
        </w:tc>
        <w:tc>
          <w:tcPr>
            <w:tcW w:w="2160"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Benchmark table with 3–4 models</w:t>
            </w:r>
          </w:p>
        </w:tc>
        <w:tc>
          <w:tcPr>
            <w:tcW w:w="2160"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Clarifies whether XGBoost is genuinely sufficient</w:t>
            </w:r>
          </w:p>
        </w:tc>
      </w:tr>
      <w:tr>
        <w:trPr/>
        <w:tc>
          <w:tcPr>
            <w:tcW w:w="2160" w:type="dxa"/>
            <w:tcBorders/>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Phase 4</w:t>
              <w:br/>
              <w:t>(Days 21–30)</w:t>
            </w:r>
          </w:p>
        </w:tc>
        <w:tc>
          <w:tcPr>
            <w:tcW w:w="216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L6: Market simulation</w:t>
              <w:br/>
              <w:t>L7: Derating/RL</w:t>
            </w:r>
          </w:p>
        </w:tc>
        <w:tc>
          <w:tcPr>
            <w:tcW w:w="216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End-to-end economic evaluation; continuous policy</w:t>
            </w:r>
          </w:p>
        </w:tc>
        <w:tc>
          <w:tcPr>
            <w:tcW w:w="216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Transforms research code into a decision-support tool</w:t>
            </w:r>
          </w:p>
        </w:tc>
      </w:tr>
    </w:tbl>
    <w:p>
      <w:pPr>
        <w:pStyle w:val="Normal"/>
        <w:rPr/>
      </w:pPr>
      <w:r>
        <w:rPr/>
      </w:r>
    </w:p>
    <w:p>
      <w:pPr>
        <w:pStyle w:val="Normal"/>
        <w:rPr/>
      </w:pPr>
      <w:r>
        <w:rPr/>
        <w:t>Each phase is designed to be self-contained: the output of Phase 1 can be published as a corrigendum or extension, even if later phases are deferred.</w:t>
      </w:r>
    </w:p>
    <w:p>
      <w:pPr>
        <w:pStyle w:val="Normal"/>
        <w:rPr/>
      </w:pPr>
      <w:r>
        <w:rPr/>
      </w:r>
      <w:r>
        <w:br w:type="page"/>
      </w:r>
    </w:p>
    <w:p>
      <w:pPr>
        <w:pStyle w:val="Heading1"/>
        <w:spacing w:before="0" w:after="0"/>
        <w:rPr/>
      </w:pPr>
      <w:r>
        <w:rPr/>
        <w:t>5. Concluding Remarks</w:t>
      </w:r>
    </w:p>
    <w:p>
      <w:pPr>
        <w:pStyle w:val="Normal"/>
        <w:rPr/>
      </w:pPr>
      <w:r>
        <w:rPr/>
        <w:t>The multihorizon hazard-learning framework proposed by Shikdar &amp; Laaksonen (2026) represents a meaningful shift from lifetime prediction to operational reliability estimation. The seven limitations identified here are characteristic of a first proposal: they constrain the scope but do not invalidate the core idea.</w:t>
      </w:r>
    </w:p>
    <w:p>
      <w:pPr>
        <w:pStyle w:val="Normal"/>
        <w:rPr/>
      </w:pPr>
      <w:r>
        <w:rPr/>
        <w:t>Addressing them in the order proposed would progressively transform the framework from a methodologically sound proof-of-concept into a practically deployable decision-support system. The most impactful single change is broadening the experimental basis (L4 + L5: multiple chemistries and field-realistic data), while the most technically ambitious change is moving from binary thresholds to continuous or learned dispatch policies (L7).</w:t>
      </w:r>
    </w:p>
    <w:p>
      <w:pPr>
        <w:pStyle w:val="Normal"/>
        <w:widowControl/>
        <w:bidi w:val="0"/>
        <w:spacing w:lineRule="auto" w:line="276" w:before="0" w:after="120"/>
        <w:jc w:val="start"/>
        <w:rPr/>
      </w:pPr>
      <w:r>
        <w:rPr/>
        <w:t>We recommend that the authors (or follow-up work) pursue at minimum Phases 1 and 2 before any field deployment, as these address the most significant threats to external validity.</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20"/>
      <w:jc w:val="star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1B3A5C"/>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1B3A5C"/>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1B3A5C"/>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LibreOffice/26.2.3.2$Linux_X86_64 LibreOffice_project/7d74455cffae7a589951233f185ae0303c082020</Application>
  <AppVersion>15.0000</AppVersion>
  <Pages>7</Pages>
  <Words>1978</Words>
  <Characters>12108</Characters>
  <CharactersWithSpaces>13925</CharactersWithSpaces>
  <Paragraphs>178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2026-06-03T19:41:39Z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