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32"/>
        </w:rPr>
        <w:t>An Open Python Framework for Battery Operational Reliability Estimation</w:t>
      </w:r>
    </w:p>
    <w:p>
      <w:pPr>
        <w:spacing w:after="240" w:before="0"/>
        <w:jc w:val="center"/>
      </w:pPr>
      <w:r>
        <w:rPr>
          <w:rFonts w:ascii="Times New Roman" w:hAnsi="Times New Roman"/>
          <w:b w:val="0"/>
          <w:i w:val="0"/>
          <w:sz w:val="24"/>
        </w:rPr>
        <w:t>Author: Team Dynamic</w:t>
      </w:r>
    </w:p>
    <w:p>
      <w:pPr>
        <w:spacing w:after="120" w:before="240"/>
      </w:pPr>
      <w:r>
        <w:rPr>
          <w:rFonts w:ascii="Times New Roman" w:hAnsi="Times New Roman"/>
          <w:b/>
          <w:i w:val="0"/>
          <w:sz w:val="28"/>
        </w:rPr>
        <w:t>An Open Python Framework for Battery Operational Reliability Estimation</w:t>
      </w:r>
    </w:p>
    <w:p>
      <w:pPr>
        <w:spacing w:after="80" w:line="276" w:lineRule="auto"/>
      </w:pPr>
      <w:r>
        <w:rPr>
          <w:rFonts w:ascii="Times New Roman" w:hAnsi="Times New Roman"/>
          <w:sz w:val="22"/>
        </w:rPr>
      </w:r>
      <w:r>
        <w:rPr>
          <w:rFonts w:ascii="Times New Roman" w:hAnsi="Times New Roman"/>
          <w:b/>
          <w:sz w:val="22"/>
        </w:rPr>
        <w:t>Author:</w:t>
      </w:r>
      <w:r>
        <w:rPr>
          <w:rFonts w:ascii="Times New Roman" w:hAnsi="Times New Roman"/>
          <w:sz w:val="22"/>
        </w:rPr>
        <w:t xml:space="preserve"> Team Dynamic</w:t>
      </w:r>
    </w:p>
    <w:p>
      <w:pPr>
        <w:spacing w:after="120" w:before="160"/>
      </w:pPr>
      <w:r>
        <w:rPr>
          <w:rFonts w:ascii="Times New Roman" w:hAnsi="Times New Roman"/>
          <w:b/>
          <w:i w:val="0"/>
          <w:sz w:val="24"/>
        </w:rPr>
        <w:t>Abstract</w:t>
      </w:r>
    </w:p>
    <w:p>
      <w:pPr>
        <w:spacing w:after="80" w:line="276" w:lineRule="auto"/>
      </w:pPr>
      <w:r>
        <w:rPr>
          <w:rFonts w:ascii="Times New Roman" w:hAnsi="Times New Roman"/>
          <w:sz w:val="22"/>
        </w:rPr>
        <w:t>Shikdar and Laaksonen (2026) introduced a multihorizon discrete-time hazard framework for battery operational reliability, reporting AUC 0.944 on 37 cells. We present a reproducibility study with quantitative scaling guidelines for this framework. The package is validated on the NASA PCoE 4-cell dataset (AUC 0.46, near-random due to insufficient data) and extended with a Monte Carlo scaling study (20 seeds per N, bootstrap confidence intervals, DeLong significance tests). On synthetic data, discrimination improves from AUC 0.84 (N=2) to 0.97 (N=8) and plateaus at &gt;0.98 (N≥12), with diminishing returns beyond 8–12 cells. The curve shape is robust to SOH threshold choice (§4.2.1). A two-sample KS test confirms synthetic degradation distributions differ significantly from real NASA data (D=0.33, p&lt;0.001), establishing the curve as an optimistic upper bound. We document three methodological pitfalls encountered during implementation: calibration data leakage (+0.016 AUC on a working model), energy unit errors (1000× revenue overstatement), and inconsistent ablation baselines. The complete source code is available at https://github.com/teamdynamic/battery-reliability-extension (DOI: 10.5281/zenodo.20532600).</w:t>
      </w:r>
    </w:p>
    <w:p>
      <w:pPr>
        <w:spacing w:after="120" w:before="160"/>
      </w:pPr>
      <w:r>
        <w:rPr>
          <w:rFonts w:ascii="Times New Roman" w:hAnsi="Times New Roman"/>
          <w:b/>
          <w:i w:val="0"/>
          <w:sz w:val="24"/>
        </w:rPr>
        <w:t>1 Introduction</w:t>
      </w:r>
    </w:p>
    <w:p>
      <w:pPr>
        <w:spacing w:after="80" w:line="276" w:lineRule="auto"/>
      </w:pPr>
      <w:r>
        <w:rPr>
          <w:rFonts w:ascii="Times New Roman" w:hAnsi="Times New Roman"/>
          <w:sz w:val="22"/>
        </w:rPr>
        <w:t>Battery energy storage systems (BESSs) are critical for grid-scale renewable integration, providing frequency regulation, peak shaving, and ancillary services [1]. Shikdar and Laaksonen [2] reframed battery prognostics from lifetime prediction to operational reliability estimation: instead of predicting remaining useful life, their multihorizon discrete-time hazard model predicts the probability of failure within a given service window. They reported AUC 0.944 before calibration (20-cycle horizon) across 37 lithium-ion cells using leave-battery-out cross-validation.</w:t>
      </w:r>
    </w:p>
    <w:p>
      <w:pPr>
        <w:spacing w:after="80" w:line="276" w:lineRule="auto"/>
      </w:pPr>
      <w:r>
        <w:rPr>
          <w:rFonts w:ascii="Times New Roman" w:hAnsi="Times New Roman"/>
          <w:sz w:val="22"/>
        </w:rPr>
        <w:t>This paper makes three contributions:</w:t>
      </w:r>
    </w:p>
    <w:p>
      <w:pPr>
        <w:spacing w:after="40"/>
        <w:ind w:left="567"/>
      </w:pPr>
      <w:r>
        <w:rPr>
          <w:rFonts w:ascii="Times New Roman" w:hAnsi="Times New Roman"/>
          <w:sz w:val="22"/>
        </w:rPr>
        <w:t>• **A reproducibility study with quantitative scaling guidelines** for the Shikdar–Laaksonen framework. We implement the complete pipeline and perform a controlled Monte Carlo scaling study (20 seeds per N, bootstrap confidence intervals) that establishes the relationship between dataset size and model discrimination.</w:t>
      </w:r>
    </w:p>
    <w:p>
      <w:pPr>
        <w:spacing w:after="40"/>
        <w:ind w:left="567"/>
      </w:pPr>
      <w:r>
        <w:rPr>
          <w:rFonts w:ascii="Times New Roman" w:hAnsi="Times New Roman"/>
          <w:sz w:val="22"/>
        </w:rPr>
        <w:t>• **A quantitative scaling curve** showing that AUC improves rapidly from N=2 to N=8 and plateaus above N=12, with diminishing returns beyond 8–12 cells. Statistical significance (DeLong test) confirms that adjacent N values produce meaningfully different AUCs. We validate the curve's robustness to SOH threshold choice and provide bootstrap CIs.</w:t>
      </w:r>
    </w:p>
    <w:p>
      <w:pPr>
        <w:spacing w:after="40"/>
        <w:ind w:left="567"/>
      </w:pPr>
      <w:r>
        <w:rPr>
          <w:rFonts w:ascii="Times New Roman" w:hAnsi="Times New Roman"/>
          <w:sz w:val="22"/>
        </w:rPr>
        <w:t>• **Documentation of three methodological pitfalls** encountered during implementation — calibration data leakage, energy unit errors, and inconsistent ablation baselines — each demonstrated with quantitative impact on a working model.</w:t>
      </w:r>
    </w:p>
    <w:p>
      <w:pPr>
        <w:spacing w:after="80" w:line="276" w:lineRule="auto"/>
      </w:pPr>
      <w:r>
        <w:rPr>
          <w:rFonts w:ascii="Times New Roman" w:hAnsi="Times New Roman"/>
          <w:sz w:val="22"/>
        </w:rPr>
        <w:t>All code, data, and results are publicly available at https://github.com/teamdynamic/battery-reliability-extension (DOI: 10.5281/zenodo.20532600).</w:t>
      </w:r>
    </w:p>
    <w:p>
      <w:pPr>
        <w:spacing w:after="120" w:before="160"/>
      </w:pPr>
      <w:r>
        <w:rPr>
          <w:rFonts w:ascii="Times New Roman" w:hAnsi="Times New Roman"/>
          <w:b/>
          <w:i w:val="0"/>
          <w:sz w:val="24"/>
        </w:rPr>
        <w:t>2 Related Work</w:t>
      </w:r>
    </w:p>
    <w:p>
      <w:pPr>
        <w:spacing w:after="120" w:before="160"/>
      </w:pPr>
      <w:r>
        <w:rPr>
          <w:rFonts w:ascii="Times New Roman" w:hAnsi="Times New Roman"/>
          <w:b/>
          <w:i w:val="0"/>
          <w:sz w:val="22"/>
        </w:rPr>
        <w:t>2.1 Battery Machine Learning Software</w:t>
      </w:r>
    </w:p>
    <w:p>
      <w:pPr>
        <w:spacing w:after="80" w:line="276" w:lineRule="auto"/>
      </w:pPr>
      <w:r>
        <w:rPr>
          <w:rFonts w:ascii="Times New Roman" w:hAnsi="Times New Roman"/>
          <w:sz w:val="22"/>
        </w:rPr>
        <w:t xml:space="preserve">Several open-source frameworks support battery ML research. </w:t>
      </w:r>
      <w:r>
        <w:rPr>
          <w:rFonts w:ascii="Times New Roman" w:hAnsi="Times New Roman"/>
          <w:b/>
          <w:sz w:val="22"/>
        </w:rPr>
        <w:t>BatteryML</w:t>
      </w:r>
      <w:r>
        <w:rPr>
          <w:rFonts w:ascii="Times New Roman" w:hAnsi="Times New Roman"/>
          <w:sz w:val="22"/>
        </w:rPr>
        <w:t xml:space="preserve"> [3] provides a taxonomy-driven pipeline for battery degradation modeling with built-in benchmark datasets and model zoo. </w:t>
      </w:r>
      <w:r>
        <w:rPr>
          <w:rFonts w:ascii="Times New Roman" w:hAnsi="Times New Roman"/>
          <w:b/>
          <w:sz w:val="22"/>
        </w:rPr>
        <w:t>PyBaMM</w:t>
      </w:r>
      <w:r>
        <w:rPr>
          <w:rFonts w:ascii="Times New Roman" w:hAnsi="Times New Roman"/>
          <w:sz w:val="22"/>
        </w:rPr>
        <w:t xml:space="preserve"> [4] focuses on electrochemical physics-based simulation rather than data-driven prognostics. </w:t>
      </w:r>
      <w:r>
        <w:rPr>
          <w:rFonts w:ascii="Times New Roman" w:hAnsi="Times New Roman"/>
          <w:b/>
          <w:sz w:val="22"/>
        </w:rPr>
        <w:t>BEEP</w:t>
      </w:r>
      <w:r>
        <w:rPr>
          <w:rFonts w:ascii="Times New Roman" w:hAnsi="Times New Roman"/>
          <w:sz w:val="22"/>
        </w:rPr>
        <w:t xml:space="preserve"> [5] processes cycling data into featurized formats for cycle-life prediction. Our package differs from these by implementing the complete operational reliability pipeline — from hazard modeling through dispatch to market simulation — as a modular, experiment-driven framework.</w:t>
      </w:r>
    </w:p>
    <w:p>
      <w:pPr>
        <w:spacing w:after="120" w:before="160"/>
      </w:pPr>
      <w:r>
        <w:rPr>
          <w:rFonts w:ascii="Times New Roman" w:hAnsi="Times New Roman"/>
          <w:b/>
          <w:i w:val="0"/>
          <w:sz w:val="22"/>
        </w:rPr>
        <w:t>2.2 Scaling Laws in Machine Learning</w:t>
      </w:r>
    </w:p>
    <w:p>
      <w:pPr>
        <w:spacing w:after="80" w:line="276" w:lineRule="auto"/>
      </w:pPr>
      <w:r>
        <w:rPr>
          <w:rFonts w:ascii="Times New Roman" w:hAnsi="Times New Roman"/>
          <w:sz w:val="22"/>
        </w:rPr>
        <w:t>The relationship between training data volume and model performance is well studied in supervised learning. Kaplan et al. [6] demonstrated power-law scaling of language model perplexity with dataset size. In medical imaging, Cho et al. [7] showed that AUC improves log-linearly with training set size for deep learning classifiers. To our knowledge, no prior work has established a quantitative scaling curve for battery operational reliability models, which is the primary contribution of this study.</w:t>
      </w:r>
    </w:p>
    <w:p>
      <w:pPr>
        <w:spacing w:after="120" w:before="160"/>
      </w:pPr>
      <w:r>
        <w:rPr>
          <w:rFonts w:ascii="Times New Roman" w:hAnsi="Times New Roman"/>
          <w:b/>
          <w:i w:val="0"/>
          <w:sz w:val="22"/>
        </w:rPr>
        <w:t>2.3 Reproducibility in Battery Prognostics</w:t>
      </w:r>
    </w:p>
    <w:p>
      <w:pPr>
        <w:spacing w:after="80" w:line="276" w:lineRule="auto"/>
      </w:pPr>
      <w:r>
        <w:rPr>
          <w:rFonts w:ascii="Times New Roman" w:hAnsi="Times New Roman"/>
          <w:sz w:val="22"/>
        </w:rPr>
        <w:t>Reproducibility challenges in battery ML have been highlighted by multiple authors [8, 9]. Ibraheem et al. [10] noted that variations in cross-validation strategy and failure definition can produce AUC differences exceeding 0.10 on the same dataset. Severson et al. [11] established the importance of standardized data processing for cycle-life prediction. Our work contributes to this stream by documenting three specific methodological pitfalls and their quantitative impact.</w:t>
      </w:r>
    </w:p>
    <w:p>
      <w:pPr>
        <w:spacing w:after="120" w:before="160"/>
      </w:pPr>
      <w:r>
        <w:rPr>
          <w:rFonts w:ascii="Times New Roman" w:hAnsi="Times New Roman"/>
          <w:b/>
          <w:i w:val="0"/>
          <w:sz w:val="24"/>
        </w:rPr>
        <w:t>3 The Framework</w:t>
      </w:r>
    </w:p>
    <w:p>
      <w:pPr>
        <w:spacing w:after="120" w:before="160"/>
      </w:pPr>
      <w:r>
        <w:rPr>
          <w:rFonts w:ascii="Times New Roman" w:hAnsi="Times New Roman"/>
          <w:b/>
          <w:i w:val="0"/>
          <w:sz w:val="22"/>
        </w:rPr>
        <w:t>2.1 Software Architecture</w:t>
      </w:r>
    </w:p>
    <w:p>
      <w:pPr>
        <w:spacing w:after="80" w:line="276" w:lineRule="auto"/>
      </w:pPr>
      <w:r>
        <w:rPr>
          <w:rFonts w:ascii="Times New Roman" w:hAnsi="Times New Roman"/>
          <w:sz w:val="22"/>
        </w:rPr>
        <w:t>The framework is organized into five layers: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b/>
                <w:sz w:val="20"/>
              </w:rPr>
              <w:t>Layer</w:t>
            </w:r>
          </w:p>
        </w:tc>
        <w:tc>
          <w:tcPr>
            <w:tcW w:type="dxa" w:w="2351"/>
          </w:tcPr>
          <w:p>
            <w:pPr>
              <w:jc w:val="center"/>
            </w:pPr>
            <w:r/>
            <w:r>
              <w:rPr>
                <w:rFonts w:ascii="Times New Roman" w:hAnsi="Times New Roman"/>
                <w:b/>
                <w:sz w:val="20"/>
              </w:rPr>
              <w:t>Modules</w:t>
            </w:r>
          </w:p>
        </w:tc>
        <w:tc>
          <w:tcPr>
            <w:tcW w:type="dxa" w:w="2351"/>
          </w:tcPr>
          <w:p>
            <w:pPr>
              <w:jc w:val="center"/>
            </w:pPr>
            <w:r/>
            <w:r>
              <w:rPr>
                <w:rFonts w:ascii="Times New Roman" w:hAnsi="Times New Roman"/>
                <w:b/>
                <w:sz w:val="20"/>
              </w:rPr>
              <w:t>Key Classes</w:t>
            </w:r>
          </w:p>
        </w:tc>
        <w:tc>
          <w:tcPr>
            <w:tcW w:type="dxa" w:w="2351"/>
          </w:tcPr>
          <w:p>
            <w:pPr>
              <w:jc w:val="center"/>
            </w:pPr>
            <w:r/>
            <w:r>
              <w:rPr>
                <w:rFonts w:ascii="Times New Roman" w:hAnsi="Times New Roman"/>
                <w:b/>
                <w:sz w:val="20"/>
              </w:rPr>
              <w:t>Responsibility</w:t>
            </w:r>
          </w:p>
        </w:tc>
      </w:tr>
      <w:tr>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r>
      <w:tr>
        <w:tc>
          <w:tcPr>
            <w:tcW w:type="dxa" w:w="2351"/>
          </w:tcPr>
          <w:p>
            <w:r/>
            <w:r>
              <w:rPr>
                <w:rFonts w:ascii="Times New Roman" w:hAnsi="Times New Roman"/>
                <w:sz w:val="20"/>
              </w:rPr>
              <w:t>Data</w:t>
            </w:r>
          </w:p>
        </w:tc>
        <w:tc>
          <w:tcPr>
            <w:tcW w:type="dxa" w:w="2351"/>
          </w:tcPr>
          <w:p>
            <w:r/>
            <w:r>
              <w:rPr>
                <w:rFonts w:ascii="Times New Roman" w:hAnsi="Times New Roman"/>
                <w:sz w:val="20"/>
              </w:rPr>
              <w:t>`nasa.py`, `calce.py`, `synthetic.py`, `composite_failure.py`, `augmentation.py`</w:t>
            </w:r>
          </w:p>
        </w:tc>
        <w:tc>
          <w:tcPr>
            <w:tcW w:type="dxa" w:w="2351"/>
          </w:tcPr>
          <w:p>
            <w:r/>
            <w:r>
              <w:rPr>
                <w:rFonts w:ascii="Times New Roman" w:hAnsi="Times New Roman"/>
                <w:sz w:val="20"/>
              </w:rPr>
              <w:t>`NASALoader`, `CALCELoader`, `CompositeFailureLabeler`, `OperationalAugmenter`</w:t>
            </w:r>
          </w:p>
        </w:tc>
        <w:tc>
          <w:tcPr>
            <w:tcW w:type="dxa" w:w="2351"/>
          </w:tcPr>
          <w:p>
            <w:r/>
            <w:r>
              <w:rPr>
                <w:rFonts w:ascii="Times New Roman" w:hAnsi="Times New Roman"/>
                <w:sz w:val="20"/>
              </w:rPr>
              <w:t>Load, parse, label, and augment battery cycling data</w:t>
            </w:r>
          </w:p>
        </w:tc>
      </w:tr>
      <w:tr>
        <w:tc>
          <w:tcPr>
            <w:tcW w:type="dxa" w:w="2351"/>
          </w:tcPr>
          <w:p>
            <w:r/>
            <w:r>
              <w:rPr>
                <w:rFonts w:ascii="Times New Roman" w:hAnsi="Times New Roman"/>
                <w:sz w:val="20"/>
              </w:rPr>
              <w:t>Model</w:t>
            </w:r>
          </w:p>
        </w:tc>
        <w:tc>
          <w:tcPr>
            <w:tcW w:type="dxa" w:w="2351"/>
          </w:tcPr>
          <w:p>
            <w:r/>
            <w:r>
              <w:rPr>
                <w:rFonts w:ascii="Times New Roman" w:hAnsi="Times New Roman"/>
                <w:sz w:val="20"/>
              </w:rPr>
              <w:t>`xgboost_hazard.py`, `calibration.py`</w:t>
            </w:r>
          </w:p>
        </w:tc>
        <w:tc>
          <w:tcPr>
            <w:tcW w:type="dxa" w:w="2351"/>
          </w:tcPr>
          <w:p>
            <w:r/>
            <w:r>
              <w:rPr>
                <w:rFonts w:ascii="Times New Roman" w:hAnsi="Times New Roman"/>
                <w:sz w:val="20"/>
              </w:rPr>
              <w:t>`XGBoostHazard`, `ProbabilityCalibrator`</w:t>
            </w:r>
          </w:p>
        </w:tc>
        <w:tc>
          <w:tcPr>
            <w:tcW w:type="dxa" w:w="2351"/>
          </w:tcPr>
          <w:p>
            <w:r/>
            <w:r>
              <w:rPr>
                <w:rFonts w:ascii="Times New Roman" w:hAnsi="Times New Roman"/>
                <w:sz w:val="20"/>
              </w:rPr>
              <w:t>Train hazard models and calibrate probabilities</w:t>
            </w:r>
          </w:p>
        </w:tc>
      </w:tr>
      <w:tr>
        <w:tc>
          <w:tcPr>
            <w:tcW w:type="dxa" w:w="2351"/>
          </w:tcPr>
          <w:p>
            <w:r/>
            <w:r>
              <w:rPr>
                <w:rFonts w:ascii="Times New Roman" w:hAnsi="Times New Roman"/>
                <w:sz w:val="20"/>
              </w:rPr>
              <w:t>Dispatch</w:t>
            </w:r>
          </w:p>
        </w:tc>
        <w:tc>
          <w:tcPr>
            <w:tcW w:type="dxa" w:w="2351"/>
          </w:tcPr>
          <w:p>
            <w:r/>
            <w:r>
              <w:rPr>
                <w:rFonts w:ascii="Times New Roman" w:hAnsi="Times New Roman"/>
                <w:sz w:val="20"/>
              </w:rPr>
              <w:t>`threshold.py`, `derating.py`, `market_sim.py`</w:t>
            </w:r>
          </w:p>
        </w:tc>
        <w:tc>
          <w:tcPr>
            <w:tcW w:type="dxa" w:w="2351"/>
          </w:tcPr>
          <w:p>
            <w:r/>
            <w:r>
              <w:rPr>
                <w:rFonts w:ascii="Times New Roman" w:hAnsi="Times New Roman"/>
                <w:sz w:val="20"/>
              </w:rPr>
              <w:t>`ThresholdPolicy`, `ContinuousDeratingPolicy`, `MarketSimulator`</w:t>
            </w:r>
          </w:p>
        </w:tc>
        <w:tc>
          <w:tcPr>
            <w:tcW w:type="dxa" w:w="2351"/>
          </w:tcPr>
          <w:p>
            <w:r/>
            <w:r>
              <w:rPr>
                <w:rFonts w:ascii="Times New Roman" w:hAnsi="Times New Roman"/>
                <w:sz w:val="20"/>
              </w:rPr>
              <w:t>Convert risk estimates to operational decisions</w:t>
            </w:r>
          </w:p>
        </w:tc>
      </w:tr>
      <w:tr>
        <w:tc>
          <w:tcPr>
            <w:tcW w:type="dxa" w:w="2351"/>
          </w:tcPr>
          <w:p>
            <w:r/>
            <w:r>
              <w:rPr>
                <w:rFonts w:ascii="Times New Roman" w:hAnsi="Times New Roman"/>
                <w:sz w:val="20"/>
              </w:rPr>
              <w:t>Evaluation</w:t>
            </w:r>
          </w:p>
        </w:tc>
        <w:tc>
          <w:tcPr>
            <w:tcW w:type="dxa" w:w="2351"/>
          </w:tcPr>
          <w:p>
            <w:r/>
            <w:r>
              <w:rPr>
                <w:rFonts w:ascii="Times New Roman" w:hAnsi="Times New Roman"/>
                <w:sz w:val="20"/>
              </w:rPr>
              <w:t>`metrics.py`, `cross_validation.py`, `visualization.py`</w:t>
            </w:r>
          </w:p>
        </w:tc>
        <w:tc>
          <w:tcPr>
            <w:tcW w:type="dxa" w:w="2351"/>
          </w:tcPr>
          <w:p>
            <w:r/>
            <w:r>
              <w:rPr>
                <w:rFonts w:ascii="Times New Roman" w:hAnsi="Times New Roman"/>
                <w:sz w:val="20"/>
              </w:rPr>
              <w:t>—</w:t>
            </w:r>
          </w:p>
        </w:tc>
        <w:tc>
          <w:tcPr>
            <w:tcW w:type="dxa" w:w="2351"/>
          </w:tcPr>
          <w:p>
            <w:r/>
            <w:r>
              <w:rPr>
                <w:rFonts w:ascii="Times New Roman" w:hAnsi="Times New Roman"/>
                <w:sz w:val="20"/>
              </w:rPr>
              <w:t>Compute metrics, perform CV, generate plots</w:t>
            </w:r>
          </w:p>
        </w:tc>
      </w:tr>
      <w:tr>
        <w:tc>
          <w:tcPr>
            <w:tcW w:type="dxa" w:w="2351"/>
          </w:tcPr>
          <w:p>
            <w:r/>
            <w:r>
              <w:rPr>
                <w:rFonts w:ascii="Times New Roman" w:hAnsi="Times New Roman"/>
                <w:sz w:val="20"/>
              </w:rPr>
              <w:t>Experiments</w:t>
            </w:r>
          </w:p>
        </w:tc>
        <w:tc>
          <w:tcPr>
            <w:tcW w:type="dxa" w:w="2351"/>
          </w:tcPr>
          <w:p>
            <w:r/>
            <w:r>
              <w:rPr>
                <w:rFonts w:ascii="Times New Roman" w:hAnsi="Times New Roman"/>
                <w:sz w:val="20"/>
              </w:rPr>
              <w:t>`run_all.py`, `config.yaml`</w:t>
            </w:r>
          </w:p>
        </w:tc>
        <w:tc>
          <w:tcPr>
            <w:tcW w:type="dxa" w:w="2351"/>
          </w:tcPr>
          <w:p>
            <w:r/>
            <w:r>
              <w:rPr>
                <w:rFonts w:ascii="Times New Roman" w:hAnsi="Times New Roman"/>
                <w:sz w:val="20"/>
              </w:rPr>
              <w:t>—</w:t>
            </w:r>
          </w:p>
        </w:tc>
        <w:tc>
          <w:tcPr>
            <w:tcW w:type="dxa" w:w="2351"/>
          </w:tcPr>
          <w:p>
            <w:r/>
            <w:r>
              <w:rPr>
                <w:rFonts w:ascii="Times New Roman" w:hAnsi="Times New Roman"/>
                <w:sz w:val="20"/>
              </w:rPr>
              <w:t>Orchestrate reproducible experiments via single config</w:t>
            </w:r>
          </w:p>
        </w:tc>
      </w:tr>
    </w:tbl>
    <w:p>
      <w:pPr>
        <w:spacing w:after="80"/>
      </w:pPr>
    </w:p>
    <w:p>
      <w:pPr>
        <w:spacing w:after="80" w:line="276" w:lineRule="auto"/>
      </w:pPr>
      <w:r>
        <w:rPr>
          <w:rFonts w:ascii="Times New Roman" w:hAnsi="Times New Roman"/>
          <w:sz w:val="22"/>
        </w:rPr>
      </w:r>
      <w:r>
        <w:rPr>
          <w:rFonts w:ascii="Times New Roman" w:hAnsi="Times New Roman"/>
          <w:b/>
          <w:sz w:val="22"/>
        </w:rPr>
        <w:t>Total: 12 classes across 5 modules.</w:t>
      </w:r>
      <w:r>
        <w:rPr>
          <w:rFonts w:ascii="Times New Roman" w:hAnsi="Times New Roman"/>
          <w:sz w:val="22"/>
        </w:rPr>
      </w:r>
    </w:p>
    <w:p>
      <w:pPr>
        <w:spacing w:after="120" w:before="160"/>
      </w:pPr>
      <w:r>
        <w:rPr>
          <w:rFonts w:ascii="Times New Roman" w:hAnsi="Times New Roman"/>
          <w:b/>
          <w:i w:val="0"/>
          <w:sz w:val="22"/>
        </w:rPr>
        <w:t>2.2 Data Layer</w:t>
      </w:r>
    </w:p>
    <w:p>
      <w:pPr>
        <w:spacing w:after="80" w:line="276" w:lineRule="auto"/>
      </w:pPr>
      <w:r>
        <w:rPr>
          <w:rFonts w:ascii="Times New Roman" w:hAnsi="Times New Roman"/>
          <w:sz w:val="22"/>
        </w:rPr>
        <w:t>`NASALoader` parses NASA PCoE .mat files into normalized DataFrames with columns for capacity, voltage, current, temperature, and derived features (SOH, differentials, moving averages). `CompositeFailureLabeler` supports both single-criterion (SOH &lt; 0.70) and multi-criteria (SOH + sudden capacity drop) failure definitions. `OperationalAugmenter` generates synthetic operational profiles.</w:t>
      </w:r>
    </w:p>
    <w:p>
      <w:pPr>
        <w:spacing w:after="120" w:before="160"/>
      </w:pPr>
      <w:r>
        <w:rPr>
          <w:rFonts w:ascii="Times New Roman" w:hAnsi="Times New Roman"/>
          <w:b/>
          <w:i w:val="0"/>
          <w:sz w:val="22"/>
        </w:rPr>
        <w:t>2.3 Model Layer</w:t>
      </w:r>
    </w:p>
    <w:p>
      <w:pPr>
        <w:spacing w:after="80" w:line="276" w:lineRule="auto"/>
      </w:pPr>
      <w:r>
        <w:rPr>
          <w:rFonts w:ascii="Times New Roman" w:hAnsi="Times New Roman"/>
          <w:sz w:val="22"/>
        </w:rPr>
        <w:t>`XGBoostHazard` wraps `sklearn.multioutput.MultiOutputClassifier` with per-horizon `xgboost.XGBClassifier` estimators using early stopping (patience=20). The model is trained on 80% of each training fold; the remaining 20% is held out for early stopping and calibrator fitting.</w:t>
      </w:r>
    </w:p>
    <w:p>
      <w:pPr>
        <w:spacing w:after="80" w:line="276" w:lineRule="auto"/>
      </w:pPr>
      <w:r>
        <w:rPr>
          <w:rFonts w:ascii="Times New Roman" w:hAnsi="Times New Roman"/>
          <w:sz w:val="22"/>
        </w:rPr>
        <w:t>`ProbabilityCalibrator` applies isotonic regression on the held-out validation set, not the test set. This distinction is critical: fitting the calibrator on test data (calibration leakage) can artificially inflate calibration metrics and is discussed in Section 6.</w:t>
      </w:r>
    </w:p>
    <w:p>
      <w:pPr>
        <w:spacing w:after="120" w:before="160"/>
      </w:pPr>
      <w:r>
        <w:rPr>
          <w:rFonts w:ascii="Times New Roman" w:hAnsi="Times New Roman"/>
          <w:b/>
          <w:i w:val="0"/>
          <w:sz w:val="22"/>
        </w:rPr>
        <w:t>2.4 Dispatch Layer</w:t>
      </w:r>
    </w:p>
    <w:p>
      <w:pPr>
        <w:spacing w:after="80" w:line="276" w:lineRule="auto"/>
      </w:pPr>
      <w:r>
        <w:rPr>
          <w:rFonts w:ascii="Times New Roman" w:hAnsi="Times New Roman"/>
          <w:sz w:val="22"/>
        </w:rPr>
        <w:t>`ThresholdPolicy` implements binary accept/reject: dispatch only if $P(\text{fail}) &lt; \tau$. `ContinuousDeratingPolicy` applies smooth energy derating: $E_{\text{delivered}} = E_{\text{requested}} \cdot (1 - P(\text{fail}))^\alpha$. `MarketSimulator` runs Monte Carlo scenarios with an AR(1) price process, accounting for both service revenue and failure penalties.</w:t>
      </w:r>
    </w:p>
    <w:p>
      <w:pPr>
        <w:spacing w:after="120" w:before="160"/>
      </w:pPr>
      <w:r>
        <w:rPr>
          <w:rFonts w:ascii="Times New Roman" w:hAnsi="Times New Roman"/>
          <w:b/>
          <w:i w:val="0"/>
          <w:sz w:val="22"/>
        </w:rPr>
        <w:t>2.5 Evaluation Layer</w:t>
      </w:r>
    </w:p>
    <w:p>
      <w:pPr>
        <w:spacing w:after="80" w:line="276" w:lineRule="auto"/>
      </w:pPr>
      <w:r>
        <w:rPr>
          <w:rFonts w:ascii="Times New Roman" w:hAnsi="Times New Roman"/>
          <w:sz w:val="22"/>
        </w:rPr>
        <w:t>`leave_battery_out_cv` performs strict leave-one-battery-out cross-validation. For tree-based models (XGBoost), flat 2D features are used. For sequence models (LSTM, TCN, Transformer), 3D sliding windows are constructed. `compute_metrics` calculates AUC, Brier score, and expected calibration error (ECE) per horizon and macro-averaged. Macro-averaged AUC is computed as the unweighted mean of per-horizon AUCs across H ∈ {10, 20, 30, 50} cycles.</w:t>
      </w:r>
    </w:p>
    <w:p>
      <w:pPr>
        <w:spacing w:after="120" w:before="160"/>
      </w:pPr>
      <w:r>
        <w:rPr>
          <w:rFonts w:ascii="Times New Roman" w:hAnsi="Times New Roman"/>
          <w:b/>
          <w:i w:val="0"/>
          <w:sz w:val="22"/>
        </w:rPr>
        <w:t>2.6 Reproducibility Design</w:t>
      </w:r>
    </w:p>
    <w:p>
      <w:pPr>
        <w:spacing w:after="80" w:line="276" w:lineRule="auto"/>
      </w:pPr>
      <w:r>
        <w:rPr>
          <w:rFonts w:ascii="Times New Roman" w:hAnsi="Times New Roman"/>
          <w:sz w:val="22"/>
        </w:rPr>
        <w:t>All experiments are configured via a single `config.yaml` file: 110 lines controlling all hyperparameters, data paths, and experimental modes. The `run_all.py` entry point supports `--quick` (XGBoost only, &lt; 10 seconds per run) and `--full` (including deep learning models) modes. Results are saved as timestamped JSON files. A synthetic data fallback ensures the pipeline runs without external data dependencies. A complete usage example is provided in the repository README and can be run with `python run_all.py --quick --synthetic` to verify the installation.</w:t>
      </w:r>
    </w:p>
    <w:p>
      <w:pPr>
        <w:spacing w:after="120" w:before="160"/>
      </w:pPr>
      <w:r>
        <w:rPr>
          <w:rFonts w:ascii="Times New Roman" w:hAnsi="Times New Roman"/>
          <w:b/>
          <w:i w:val="0"/>
          <w:sz w:val="24"/>
        </w:rPr>
        <w:t>4 Synthetic Data Generator</w:t>
      </w:r>
    </w:p>
    <w:p>
      <w:pPr>
        <w:spacing w:after="120" w:before="160"/>
      </w:pPr>
      <w:r>
        <w:rPr>
          <w:rFonts w:ascii="Times New Roman" w:hAnsi="Times New Roman"/>
          <w:b/>
          <w:i w:val="0"/>
          <w:sz w:val="22"/>
        </w:rPr>
        <w:t>4.1 Degradation Model</w:t>
      </w:r>
    </w:p>
    <w:p>
      <w:pPr>
        <w:spacing w:after="80" w:line="276" w:lineRule="auto"/>
      </w:pPr>
      <w:r>
        <w:rPr>
          <w:rFonts w:ascii="Times New Roman" w:hAnsi="Times New Roman"/>
          <w:sz w:val="22"/>
        </w:rPr>
        <w:t>The synthetic generator creates realistic capacity fade trajectories using a piecewise model:</w:t>
      </w:r>
    </w:p>
    <w:p>
      <w:pPr>
        <w:spacing w:after="40"/>
        <w:ind w:left="567"/>
      </w:pPr>
      <w:r>
        <w:rPr>
          <w:rFonts w:ascii="Times New Roman" w:hAnsi="Times New Roman"/>
          <w:sz w:val="22"/>
        </w:rPr>
        <w:t>• **Linear phase:** For cycles before the acceleration point $t_{\text{accel}} = \text{EOL} - 25$, capacity fades linearly with cell-specific rate $f_i$:</w:t>
      </w:r>
    </w:p>
    <w:p>
      <w:pPr>
        <w:spacing w:after="80" w:line="276" w:lineRule="auto"/>
      </w:pPr>
      <w:r>
        <w:rPr>
          <w:rFonts w:ascii="Times New Roman" w:hAnsi="Times New Roman"/>
          <w:sz w:val="22"/>
        </w:rPr>
        <w:t>$$C_i(t) = C_0 \cdot (1 - f_i \cdot t)$$ where $t$ is the cycle number</w:t>
      </w:r>
    </w:p>
    <w:p>
      <w:pPr>
        <w:spacing w:after="40"/>
        <w:ind w:left="567"/>
      </w:pPr>
      <w:r>
        <w:rPr>
          <w:rFonts w:ascii="Times New Roman" w:hAnsi="Times New Roman"/>
          <w:sz w:val="22"/>
        </w:rPr>
        <w:t>• **Quadratic acceleration:** For cycles after $t_{\text{accel}}$, fade accelerates quadratically toward end of life:</w:t>
      </w:r>
    </w:p>
    <w:p>
      <w:pPr>
        <w:spacing w:after="80" w:line="276" w:lineRule="auto"/>
      </w:pPr>
      <w:r>
        <w:rPr>
          <w:rFonts w:ascii="Times New Roman" w:hAnsi="Times New Roman"/>
          <w:sz w:val="22"/>
        </w:rPr>
        <w:t>$$C_i(t) = C(t_{\text{accel}}) \cdot (1 - 0.20 \cdot p^2), \quad p = \frac{t - t_{\text{accel}}}{25}$$</w:t>
      </w:r>
    </w:p>
    <w:p>
      <w:pPr>
        <w:spacing w:after="40"/>
        <w:ind w:left="567"/>
      </w:pPr>
      <w:r>
        <w:rPr>
          <w:rFonts w:ascii="Times New Roman" w:hAnsi="Times New Roman"/>
          <w:sz w:val="22"/>
        </w:rPr>
        <w:t>• **Noise:** Cycle-to-cycle Gaussian noise $\mathcal{N}(0, 0.008)$ is added to each measurement.</w:t>
      </w:r>
    </w:p>
    <w:p>
      <w:pPr>
        <w:spacing w:after="120" w:before="160"/>
      </w:pPr>
      <w:r>
        <w:rPr>
          <w:rFonts w:ascii="Times New Roman" w:hAnsi="Times New Roman"/>
          <w:b/>
          <w:i w:val="0"/>
          <w:sz w:val="22"/>
        </w:rPr>
        <w:t>4.2 Cell-to-Cell Variability</w:t>
      </w:r>
    </w:p>
    <w:p>
      <w:pPr>
        <w:spacing w:after="80" w:line="276" w:lineRule="auto"/>
      </w:pPr>
      <w:r>
        <w:rPr>
          <w:rFonts w:ascii="Times New Roman" w:hAnsi="Times New Roman"/>
          <w:sz w:val="22"/>
        </w:rPr>
        <w:t>Cell-specific parameters are scaled across the population to ensure diversity at any dataset size:</w:t>
      </w:r>
    </w:p>
    <w:p>
      <w:pPr>
        <w:spacing w:after="40"/>
        <w:ind w:left="567"/>
      </w:pPr>
      <w:r>
        <w:rPr>
          <w:rFonts w:ascii="Times New Roman" w:hAnsi="Times New Roman"/>
          <w:sz w:val="22"/>
        </w:rPr>
        <w:t>• **Fade rate:** $f_i = 0.001 + 0.003 \cdot \frac{i}{N-1}$ for $i = 0, \ldots, N-1$, spanning slow to fast degradation</w:t>
      </w:r>
      <w:r>
        <w:rPr>
          <w:sz w:val="22"/>
        </w:rPr>
        <w:br/>
      </w:r>
      <w:r>
        <w:rPr>
          <w:rFonts w:ascii="Times New Roman" w:hAnsi="Times New Roman"/>
          <w:sz w:val="22"/>
        </w:rPr>
        <w:t>• **EOL point:** $\text{EOL}_i = 80 + 140 \cdot \frac{i}{N-1}$ cycles, ensuring EOL events are spread across the cycle range</w:t>
      </w:r>
      <w:r>
        <w:rPr>
          <w:sz w:val="22"/>
        </w:rPr>
        <w:br/>
      </w:r>
      <w:r>
        <w:rPr>
          <w:rFonts w:ascii="Times New Roman" w:hAnsi="Times New Roman"/>
          <w:sz w:val="22"/>
        </w:rPr>
        <w:t>• **Initial capacity:** $C_0 = 2.0 \pm 0.1$ Ah, sampled uniformly per cell</w:t>
      </w:r>
    </w:p>
    <w:p>
      <w:pPr>
        <w:spacing w:after="80" w:line="276" w:lineRule="auto"/>
      </w:pPr>
      <w:r>
        <w:rPr>
          <w:rFonts w:ascii="Times New Roman" w:hAnsi="Times New Roman"/>
          <w:sz w:val="22"/>
        </w:rPr>
        <w:t>This scaling ensures that small datasets (N=2) still contain diverse trajectories, while larger datasets add progressively more extreme examples. This design choice maximizes cell diversity at every dataset size, which means the resulting scaling curve is an optimistic upper bound — real-world datasets with correlated degradation (same chemistry, manufacturer, operating conditions) will require more cells to achieve equivalent AUC.</w:t>
      </w:r>
    </w:p>
    <w:p>
      <w:pPr>
        <w:spacing w:after="120" w:before="160"/>
      </w:pPr>
      <w:r>
        <w:rPr>
          <w:rFonts w:ascii="Times New Roman" w:hAnsi="Times New Roman"/>
          <w:b/>
          <w:i w:val="0"/>
          <w:sz w:val="22"/>
        </w:rPr>
        <w:t>4.3 Quantitative Comparison with Real Data</w:t>
      </w:r>
    </w:p>
    <w:p>
      <w:pPr>
        <w:spacing w:after="80" w:line="276" w:lineRule="auto"/>
      </w:pPr>
      <w:r>
        <w:rPr>
          <w:rFonts w:ascii="Times New Roman" w:hAnsi="Times New Roman"/>
          <w:sz w:val="22"/>
        </w:rPr>
        <w:t>We compare the degradation rate distributions of synthetic and real NASA data using a two-sample Kolmogorov–Smirnov (KS) test. The per-cycle SOH difference ($\Delta\text{SOH}_t = \text{SOH}_t - \text{SOH}_{t-1}$) captures the instantaneous degradation rate: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Times New Roman" w:hAnsi="Times New Roman"/>
                <w:b/>
                <w:sz w:val="20"/>
              </w:rPr>
              <w:t>Metric</w:t>
            </w:r>
          </w:p>
        </w:tc>
        <w:tc>
          <w:tcPr>
            <w:tcW w:type="dxa" w:w="1881"/>
          </w:tcPr>
          <w:p>
            <w:pPr>
              <w:jc w:val="center"/>
            </w:pPr>
            <w:r/>
            <w:r>
              <w:rPr>
                <w:rFonts w:ascii="Times New Roman" w:hAnsi="Times New Roman"/>
                <w:b/>
                <w:sz w:val="20"/>
              </w:rPr>
              <w:t>Real NASA</w:t>
            </w:r>
          </w:p>
        </w:tc>
        <w:tc>
          <w:tcPr>
            <w:tcW w:type="dxa" w:w="1881"/>
          </w:tcPr>
          <w:p>
            <w:pPr>
              <w:jc w:val="center"/>
            </w:pPr>
            <w:r/>
            <w:r>
              <w:rPr>
                <w:rFonts w:ascii="Times New Roman" w:hAnsi="Times New Roman"/>
                <w:b/>
                <w:sz w:val="20"/>
              </w:rPr>
              <w:t>Synthetic</w:t>
            </w:r>
          </w:p>
        </w:tc>
        <w:tc>
          <w:tcPr>
            <w:tcW w:type="dxa" w:w="1881"/>
          </w:tcPr>
          <w:p>
            <w:pPr>
              <w:jc w:val="center"/>
            </w:pPr>
            <w:r/>
            <w:r>
              <w:rPr>
                <w:rFonts w:ascii="Times New Roman" w:hAnsi="Times New Roman"/>
                <w:b/>
                <w:sz w:val="20"/>
              </w:rPr>
              <w:t>KS statistic</w:t>
            </w:r>
          </w:p>
        </w:tc>
        <w:tc>
          <w:tcPr>
            <w:tcW w:type="dxa" w:w="1881"/>
          </w:tcPr>
          <w:p>
            <w:pPr>
              <w:jc w:val="center"/>
            </w:pPr>
            <w:r/>
            <w:r>
              <w:rPr>
                <w:rFonts w:ascii="Times New Roman" w:hAnsi="Times New Roman"/>
                <w:b/>
                <w:sz w:val="20"/>
              </w:rPr>
              <w:t>p-value</w:t>
            </w:r>
          </w:p>
        </w:tc>
      </w:tr>
      <w:tr>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c>
          <w:tcPr>
            <w:tcW w:type="dxa" w:w="1881"/>
          </w:tcPr>
          <w:p>
            <w:r/>
            <w:r>
              <w:rPr>
                <w:rFonts w:ascii="Times New Roman" w:hAnsi="Times New Roman"/>
                <w:sz w:val="20"/>
              </w:rPr>
              <w:t>---------</w:t>
            </w:r>
          </w:p>
        </w:tc>
      </w:tr>
      <w:tr>
        <w:tc>
          <w:tcPr>
            <w:tcW w:type="dxa" w:w="1881"/>
          </w:tcPr>
          <w:p>
            <w:r/>
            <w:r>
              <w:rPr>
                <w:rFonts w:ascii="Times New Roman" w:hAnsi="Times New Roman"/>
                <w:sz w:val="20"/>
              </w:rPr>
              <w:t>Mean $\Delta\text{SOH}$</w:t>
            </w:r>
          </w:p>
        </w:tc>
        <w:tc>
          <w:tcPr>
            <w:tcW w:type="dxa" w:w="1881"/>
          </w:tcPr>
          <w:p>
            <w:r/>
            <w:r>
              <w:rPr>
                <w:rFonts w:ascii="Times New Roman" w:hAnsi="Times New Roman"/>
                <w:sz w:val="20"/>
              </w:rPr>
              <w:t>$-0.00195$</w:t>
            </w:r>
          </w:p>
        </w:tc>
        <w:tc>
          <w:tcPr>
            <w:tcW w:type="dxa" w:w="1881"/>
          </w:tcPr>
          <w:p>
            <w:r/>
            <w:r>
              <w:rPr>
                <w:rFonts w:ascii="Times New Roman" w:hAnsi="Times New Roman"/>
                <w:sz w:val="20"/>
              </w:rPr>
              <w:t>$-0.00336$</w:t>
            </w:r>
          </w:p>
        </w:tc>
        <w:tc>
          <w:tcPr>
            <w:tcW w:type="dxa" w:w="1881"/>
          </w:tcPr>
          <w:p>
            <w:r/>
            <w:r>
              <w:rPr>
                <w:rFonts w:ascii="Times New Roman" w:hAnsi="Times New Roman"/>
                <w:sz w:val="20"/>
              </w:rPr>
              <w:t>0.3312</w:t>
            </w:r>
          </w:p>
        </w:tc>
        <w:tc>
          <w:tcPr>
            <w:tcW w:type="dxa" w:w="1881"/>
          </w:tcPr>
          <w:p>
            <w:r/>
            <w:r>
              <w:rPr>
                <w:rFonts w:ascii="Times New Roman" w:hAnsi="Times New Roman"/>
                <w:sz w:val="20"/>
              </w:rPr>
              <w:t>$&lt;0.001$</w:t>
            </w:r>
          </w:p>
        </w:tc>
      </w:tr>
      <w:tr>
        <w:tc>
          <w:tcPr>
            <w:tcW w:type="dxa" w:w="1881"/>
          </w:tcPr>
          <w:p>
            <w:r/>
            <w:r>
              <w:rPr>
                <w:rFonts w:ascii="Times New Roman" w:hAnsi="Times New Roman"/>
                <w:sz w:val="20"/>
              </w:rPr>
              <w:t>Sample size</w:t>
            </w:r>
          </w:p>
        </w:tc>
        <w:tc>
          <w:tcPr>
            <w:tcW w:type="dxa" w:w="1881"/>
          </w:tcPr>
          <w:p>
            <w:r/>
            <w:r>
              <w:rPr>
                <w:rFonts w:ascii="Times New Roman" w:hAnsi="Times New Roman"/>
                <w:sz w:val="20"/>
              </w:rPr>
              <w:t>632</w:t>
            </w:r>
          </w:p>
        </w:tc>
        <w:tc>
          <w:tcPr>
            <w:tcW w:type="dxa" w:w="1881"/>
          </w:tcPr>
          <w:p>
            <w:r/>
            <w:r>
              <w:rPr>
                <w:rFonts w:ascii="Times New Roman" w:hAnsi="Times New Roman"/>
                <w:sz w:val="20"/>
              </w:rPr>
              <w:t>1196</w:t>
            </w:r>
          </w:p>
        </w:tc>
        <w:tc>
          <w:tcPr>
            <w:tcW w:type="dxa" w:w="1881"/>
          </w:tcPr>
          <w:p>
            <w:r/>
            <w:r>
              <w:rPr>
                <w:rFonts w:ascii="Times New Roman" w:hAnsi="Times New Roman"/>
                <w:sz w:val="20"/>
              </w:rPr>
            </w:r>
          </w:p>
        </w:tc>
        <w:tc>
          <w:tcPr>
            <w:tcW w:type="dxa" w:w="1881"/>
          </w:tcPr>
          <w:p>
            <w:r/>
            <w:r>
              <w:rPr>
                <w:rFonts w:ascii="Times New Roman" w:hAnsi="Times New Roman"/>
                <w:sz w:val="20"/>
              </w:rPr>
            </w:r>
          </w:p>
        </w:tc>
      </w:tr>
    </w:tbl>
    <w:p>
      <w:pPr>
        <w:spacing w:after="80"/>
      </w:pPr>
    </w:p>
    <w:p>
      <w:pPr>
        <w:spacing w:after="80" w:line="276" w:lineRule="auto"/>
      </w:pPr>
      <w:r>
        <w:rPr>
          <w:rFonts w:ascii="Times New Roman" w:hAnsi="Times New Roman"/>
          <w:sz w:val="22"/>
        </w:rPr>
        <w:t>The synthetic data degrades approximately 1.7× faster on average, and the KS test confirms the distributions differ significantly (p &lt; 0.001). This quantitative gap reinforces that the scaling curve represents an optimistic bound: the synthetic data is not only cleaner but also exhibits systematically different degradation kinetics. Real-world validation is essential before applying these guidelines to specific battery chemistries or operating conditions.</w:t>
      </w:r>
    </w:p>
    <w:p>
      <w:pPr>
        <w:spacing w:after="80" w:line="276" w:lineRule="auto"/>
      </w:pPr>
      <w:r>
        <w:rPr>
          <w:rFonts w:ascii="Times New Roman" w:hAnsi="Times New Roman"/>
          <w:sz w:val="22"/>
        </w:rPr>
        <w:t>The generator also lacks capacity regeneration effects, calendar aging, and measurement artifacts present in real data, contributing additional sources of optimistic bias.</w:t>
      </w:r>
    </w:p>
    <w:p>
      <w:pPr>
        <w:spacing w:after="120" w:before="160"/>
      </w:pPr>
      <w:r>
        <w:rPr>
          <w:rFonts w:ascii="Times New Roman" w:hAnsi="Times New Roman"/>
          <w:b/>
          <w:i w:val="0"/>
          <w:sz w:val="24"/>
        </w:rPr>
        <w:t>5 Empirical Validation</w:t>
      </w:r>
    </w:p>
    <w:p>
      <w:pPr>
        <w:spacing w:after="120" w:before="160"/>
      </w:pPr>
      <w:r>
        <w:rPr>
          <w:rFonts w:ascii="Times New Roman" w:hAnsi="Times New Roman"/>
          <w:b/>
          <w:i w:val="0"/>
          <w:sz w:val="22"/>
        </w:rPr>
        <w:t>5.1 Real-Data Case Study: NASA 4-Cell Dataset</w:t>
      </w:r>
    </w:p>
    <w:p>
      <w:pPr>
        <w:spacing w:after="80" w:line="276" w:lineRule="auto"/>
      </w:pPr>
      <w:r>
        <w:rPr>
          <w:rFonts w:ascii="Times New Roman" w:hAnsi="Times New Roman"/>
          <w:sz w:val="22"/>
        </w:rPr>
        <w:t>We evaluate the framework on the NASA PCoE classic dataset (B0005–B0018): four 18,650 lithium-ion cells with 636 total discharge cycles. The EOL threshold (SOH &lt; 0.70) is crossed by B0005 (2 cycles) and B0006 (62 cycles); B0007 and B0018 approach but do not cross it.</w:t>
      </w:r>
    </w:p>
    <w:p>
      <w:pPr>
        <w:spacing w:after="80" w:line="276" w:lineRule="auto"/>
      </w:pPr>
      <w:r>
        <w:rPr>
          <w:rFonts w:ascii="Times New Roman" w:hAnsi="Times New Roman"/>
          <w:sz w:val="22"/>
        </w:rPr>
      </w:r>
      <w:r>
        <w:rPr>
          <w:rFonts w:ascii="Times New Roman" w:hAnsi="Times New Roman"/>
          <w:b/>
          <w:sz w:val="22"/>
        </w:rPr>
        <w:t>Setup:</w:t>
      </w:r>
      <w:r>
        <w:rPr>
          <w:rFonts w:ascii="Times New Roman" w:hAnsi="Times New Roman"/>
          <w:sz w:val="22"/>
        </w:rPr>
        <w:t xml:space="preserve"> Leave-one-battery-out cross-validation (train on 3, test on 1). XGBoost with 300 trees, max depth 4, learning rate 0.05. Four horizons H ∈ {10, 20, 30, 50} cycles.</w:t>
      </w:r>
    </w:p>
    <w:p>
      <w:pPr>
        <w:spacing w:after="80" w:line="276" w:lineRule="auto"/>
      </w:pPr>
      <w:r>
        <w:rPr>
          <w:rFonts w:ascii="Times New Roman" w:hAnsi="Times New Roman"/>
          <w:sz w:val="22"/>
        </w:rPr>
      </w:r>
      <w:r>
        <w:rPr>
          <w:rFonts w:ascii="Times New Roman" w:hAnsi="Times New Roman"/>
          <w:b/>
          <w:sz w:val="22"/>
        </w:rPr>
        <w:t>Results:</w:t>
      </w:r>
      <w:r>
        <w:rPr>
          <w:rFonts w:ascii="Times New Roman" w:hAnsi="Times New Roman"/>
          <w:sz w:val="22"/>
        </w:rP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b/>
                <w:sz w:val="20"/>
              </w:rPr>
              <w:t>Horizon</w:t>
            </w:r>
          </w:p>
        </w:tc>
        <w:tc>
          <w:tcPr>
            <w:tcW w:type="dxa" w:w="2351"/>
          </w:tcPr>
          <w:p>
            <w:pPr>
              <w:jc w:val="center"/>
            </w:pPr>
            <w:r/>
            <w:r>
              <w:rPr>
                <w:rFonts w:ascii="Times New Roman" w:hAnsi="Times New Roman"/>
                <w:b/>
                <w:sz w:val="20"/>
              </w:rPr>
              <w:t>Raw AUC (stacked)</w:t>
            </w:r>
          </w:p>
        </w:tc>
        <w:tc>
          <w:tcPr>
            <w:tcW w:type="dxa" w:w="2351"/>
          </w:tcPr>
          <w:p>
            <w:pPr>
              <w:jc w:val="center"/>
            </w:pPr>
            <w:r/>
            <w:r>
              <w:rPr>
                <w:rFonts w:ascii="Times New Roman" w:hAnsi="Times New Roman"/>
                <w:b/>
                <w:sz w:val="20"/>
              </w:rPr>
              <w:t>Per-fold AUC (mean±std)</w:t>
            </w:r>
          </w:p>
        </w:tc>
        <w:tc>
          <w:tcPr>
            <w:tcW w:type="dxa" w:w="2351"/>
          </w:tcPr>
          <w:p>
            <w:pPr>
              <w:jc w:val="center"/>
            </w:pPr>
            <w:r/>
            <w:r>
              <w:rPr>
                <w:rFonts w:ascii="Times New Roman" w:hAnsi="Times New Roman"/>
                <w:b/>
                <w:sz w:val="20"/>
              </w:rPr>
              <w:t>Calibrated AUC</w:t>
            </w:r>
          </w:p>
        </w:tc>
      </w:tr>
      <w:tr>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r>
      <w:tr>
        <w:tc>
          <w:tcPr>
            <w:tcW w:type="dxa" w:w="2351"/>
          </w:tcPr>
          <w:p>
            <w:r/>
            <w:r>
              <w:rPr>
                <w:rFonts w:ascii="Times New Roman" w:hAnsi="Times New Roman"/>
                <w:sz w:val="20"/>
              </w:rPr>
              <w:t>10</w:t>
            </w:r>
          </w:p>
        </w:tc>
        <w:tc>
          <w:tcPr>
            <w:tcW w:type="dxa" w:w="2351"/>
          </w:tcPr>
          <w:p>
            <w:r/>
            <w:r>
              <w:rPr>
                <w:rFonts w:ascii="Times New Roman" w:hAnsi="Times New Roman"/>
                <w:sz w:val="20"/>
              </w:rPr>
              <w:t>0.26</w:t>
            </w:r>
          </w:p>
        </w:tc>
        <w:tc>
          <w:tcPr>
            <w:tcW w:type="dxa" w:w="2351"/>
          </w:tcPr>
          <w:p>
            <w:r/>
            <w:r>
              <w:rPr>
                <w:rFonts w:ascii="Times New Roman" w:hAnsi="Times New Roman"/>
                <w:sz w:val="20"/>
              </w:rPr>
              <w:t>— (2/4 folds NaN)</w:t>
            </w:r>
          </w:p>
        </w:tc>
        <w:tc>
          <w:tcPr>
            <w:tcW w:type="dxa" w:w="2351"/>
          </w:tcPr>
          <w:p>
            <w:r/>
            <w:r>
              <w:rPr>
                <w:rFonts w:ascii="Times New Roman" w:hAnsi="Times New Roman"/>
                <w:sz w:val="20"/>
              </w:rPr>
              <w:t>0.50</w:t>
            </w:r>
          </w:p>
        </w:tc>
      </w:tr>
      <w:tr>
        <w:tc>
          <w:tcPr>
            <w:tcW w:type="dxa" w:w="2351"/>
          </w:tcPr>
          <w:p>
            <w:r/>
            <w:r>
              <w:rPr>
                <w:rFonts w:ascii="Times New Roman" w:hAnsi="Times New Roman"/>
                <w:sz w:val="20"/>
              </w:rPr>
              <w:t>20</w:t>
            </w:r>
          </w:p>
        </w:tc>
        <w:tc>
          <w:tcPr>
            <w:tcW w:type="dxa" w:w="2351"/>
          </w:tcPr>
          <w:p>
            <w:r/>
            <w:r>
              <w:rPr>
                <w:rFonts w:ascii="Times New Roman" w:hAnsi="Times New Roman"/>
                <w:sz w:val="20"/>
              </w:rPr>
              <w:t>0.26</w:t>
            </w:r>
          </w:p>
        </w:tc>
        <w:tc>
          <w:tcPr>
            <w:tcW w:type="dxa" w:w="2351"/>
          </w:tcPr>
          <w:p>
            <w:r/>
            <w:r>
              <w:rPr>
                <w:rFonts w:ascii="Times New Roman" w:hAnsi="Times New Roman"/>
                <w:sz w:val="20"/>
              </w:rPr>
              <w:t>— (2/4 folds NaN)</w:t>
            </w:r>
          </w:p>
        </w:tc>
        <w:tc>
          <w:tcPr>
            <w:tcW w:type="dxa" w:w="2351"/>
          </w:tcPr>
          <w:p>
            <w:r/>
            <w:r>
              <w:rPr>
                <w:rFonts w:ascii="Times New Roman" w:hAnsi="Times New Roman"/>
                <w:sz w:val="20"/>
              </w:rPr>
              <w:t>0.50</w:t>
            </w:r>
          </w:p>
        </w:tc>
      </w:tr>
      <w:tr>
        <w:tc>
          <w:tcPr>
            <w:tcW w:type="dxa" w:w="2351"/>
          </w:tcPr>
          <w:p>
            <w:r/>
            <w:r>
              <w:rPr>
                <w:rFonts w:ascii="Times New Roman" w:hAnsi="Times New Roman"/>
                <w:sz w:val="20"/>
              </w:rPr>
              <w:t>30</w:t>
            </w:r>
          </w:p>
        </w:tc>
        <w:tc>
          <w:tcPr>
            <w:tcW w:type="dxa" w:w="2351"/>
          </w:tcPr>
          <w:p>
            <w:r/>
            <w:r>
              <w:rPr>
                <w:rFonts w:ascii="Times New Roman" w:hAnsi="Times New Roman"/>
                <w:sz w:val="20"/>
              </w:rPr>
              <w:t>0.60</w:t>
            </w:r>
          </w:p>
        </w:tc>
        <w:tc>
          <w:tcPr>
            <w:tcW w:type="dxa" w:w="2351"/>
          </w:tcPr>
          <w:p>
            <w:r/>
            <w:r>
              <w:rPr>
                <w:rFonts w:ascii="Times New Roman" w:hAnsi="Times New Roman"/>
                <w:sz w:val="20"/>
              </w:rPr>
              <w:t>0.50±0.00</w:t>
            </w:r>
          </w:p>
        </w:tc>
        <w:tc>
          <w:tcPr>
            <w:tcW w:type="dxa" w:w="2351"/>
          </w:tcPr>
          <w:p>
            <w:r/>
            <w:r>
              <w:rPr>
                <w:rFonts w:ascii="Times New Roman" w:hAnsi="Times New Roman"/>
                <w:sz w:val="20"/>
              </w:rPr>
              <w:t>0.50</w:t>
            </w:r>
          </w:p>
        </w:tc>
      </w:tr>
      <w:tr>
        <w:tc>
          <w:tcPr>
            <w:tcW w:type="dxa" w:w="2351"/>
          </w:tcPr>
          <w:p>
            <w:r/>
            <w:r>
              <w:rPr>
                <w:rFonts w:ascii="Times New Roman" w:hAnsi="Times New Roman"/>
                <w:sz w:val="20"/>
              </w:rPr>
              <w:t>50</w:t>
            </w:r>
          </w:p>
        </w:tc>
        <w:tc>
          <w:tcPr>
            <w:tcW w:type="dxa" w:w="2351"/>
          </w:tcPr>
          <w:p>
            <w:r/>
            <w:r>
              <w:rPr>
                <w:rFonts w:ascii="Times New Roman" w:hAnsi="Times New Roman"/>
                <w:sz w:val="20"/>
              </w:rPr>
              <w:t>0.69</w:t>
            </w:r>
          </w:p>
        </w:tc>
        <w:tc>
          <w:tcPr>
            <w:tcW w:type="dxa" w:w="2351"/>
          </w:tcPr>
          <w:p>
            <w:r/>
            <w:r>
              <w:rPr>
                <w:rFonts w:ascii="Times New Roman" w:hAnsi="Times New Roman"/>
                <w:sz w:val="20"/>
              </w:rPr>
              <w:t>0.50±0.00</w:t>
            </w:r>
          </w:p>
        </w:tc>
        <w:tc>
          <w:tcPr>
            <w:tcW w:type="dxa" w:w="2351"/>
          </w:tcPr>
          <w:p>
            <w:r/>
            <w:r>
              <w:rPr>
                <w:rFonts w:ascii="Times New Roman" w:hAnsi="Times New Roman"/>
                <w:sz w:val="20"/>
              </w:rPr>
              <w:t>0.50</w:t>
            </w:r>
          </w:p>
        </w:tc>
      </w:tr>
      <w:tr>
        <w:tc>
          <w:tcPr>
            <w:tcW w:type="dxa" w:w="2351"/>
          </w:tcPr>
          <w:p>
            <w:r/>
            <w:r>
              <w:rPr>
                <w:rFonts w:ascii="Times New Roman" w:hAnsi="Times New Roman"/>
                <w:sz w:val="20"/>
              </w:rPr>
              <w:t>**Macro avg**</w:t>
            </w:r>
          </w:p>
        </w:tc>
        <w:tc>
          <w:tcPr>
            <w:tcW w:type="dxa" w:w="2351"/>
          </w:tcPr>
          <w:p>
            <w:r/>
            <w:r>
              <w:rPr>
                <w:rFonts w:ascii="Times New Roman" w:hAnsi="Times New Roman"/>
                <w:sz w:val="20"/>
              </w:rPr>
              <w:t>**0.46**</w:t>
            </w:r>
          </w:p>
        </w:tc>
        <w:tc>
          <w:tcPr>
            <w:tcW w:type="dxa" w:w="2351"/>
          </w:tcPr>
          <w:p>
            <w:r/>
            <w:r>
              <w:rPr>
                <w:rFonts w:ascii="Times New Roman" w:hAnsi="Times New Roman"/>
                <w:sz w:val="20"/>
              </w:rPr>
              <w:t>**0.50±0.00**</w:t>
            </w:r>
          </w:p>
        </w:tc>
        <w:tc>
          <w:tcPr>
            <w:tcW w:type="dxa" w:w="2351"/>
          </w:tcPr>
          <w:p>
            <w:r/>
            <w:r>
              <w:rPr>
                <w:rFonts w:ascii="Times New Roman" w:hAnsi="Times New Roman"/>
                <w:sz w:val="20"/>
              </w:rPr>
              <w:t>**0.50**</w:t>
            </w:r>
          </w:p>
        </w:tc>
      </w:tr>
    </w:tbl>
    <w:p>
      <w:pPr>
        <w:spacing w:after="80"/>
      </w:pPr>
    </w:p>
    <w:p>
      <w:pPr>
        <w:spacing w:after="80" w:line="276" w:lineRule="auto"/>
      </w:pPr>
      <w:r>
        <w:rPr>
          <w:rFonts w:ascii="Times New Roman" w:hAnsi="Times New Roman"/>
          <w:sz w:val="22"/>
        </w:rPr>
        <w:t>The model achieves near-random discrimination (macro AUC 0.46). Critically, 2 of 4 folds cannot compute AUC at all because the held-out cell lacks EOL events within the horizon window, producing a single-class test set. The remaining folds produce AUC = 0.50, confirming constant-probability predictions at the class prior. Calibrated AUC remains 0.50 because the raw model produces near-constant predictions (no rank variation across cycles), leaving no rank order for isotonic regression to preserve. With constant predictions, AUC is undefined and conventionally reported as 0.5.</w:t>
      </w:r>
    </w:p>
    <w:p>
      <w:pPr>
        <w:spacing w:after="80" w:line="276" w:lineRule="auto"/>
      </w:pPr>
      <w:r>
        <w:rPr>
          <w:rFonts w:ascii="Times New Roman" w:hAnsi="Times New Roman"/>
          <w:sz w:val="22"/>
        </w:rPr>
        <w:t>All dispatch policies yield identical outcomes (energy = 318.0 kWh, failure rate = 0.63%) because model probabilities lack contrast — only 64 cycles (all from B0006) fall below the SOH threshold. With only 2 failure events across 318 test cycles, the model cannot learn to differentiate risk.</w:t>
      </w:r>
    </w:p>
    <w:p>
      <w:pPr>
        <w:spacing w:after="80" w:line="276" w:lineRule="auto"/>
      </w:pPr>
      <w:r>
        <w:rPr>
          <w:rFonts w:ascii="Times New Roman" w:hAnsi="Times New Roman"/>
          <w:sz w:val="22"/>
        </w:rPr>
        <w:t>This result is not surprising: the original paper used 37 cells (9.25× more data) to achieve AUC 0.944. The NASA 4-cell dataset is simply too small for leave-battery-out cross-validation to produce meaningful results. This motivates the synthetic scaling study in §5.2.</w:t>
      </w:r>
    </w:p>
    <w:p>
      <w:pPr>
        <w:spacing w:after="120" w:before="160"/>
      </w:pPr>
      <w:r>
        <w:rPr>
          <w:rFonts w:ascii="Times New Roman" w:hAnsi="Times New Roman"/>
          <w:b/>
          <w:i w:val="0"/>
          <w:sz w:val="22"/>
        </w:rPr>
        <w:t>5.2 Synthetic Scaling Study</w:t>
      </w:r>
    </w:p>
    <w:p>
      <w:pPr>
        <w:spacing w:after="80" w:line="276" w:lineRule="auto"/>
      </w:pPr>
      <w:r>
        <w:rPr>
          <w:rFonts w:ascii="Times New Roman" w:hAnsi="Times New Roman"/>
          <w:sz w:val="22"/>
        </w:rPr>
        <w:t>To establish quantitative minimum-data guidelines, we conduct a controlled scaling experiment using the synthetic generator from Section 4.2.</w:t>
      </w:r>
    </w:p>
    <w:p>
      <w:pPr>
        <w:spacing w:after="40"/>
        <w:ind w:left="567"/>
      </w:pPr>
      <w:r>
        <w:rPr>
          <w:rFonts w:ascii="Times New Roman" w:hAnsi="Times New Roman"/>
          <w:sz w:val="22"/>
        </w:rPr>
        <w:t>• **Design:** For N ∈ {2, 3, 5, 8, 12, 20}:</w:t>
      </w:r>
      <w:r>
        <w:rPr>
          <w:sz w:val="22"/>
        </w:rPr>
        <w:br/>
      </w:r>
      <w:r>
        <w:rPr>
          <w:rFonts w:ascii="Times New Roman" w:hAnsi="Times New Roman"/>
          <w:sz w:val="22"/>
        </w:rPr>
        <w:t>• Generate N synthetic batteries (300 cycles each, seeded per N for reproducibility)</w:t>
      </w:r>
      <w:r>
        <w:rPr>
          <w:sz w:val="22"/>
        </w:rPr>
        <w:br/>
      </w:r>
      <w:r>
        <w:rPr>
          <w:rFonts w:ascii="Times New Roman" w:hAnsi="Times New Roman"/>
          <w:sz w:val="22"/>
        </w:rPr>
        <w:t>• Run leave-battery-out XGBoost CV with isotonic calibration</w:t>
      </w:r>
      <w:r>
        <w:rPr>
          <w:sz w:val="22"/>
        </w:rPr>
        <w:br/>
      </w:r>
      <w:r>
        <w:rPr>
          <w:rFonts w:ascii="Times New Roman" w:hAnsi="Times New Roman"/>
          <w:sz w:val="22"/>
        </w:rPr>
        <w:t>• Record macro-averaged AUC</w:t>
      </w:r>
      <w:r>
        <w:rPr>
          <w:sz w:val="22"/>
        </w:rPr>
        <w:br/>
      </w:r>
      <w:r>
        <w:rPr>
          <w:rFonts w:ascii="Times New Roman" w:hAnsi="Times New Roman"/>
          <w:sz w:val="22"/>
        </w:rPr>
        <w:t>• Repeat with 20 Monte Carlo seeds per N</w:t>
      </w:r>
      <w:r>
        <w:rPr>
          <w:sz w:val="22"/>
        </w:rPr>
        <w:br/>
      </w:r>
      <w:r>
        <w:rPr>
          <w:rFonts w:ascii="Times New Roman" w:hAnsi="Times New Roman"/>
          <w:sz w:val="22"/>
        </w:rPr>
        <w:t>• Compute 95% bootstrap confidence intervals (percentile, 10,000 resamples)</w:t>
      </w:r>
      <w:r>
        <w:rPr>
          <w:sz w:val="22"/>
        </w:rPr>
        <w:br/>
      </w:r>
      <w:r>
        <w:rPr>
          <w:rFonts w:ascii="Times New Roman" w:hAnsi="Times New Roman"/>
          <w:sz w:val="22"/>
        </w:rPr>
        <w:t>• DeLong significance tests between adjacent N values</w:t>
      </w:r>
    </w:p>
    <w:p>
      <w:pPr>
        <w:spacing w:after="80" w:line="276" w:lineRule="auto"/>
      </w:pPr>
      <w:r>
        <w:rPr>
          <w:rFonts w:ascii="Times New Roman" w:hAnsi="Times New Roman"/>
          <w:sz w:val="22"/>
        </w:rPr>
      </w:r>
      <w:r>
        <w:rPr>
          <w:rFonts w:ascii="Times New Roman" w:hAnsi="Times New Roman"/>
          <w:b/>
          <w:sz w:val="22"/>
        </w:rPr>
        <w:t>Results:</w:t>
      </w:r>
      <w:r>
        <w:rPr>
          <w:rFonts w:ascii="Times New Roman" w:hAnsi="Times New Roman"/>
          <w:sz w:val="22"/>
        </w:rP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b/>
                <w:sz w:val="20"/>
              </w:rPr>
              <w:t>N cells</w:t>
            </w:r>
          </w:p>
        </w:tc>
        <w:tc>
          <w:tcPr>
            <w:tcW w:type="dxa" w:w="2351"/>
          </w:tcPr>
          <w:p>
            <w:pPr>
              <w:jc w:val="center"/>
            </w:pPr>
            <w:r/>
            <w:r>
              <w:rPr>
                <w:rFonts w:ascii="Times New Roman" w:hAnsi="Times New Roman"/>
                <w:b/>
                <w:sz w:val="20"/>
              </w:rPr>
              <w:t>Macro AUC (mean)</w:t>
            </w:r>
          </w:p>
        </w:tc>
        <w:tc>
          <w:tcPr>
            <w:tcW w:type="dxa" w:w="2351"/>
          </w:tcPr>
          <w:p>
            <w:pPr>
              <w:jc w:val="center"/>
            </w:pPr>
            <w:r/>
            <w:r>
              <w:rPr>
                <w:rFonts w:ascii="Times New Roman" w:hAnsi="Times New Roman"/>
                <w:b/>
                <w:sz w:val="20"/>
              </w:rPr>
              <w:t>95% CI</w:t>
            </w:r>
          </w:p>
        </w:tc>
        <w:tc>
          <w:tcPr>
            <w:tcW w:type="dxa" w:w="2351"/>
          </w:tcPr>
          <w:p>
            <w:pPr>
              <w:jc w:val="center"/>
            </w:pPr>
            <w:r/>
            <w:r>
              <w:rPr>
                <w:rFonts w:ascii="Times New Roman" w:hAnsi="Times New Roman"/>
                <w:b/>
                <w:sz w:val="20"/>
              </w:rPr>
              <w:t>DeLong p (vs prev)</w:t>
            </w:r>
          </w:p>
        </w:tc>
      </w:tr>
      <w:tr>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r>
      <w:tr>
        <w:tc>
          <w:tcPr>
            <w:tcW w:type="dxa" w:w="2351"/>
          </w:tcPr>
          <w:p>
            <w:r/>
            <w:r>
              <w:rPr>
                <w:rFonts w:ascii="Times New Roman" w:hAnsi="Times New Roman"/>
                <w:sz w:val="20"/>
              </w:rPr>
              <w:t>2</w:t>
            </w:r>
          </w:p>
        </w:tc>
        <w:tc>
          <w:tcPr>
            <w:tcW w:type="dxa" w:w="2351"/>
          </w:tcPr>
          <w:p>
            <w:r/>
            <w:r>
              <w:rPr>
                <w:rFonts w:ascii="Times New Roman" w:hAnsi="Times New Roman"/>
                <w:sz w:val="20"/>
              </w:rPr>
              <w:t>0.8427</w:t>
            </w:r>
          </w:p>
        </w:tc>
        <w:tc>
          <w:tcPr>
            <w:tcW w:type="dxa" w:w="2351"/>
          </w:tcPr>
          <w:p>
            <w:r/>
            <w:r>
              <w:rPr>
                <w:rFonts w:ascii="Times New Roman" w:hAnsi="Times New Roman"/>
                <w:sz w:val="20"/>
              </w:rPr>
              <w:t>[0.8396, 0.8455]</w:t>
            </w:r>
          </w:p>
        </w:tc>
        <w:tc>
          <w:tcPr>
            <w:tcW w:type="dxa" w:w="2351"/>
          </w:tcPr>
          <w:p>
            <w:r/>
            <w:r>
              <w:rPr>
                <w:rFonts w:ascii="Times New Roman" w:hAnsi="Times New Roman"/>
                <w:sz w:val="20"/>
              </w:rPr>
              <w:t>—</w:t>
            </w:r>
          </w:p>
        </w:tc>
      </w:tr>
      <w:tr>
        <w:tc>
          <w:tcPr>
            <w:tcW w:type="dxa" w:w="2351"/>
          </w:tcPr>
          <w:p>
            <w:r/>
            <w:r>
              <w:rPr>
                <w:rFonts w:ascii="Times New Roman" w:hAnsi="Times New Roman"/>
                <w:sz w:val="20"/>
              </w:rPr>
              <w:t>3</w:t>
            </w:r>
          </w:p>
        </w:tc>
        <w:tc>
          <w:tcPr>
            <w:tcW w:type="dxa" w:w="2351"/>
          </w:tcPr>
          <w:p>
            <w:r/>
            <w:r>
              <w:rPr>
                <w:rFonts w:ascii="Times New Roman" w:hAnsi="Times New Roman"/>
                <w:sz w:val="20"/>
              </w:rPr>
              <w:t>0.8912</w:t>
            </w:r>
          </w:p>
        </w:tc>
        <w:tc>
          <w:tcPr>
            <w:tcW w:type="dxa" w:w="2351"/>
          </w:tcPr>
          <w:p>
            <w:r/>
            <w:r>
              <w:rPr>
                <w:rFonts w:ascii="Times New Roman" w:hAnsi="Times New Roman"/>
                <w:sz w:val="20"/>
              </w:rPr>
              <w:t>[0.8861, 0.8964]</w:t>
            </w:r>
          </w:p>
        </w:tc>
        <w:tc>
          <w:tcPr>
            <w:tcW w:type="dxa" w:w="2351"/>
          </w:tcPr>
          <w:p>
            <w:r/>
            <w:r>
              <w:rPr>
                <w:rFonts w:ascii="Times New Roman" w:hAnsi="Times New Roman"/>
                <w:sz w:val="20"/>
              </w:rPr>
              <w:t>0.803</w:t>
            </w:r>
          </w:p>
        </w:tc>
      </w:tr>
      <w:tr>
        <w:tc>
          <w:tcPr>
            <w:tcW w:type="dxa" w:w="2351"/>
          </w:tcPr>
          <w:p>
            <w:r/>
            <w:r>
              <w:rPr>
                <w:rFonts w:ascii="Times New Roman" w:hAnsi="Times New Roman"/>
                <w:sz w:val="20"/>
              </w:rPr>
              <w:t>5</w:t>
            </w:r>
          </w:p>
        </w:tc>
        <w:tc>
          <w:tcPr>
            <w:tcW w:type="dxa" w:w="2351"/>
          </w:tcPr>
          <w:p>
            <w:r/>
            <w:r>
              <w:rPr>
                <w:rFonts w:ascii="Times New Roman" w:hAnsi="Times New Roman"/>
                <w:sz w:val="20"/>
              </w:rPr>
              <w:t>0.9365</w:t>
            </w:r>
          </w:p>
        </w:tc>
        <w:tc>
          <w:tcPr>
            <w:tcW w:type="dxa" w:w="2351"/>
          </w:tcPr>
          <w:p>
            <w:r/>
            <w:r>
              <w:rPr>
                <w:rFonts w:ascii="Times New Roman" w:hAnsi="Times New Roman"/>
                <w:sz w:val="20"/>
              </w:rPr>
              <w:t>[0.9326, 0.9400]</w:t>
            </w:r>
          </w:p>
        </w:tc>
        <w:tc>
          <w:tcPr>
            <w:tcW w:type="dxa" w:w="2351"/>
          </w:tcPr>
          <w:p>
            <w:r/>
            <w:r>
              <w:rPr>
                <w:rFonts w:ascii="Times New Roman" w:hAnsi="Times New Roman"/>
                <w:sz w:val="20"/>
              </w:rPr>
              <w:t>0.750</w:t>
            </w:r>
          </w:p>
        </w:tc>
      </w:tr>
      <w:tr>
        <w:tc>
          <w:tcPr>
            <w:tcW w:type="dxa" w:w="2351"/>
          </w:tcPr>
          <w:p>
            <w:r/>
            <w:r>
              <w:rPr>
                <w:rFonts w:ascii="Times New Roman" w:hAnsi="Times New Roman"/>
                <w:sz w:val="20"/>
              </w:rPr>
              <w:t>8</w:t>
            </w:r>
          </w:p>
        </w:tc>
        <w:tc>
          <w:tcPr>
            <w:tcW w:type="dxa" w:w="2351"/>
          </w:tcPr>
          <w:p>
            <w:r/>
            <w:r>
              <w:rPr>
                <w:rFonts w:ascii="Times New Roman" w:hAnsi="Times New Roman"/>
                <w:sz w:val="20"/>
              </w:rPr>
              <w:t>0.9743</w:t>
            </w:r>
          </w:p>
        </w:tc>
        <w:tc>
          <w:tcPr>
            <w:tcW w:type="dxa" w:w="2351"/>
          </w:tcPr>
          <w:p>
            <w:r/>
            <w:r>
              <w:rPr>
                <w:rFonts w:ascii="Times New Roman" w:hAnsi="Times New Roman"/>
                <w:sz w:val="20"/>
              </w:rPr>
              <w:t>[0.9735, 0.9752]</w:t>
            </w:r>
          </w:p>
        </w:tc>
        <w:tc>
          <w:tcPr>
            <w:tcW w:type="dxa" w:w="2351"/>
          </w:tcPr>
          <w:p>
            <w:r/>
            <w:r>
              <w:rPr>
                <w:rFonts w:ascii="Times New Roman" w:hAnsi="Times New Roman"/>
                <w:sz w:val="20"/>
              </w:rPr>
              <w:t>0.676</w:t>
            </w:r>
          </w:p>
        </w:tc>
      </w:tr>
      <w:tr>
        <w:tc>
          <w:tcPr>
            <w:tcW w:type="dxa" w:w="2351"/>
          </w:tcPr>
          <w:p>
            <w:r/>
            <w:r>
              <w:rPr>
                <w:rFonts w:ascii="Times New Roman" w:hAnsi="Times New Roman"/>
                <w:sz w:val="20"/>
              </w:rPr>
              <w:t>12</w:t>
            </w:r>
          </w:p>
        </w:tc>
        <w:tc>
          <w:tcPr>
            <w:tcW w:type="dxa" w:w="2351"/>
          </w:tcPr>
          <w:p>
            <w:r/>
            <w:r>
              <w:rPr>
                <w:rFonts w:ascii="Times New Roman" w:hAnsi="Times New Roman"/>
                <w:sz w:val="20"/>
              </w:rPr>
              <w:t>0.9801</w:t>
            </w:r>
          </w:p>
        </w:tc>
        <w:tc>
          <w:tcPr>
            <w:tcW w:type="dxa" w:w="2351"/>
          </w:tcPr>
          <w:p>
            <w:r/>
            <w:r>
              <w:rPr>
                <w:rFonts w:ascii="Times New Roman" w:hAnsi="Times New Roman"/>
                <w:sz w:val="20"/>
              </w:rPr>
              <w:t>[0.9796, 0.9806]</w:t>
            </w:r>
          </w:p>
        </w:tc>
        <w:tc>
          <w:tcPr>
            <w:tcW w:type="dxa" w:w="2351"/>
          </w:tcPr>
          <w:p>
            <w:r/>
            <w:r>
              <w:rPr>
                <w:rFonts w:ascii="Times New Roman" w:hAnsi="Times New Roman"/>
                <w:sz w:val="20"/>
              </w:rPr>
              <w:t>0.918</w:t>
            </w:r>
          </w:p>
        </w:tc>
      </w:tr>
      <w:tr>
        <w:tc>
          <w:tcPr>
            <w:tcW w:type="dxa" w:w="2351"/>
          </w:tcPr>
          <w:p>
            <w:r/>
            <w:r>
              <w:rPr>
                <w:rFonts w:ascii="Times New Roman" w:hAnsi="Times New Roman"/>
                <w:sz w:val="20"/>
              </w:rPr>
              <w:t>20</w:t>
            </w:r>
          </w:p>
        </w:tc>
        <w:tc>
          <w:tcPr>
            <w:tcW w:type="dxa" w:w="2351"/>
          </w:tcPr>
          <w:p>
            <w:r/>
            <w:r>
              <w:rPr>
                <w:rFonts w:ascii="Times New Roman" w:hAnsi="Times New Roman"/>
                <w:sz w:val="20"/>
              </w:rPr>
              <w:t>0.9862</w:t>
            </w:r>
          </w:p>
        </w:tc>
        <w:tc>
          <w:tcPr>
            <w:tcW w:type="dxa" w:w="2351"/>
          </w:tcPr>
          <w:p>
            <w:r/>
            <w:r>
              <w:rPr>
                <w:rFonts w:ascii="Times New Roman" w:hAnsi="Times New Roman"/>
                <w:sz w:val="20"/>
              </w:rPr>
              <w:t>[0.9857, 0.9866]</w:t>
            </w:r>
          </w:p>
        </w:tc>
        <w:tc>
          <w:tcPr>
            <w:tcW w:type="dxa" w:w="2351"/>
          </w:tcPr>
          <w:p>
            <w:r/>
            <w:r>
              <w:rPr>
                <w:rFonts w:ascii="Times New Roman" w:hAnsi="Times New Roman"/>
                <w:sz w:val="20"/>
              </w:rPr>
              <w:t>0.896</w:t>
            </w:r>
          </w:p>
        </w:tc>
      </w:tr>
    </w:tbl>
    <w:p>
      <w:pPr>
        <w:spacing w:after="80"/>
      </w:pPr>
    </w:p>
    <w:p>
      <w:pPr>
        <w:spacing w:after="80" w:line="276" w:lineRule="auto"/>
      </w:pPr>
      <w:r>
        <w:rPr>
          <w:rFonts w:ascii="Times New Roman" w:hAnsi="Times New Roman"/>
          <w:sz w:val="22"/>
        </w:rPr>
        <w:t>The DeLong comparisons between adjacent N values are not significant (p &gt; 0.05 for all pairs), which is expected: DeLong tests compare two models on the same test set, whereas here each N value produces a different set of held-out cells. The strong monotonic trend, narrowing CIs, and low inter-seed variance (§5.2.1) collectively confirm that the improvement is meaningful.</w:t>
      </w:r>
    </w:p>
    <w:p>
      <w:pPr>
        <w:spacing w:after="80" w:line="276" w:lineRule="auto"/>
      </w:pPr>
      <w:r>
        <w:rPr>
          <w:rFonts w:ascii="Times New Roman" w:hAnsi="Times New Roman"/>
          <w:sz w:val="22"/>
        </w:rPr>
      </w:r>
      <w:r>
        <w:rPr>
          <w:rFonts w:ascii="Times New Roman" w:hAnsi="Times New Roman"/>
          <w:b/>
          <w:sz w:val="22"/>
        </w:rPr>
        <w:t>Per-horizon AUC at selected N (seed 1, representative):</w:t>
      </w:r>
      <w:r>
        <w:rPr>
          <w:rFonts w:ascii="Times New Roman" w:hAnsi="Times New Roman"/>
          <w:sz w:val="22"/>
        </w:rPr>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Times New Roman" w:hAnsi="Times New Roman"/>
                <w:b/>
                <w:sz w:val="20"/>
              </w:rPr>
              <w:t>N cells</w:t>
            </w:r>
          </w:p>
        </w:tc>
        <w:tc>
          <w:tcPr>
            <w:tcW w:type="dxa" w:w="1568"/>
          </w:tcPr>
          <w:p>
            <w:pPr>
              <w:jc w:val="center"/>
            </w:pPr>
            <w:r/>
            <w:r>
              <w:rPr>
                <w:rFonts w:ascii="Times New Roman" w:hAnsi="Times New Roman"/>
                <w:b/>
                <w:sz w:val="20"/>
              </w:rPr>
              <w:t>H=10</w:t>
            </w:r>
          </w:p>
        </w:tc>
        <w:tc>
          <w:tcPr>
            <w:tcW w:type="dxa" w:w="1568"/>
          </w:tcPr>
          <w:p>
            <w:pPr>
              <w:jc w:val="center"/>
            </w:pPr>
            <w:r/>
            <w:r>
              <w:rPr>
                <w:rFonts w:ascii="Times New Roman" w:hAnsi="Times New Roman"/>
                <w:b/>
                <w:sz w:val="20"/>
              </w:rPr>
              <w:t>H=20</w:t>
            </w:r>
          </w:p>
        </w:tc>
        <w:tc>
          <w:tcPr>
            <w:tcW w:type="dxa" w:w="1568"/>
          </w:tcPr>
          <w:p>
            <w:pPr>
              <w:jc w:val="center"/>
            </w:pPr>
            <w:r/>
            <w:r>
              <w:rPr>
                <w:rFonts w:ascii="Times New Roman" w:hAnsi="Times New Roman"/>
                <w:b/>
                <w:sz w:val="20"/>
              </w:rPr>
              <w:t>H=30</w:t>
            </w:r>
          </w:p>
        </w:tc>
        <w:tc>
          <w:tcPr>
            <w:tcW w:type="dxa" w:w="1568"/>
          </w:tcPr>
          <w:p>
            <w:pPr>
              <w:jc w:val="center"/>
            </w:pPr>
            <w:r/>
            <w:r>
              <w:rPr>
                <w:rFonts w:ascii="Times New Roman" w:hAnsi="Times New Roman"/>
                <w:b/>
                <w:sz w:val="20"/>
              </w:rPr>
              <w:t>H=50</w:t>
            </w:r>
          </w:p>
        </w:tc>
        <w:tc>
          <w:tcPr>
            <w:tcW w:type="dxa" w:w="1568"/>
          </w:tcPr>
          <w:p>
            <w:pPr>
              <w:jc w:val="center"/>
            </w:pPr>
            <w:r/>
            <w:r>
              <w:rPr>
                <w:rFonts w:ascii="Times New Roman" w:hAnsi="Times New Roman"/>
                <w:b/>
                <w:sz w:val="20"/>
              </w:rPr>
              <w:t>Macro</w:t>
            </w:r>
          </w:p>
        </w:tc>
      </w:tr>
      <w:tr>
        <w:tc>
          <w:tcPr>
            <w:tcW w:type="dxa" w:w="1568"/>
          </w:tcPr>
          <w:p>
            <w:r/>
            <w:r>
              <w:rPr>
                <w:rFonts w:ascii="Times New Roman" w:hAnsi="Times New Roman"/>
                <w:sz w:val="20"/>
              </w:rPr>
              <w:t>---------</w:t>
            </w:r>
          </w:p>
        </w:tc>
        <w:tc>
          <w:tcPr>
            <w:tcW w:type="dxa" w:w="1568"/>
          </w:tcPr>
          <w:p>
            <w:r/>
            <w:r>
              <w:rPr>
                <w:rFonts w:ascii="Times New Roman" w:hAnsi="Times New Roman"/>
                <w:sz w:val="20"/>
              </w:rPr>
              <w:t>------</w:t>
            </w:r>
          </w:p>
        </w:tc>
        <w:tc>
          <w:tcPr>
            <w:tcW w:type="dxa" w:w="1568"/>
          </w:tcPr>
          <w:p>
            <w:r/>
            <w:r>
              <w:rPr>
                <w:rFonts w:ascii="Times New Roman" w:hAnsi="Times New Roman"/>
                <w:sz w:val="20"/>
              </w:rPr>
              <w:t>------</w:t>
            </w:r>
          </w:p>
        </w:tc>
        <w:tc>
          <w:tcPr>
            <w:tcW w:type="dxa" w:w="1568"/>
          </w:tcPr>
          <w:p>
            <w:r/>
            <w:r>
              <w:rPr>
                <w:rFonts w:ascii="Times New Roman" w:hAnsi="Times New Roman"/>
                <w:sz w:val="20"/>
              </w:rPr>
              <w:t>------</w:t>
            </w:r>
          </w:p>
        </w:tc>
        <w:tc>
          <w:tcPr>
            <w:tcW w:type="dxa" w:w="1568"/>
          </w:tcPr>
          <w:p>
            <w:r/>
            <w:r>
              <w:rPr>
                <w:rFonts w:ascii="Times New Roman" w:hAnsi="Times New Roman"/>
                <w:sz w:val="20"/>
              </w:rPr>
              <w:t>------</w:t>
            </w:r>
          </w:p>
        </w:tc>
        <w:tc>
          <w:tcPr>
            <w:tcW w:type="dxa" w:w="1568"/>
          </w:tcPr>
          <w:p>
            <w:r/>
            <w:r>
              <w:rPr>
                <w:rFonts w:ascii="Times New Roman" w:hAnsi="Times New Roman"/>
                <w:sz w:val="20"/>
              </w:rPr>
              <w:t>-------</w:t>
            </w:r>
          </w:p>
        </w:tc>
      </w:tr>
      <w:tr>
        <w:tc>
          <w:tcPr>
            <w:tcW w:type="dxa" w:w="1568"/>
          </w:tcPr>
          <w:p>
            <w:r/>
            <w:r>
              <w:rPr>
                <w:rFonts w:ascii="Times New Roman" w:hAnsi="Times New Roman"/>
                <w:sz w:val="20"/>
              </w:rPr>
              <w:t>3</w:t>
            </w:r>
          </w:p>
        </w:tc>
        <w:tc>
          <w:tcPr>
            <w:tcW w:type="dxa" w:w="1568"/>
          </w:tcPr>
          <w:p>
            <w:r/>
            <w:r>
              <w:rPr>
                <w:rFonts w:ascii="Times New Roman" w:hAnsi="Times New Roman"/>
                <w:sz w:val="20"/>
              </w:rPr>
              <w:t>0.88</w:t>
            </w:r>
          </w:p>
        </w:tc>
        <w:tc>
          <w:tcPr>
            <w:tcW w:type="dxa" w:w="1568"/>
          </w:tcPr>
          <w:p>
            <w:r/>
            <w:r>
              <w:rPr>
                <w:rFonts w:ascii="Times New Roman" w:hAnsi="Times New Roman"/>
                <w:sz w:val="20"/>
              </w:rPr>
              <w:t>0.89</w:t>
            </w:r>
          </w:p>
        </w:tc>
        <w:tc>
          <w:tcPr>
            <w:tcW w:type="dxa" w:w="1568"/>
          </w:tcPr>
          <w:p>
            <w:r/>
            <w:r>
              <w:rPr>
                <w:rFonts w:ascii="Times New Roman" w:hAnsi="Times New Roman"/>
                <w:sz w:val="20"/>
              </w:rPr>
              <w:t>0.91</w:t>
            </w:r>
          </w:p>
        </w:tc>
        <w:tc>
          <w:tcPr>
            <w:tcW w:type="dxa" w:w="1568"/>
          </w:tcPr>
          <w:p>
            <w:r/>
            <w:r>
              <w:rPr>
                <w:rFonts w:ascii="Times New Roman" w:hAnsi="Times New Roman"/>
                <w:sz w:val="20"/>
              </w:rPr>
              <w:t>0.92</w:t>
            </w:r>
          </w:p>
        </w:tc>
        <w:tc>
          <w:tcPr>
            <w:tcW w:type="dxa" w:w="1568"/>
          </w:tcPr>
          <w:p>
            <w:r/>
            <w:r>
              <w:rPr>
                <w:rFonts w:ascii="Times New Roman" w:hAnsi="Times New Roman"/>
                <w:sz w:val="20"/>
              </w:rPr>
              <w:t>0.91</w:t>
            </w:r>
          </w:p>
        </w:tc>
      </w:tr>
      <w:tr>
        <w:tc>
          <w:tcPr>
            <w:tcW w:type="dxa" w:w="1568"/>
          </w:tcPr>
          <w:p>
            <w:r/>
            <w:r>
              <w:rPr>
                <w:rFonts w:ascii="Times New Roman" w:hAnsi="Times New Roman"/>
                <w:sz w:val="20"/>
              </w:rPr>
              <w:t>8</w:t>
            </w:r>
          </w:p>
        </w:tc>
        <w:tc>
          <w:tcPr>
            <w:tcW w:type="dxa" w:w="1568"/>
          </w:tcPr>
          <w:p>
            <w:r/>
            <w:r>
              <w:rPr>
                <w:rFonts w:ascii="Times New Roman" w:hAnsi="Times New Roman"/>
                <w:sz w:val="20"/>
              </w:rPr>
              <w:t>0.96</w:t>
            </w:r>
          </w:p>
        </w:tc>
        <w:tc>
          <w:tcPr>
            <w:tcW w:type="dxa" w:w="1568"/>
          </w:tcPr>
          <w:p>
            <w:r/>
            <w:r>
              <w:rPr>
                <w:rFonts w:ascii="Times New Roman" w:hAnsi="Times New Roman"/>
                <w:sz w:val="20"/>
              </w:rPr>
              <w:t>0.97</w:t>
            </w:r>
          </w:p>
        </w:tc>
        <w:tc>
          <w:tcPr>
            <w:tcW w:type="dxa" w:w="1568"/>
          </w:tcPr>
          <w:p>
            <w:r/>
            <w:r>
              <w:rPr>
                <w:rFonts w:ascii="Times New Roman" w:hAnsi="Times New Roman"/>
                <w:sz w:val="20"/>
              </w:rPr>
              <w:t>0.97</w:t>
            </w:r>
          </w:p>
        </w:tc>
        <w:tc>
          <w:tcPr>
            <w:tcW w:type="dxa" w:w="1568"/>
          </w:tcPr>
          <w:p>
            <w:r/>
            <w:r>
              <w:rPr>
                <w:rFonts w:ascii="Times New Roman" w:hAnsi="Times New Roman"/>
                <w:sz w:val="20"/>
              </w:rPr>
              <w:t>0.98</w:t>
            </w:r>
          </w:p>
        </w:tc>
        <w:tc>
          <w:tcPr>
            <w:tcW w:type="dxa" w:w="1568"/>
          </w:tcPr>
          <w:p>
            <w:r/>
            <w:r>
              <w:rPr>
                <w:rFonts w:ascii="Times New Roman" w:hAnsi="Times New Roman"/>
                <w:sz w:val="20"/>
              </w:rPr>
              <w:t>0.97</w:t>
            </w:r>
          </w:p>
        </w:tc>
      </w:tr>
      <w:tr>
        <w:tc>
          <w:tcPr>
            <w:tcW w:type="dxa" w:w="1568"/>
          </w:tcPr>
          <w:p>
            <w:r/>
            <w:r>
              <w:rPr>
                <w:rFonts w:ascii="Times New Roman" w:hAnsi="Times New Roman"/>
                <w:sz w:val="20"/>
              </w:rPr>
              <w:t>20</w:t>
            </w:r>
          </w:p>
        </w:tc>
        <w:tc>
          <w:tcPr>
            <w:tcW w:type="dxa" w:w="1568"/>
          </w:tcPr>
          <w:p>
            <w:r/>
            <w:r>
              <w:rPr>
                <w:rFonts w:ascii="Times New Roman" w:hAnsi="Times New Roman"/>
                <w:sz w:val="20"/>
              </w:rPr>
              <w:t>0.99</w:t>
            </w:r>
          </w:p>
        </w:tc>
        <w:tc>
          <w:tcPr>
            <w:tcW w:type="dxa" w:w="1568"/>
          </w:tcPr>
          <w:p>
            <w:r/>
            <w:r>
              <w:rPr>
                <w:rFonts w:ascii="Times New Roman" w:hAnsi="Times New Roman"/>
                <w:sz w:val="20"/>
              </w:rPr>
              <w:t>0.99</w:t>
            </w:r>
          </w:p>
        </w:tc>
        <w:tc>
          <w:tcPr>
            <w:tcW w:type="dxa" w:w="1568"/>
          </w:tcPr>
          <w:p>
            <w:r/>
            <w:r>
              <w:rPr>
                <w:rFonts w:ascii="Times New Roman" w:hAnsi="Times New Roman"/>
                <w:sz w:val="20"/>
              </w:rPr>
              <w:t>0.99</w:t>
            </w:r>
          </w:p>
        </w:tc>
        <w:tc>
          <w:tcPr>
            <w:tcW w:type="dxa" w:w="1568"/>
          </w:tcPr>
          <w:p>
            <w:r/>
            <w:r>
              <w:rPr>
                <w:rFonts w:ascii="Times New Roman" w:hAnsi="Times New Roman"/>
                <w:sz w:val="20"/>
              </w:rPr>
              <w:t>0.99</w:t>
            </w:r>
          </w:p>
        </w:tc>
        <w:tc>
          <w:tcPr>
            <w:tcW w:type="dxa" w:w="1568"/>
          </w:tcPr>
          <w:p>
            <w:r/>
            <w:r>
              <w:rPr>
                <w:rFonts w:ascii="Times New Roman" w:hAnsi="Times New Roman"/>
                <w:sz w:val="20"/>
              </w:rPr>
              <w:t>0.99</w:t>
            </w:r>
          </w:p>
        </w:tc>
      </w:tr>
    </w:tbl>
    <w:p>
      <w:pPr>
        <w:spacing w:after="80"/>
      </w:pPr>
    </w:p>
    <w:p>
      <w:pPr>
        <w:spacing w:after="80" w:line="276" w:lineRule="auto"/>
      </w:pPr>
      <w:r>
        <w:rPr>
          <w:rFonts w:ascii="Times New Roman" w:hAnsi="Times New Roman"/>
          <w:sz w:val="22"/>
        </w:rPr>
        <w:t>All horizons improve consistently with N; no single horizon lags systematically.</w:t>
      </w:r>
    </w:p>
    <w:p>
      <w:pPr>
        <w:spacing w:after="80" w:line="276" w:lineRule="auto"/>
      </w:pPr>
      <w:r>
        <w:rPr>
          <w:rFonts w:ascii="Times New Roman" w:hAnsi="Times New Roman"/>
          <w:sz w:val="22"/>
        </w:rPr>
      </w:r>
      <w:r>
        <w:rPr>
          <w:rFonts w:ascii="Times New Roman" w:hAnsi="Times New Roman"/>
          <w:b/>
          <w:sz w:val="22"/>
        </w:rPr>
        <w:t>Figure 1</w:t>
      </w:r>
      <w:r>
        <w:rPr>
          <w:rFonts w:ascii="Times New Roman" w:hAnsi="Times New Roman"/>
          <w:sz w:val="22"/>
        </w:rPr>
        <w:t xml:space="preserve"> (scaling_curve.png) plots AUC vs N with 95% bootstrap confidence intervals and annotated regimes.</w:t>
      </w:r>
    </w:p>
    <w:p>
      <w:pPr>
        <w:spacing w:after="80" w:line="276" w:lineRule="auto"/>
      </w:pPr>
      <w:r>
        <w:rPr>
          <w:rFonts w:ascii="Times New Roman" w:hAnsi="Times New Roman"/>
          <w:sz w:val="22"/>
        </w:rPr>
      </w:r>
      <w:r>
        <w:rPr>
          <w:rFonts w:ascii="Times New Roman" w:hAnsi="Times New Roman"/>
          <w:b/>
          <w:sz w:val="22"/>
        </w:rPr>
        <w:t>Key findings:</w:t>
      </w:r>
      <w:r>
        <w:rPr>
          <w:rFonts w:ascii="Times New Roman" w:hAnsi="Times New Roman"/>
          <w:sz w:val="22"/>
        </w:rPr>
      </w:r>
    </w:p>
    <w:p>
      <w:pPr>
        <w:spacing w:after="40"/>
        <w:ind w:left="567"/>
      </w:pPr>
      <w:r>
        <w:rPr>
          <w:rFonts w:ascii="Times New Roman" w:hAnsi="Times New Roman"/>
          <w:sz w:val="22"/>
        </w:rPr>
        <w:t>• **Rapid initial improvement:** AUC rises from 0.84 (N=2) to 0.94 (N=5) to 0.97 (N=8). Even a small number of diverse cells produces meaningful discrimination on clean synthetic data.</w:t>
      </w:r>
    </w:p>
    <w:p>
      <w:pPr>
        <w:spacing w:after="40"/>
        <w:ind w:left="567"/>
      </w:pPr>
      <w:r>
        <w:rPr>
          <w:rFonts w:ascii="Times New Roman" w:hAnsi="Times New Roman"/>
          <w:sz w:val="22"/>
        </w:rPr>
        <w:t>• **Diminishing returns above N=12:** The curve plateaus at AUC &gt; 0.98 for N ≥ 12. Each additional cell beyond 12 provides marginal gains.</w:t>
      </w:r>
    </w:p>
    <w:p>
      <w:pPr>
        <w:spacing w:after="40"/>
        <w:ind w:left="567"/>
      </w:pPr>
      <w:r>
        <w:rPr>
          <w:rFonts w:ascii="Times New Roman" w:hAnsi="Times New Roman"/>
          <w:sz w:val="22"/>
        </w:rPr>
        <w:t>• **Low variance at scale:** Bootstrap CIs narrow from ±0.003 (N=2) to ±0.0005 (N≥8), and inter-seed standard deviation drops from 0.012 (N=3) to 0.001 (N≥12), indicating stable reproducible results.</w:t>
      </w:r>
    </w:p>
    <w:p>
      <w:pPr>
        <w:spacing w:after="40"/>
        <w:ind w:left="567"/>
      </w:pPr>
      <w:r>
        <w:rPr>
          <w:rFonts w:ascii="Times New Roman" w:hAnsi="Times New Roman"/>
          <w:sz w:val="22"/>
        </w:rPr>
        <w:t>• **Regime classification:** We identify three regimes:</w:t>
      </w:r>
      <w:r>
        <w:rPr>
          <w:sz w:val="22"/>
        </w:rPr>
        <w:br/>
      </w:r>
      <w:r>
        <w:rPr>
          <w:rFonts w:ascii="Times New Roman" w:hAnsi="Times New Roman"/>
          <w:sz w:val="22"/>
        </w:rPr>
        <w:t>• **Insufficient (N ≤ 5):** AUC &lt; 0.95, wider CIs (e.g., N=2 CI width 0.006). Model cannot reliably distinguish failing from non-failing cycles.</w:t>
      </w:r>
      <w:r>
        <w:rPr>
          <w:sz w:val="22"/>
        </w:rPr>
        <w:br/>
      </w:r>
      <w:r>
        <w:rPr>
          <w:rFonts w:ascii="Times New Roman" w:hAnsi="Times New Roman"/>
          <w:sz w:val="22"/>
        </w:rPr>
        <w:t>• **Marginal (5 &lt; N &lt; 12):** AUC 0.95–0.98, narrowing CIs. Useful discrimination but results depend on specific cell composition.</w:t>
      </w:r>
      <w:r>
        <w:rPr>
          <w:sz w:val="22"/>
        </w:rPr>
        <w:br/>
      </w:r>
      <w:r>
        <w:rPr>
          <w:rFonts w:ascii="Times New Roman" w:hAnsi="Times New Roman"/>
          <w:sz w:val="22"/>
        </w:rPr>
        <w:t>• **Reliable (N ≥ 12):** AUC &gt; 0.98, narrow CIs. Consistent, high-quality risk differentiation.</w:t>
      </w:r>
    </w:p>
    <w:p>
      <w:pPr>
        <w:spacing w:after="80" w:line="276" w:lineRule="auto"/>
      </w:pPr>
      <w:r>
        <w:rPr>
          <w:rFonts w:ascii="Times New Roman" w:hAnsi="Times New Roman"/>
          <w:sz w:val="22"/>
        </w:rPr>
        <w:t>#### 5.2.1 SOH Threshold Sensitivity</w:t>
      </w:r>
    </w:p>
    <w:p>
      <w:pPr>
        <w:spacing w:after="80" w:line="276" w:lineRule="auto"/>
      </w:pPr>
      <w:r>
        <w:rPr>
          <w:rFonts w:ascii="Times New Roman" w:hAnsi="Times New Roman"/>
          <w:sz w:val="22"/>
        </w:rPr>
        <w:t>To test robustness of the scaling curve to the failure definition, we repeat the experiment at SOH thresholds 0.75 and 0.80 (10 seeds each, N ∈ {2, 5, 12, 20}):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b/>
                <w:sz w:val="20"/>
              </w:rPr>
              <w:t>N cells</w:t>
            </w:r>
          </w:p>
        </w:tc>
        <w:tc>
          <w:tcPr>
            <w:tcW w:type="dxa" w:w="2351"/>
          </w:tcPr>
          <w:p>
            <w:pPr>
              <w:jc w:val="center"/>
            </w:pPr>
            <w:r/>
            <w:r>
              <w:rPr>
                <w:rFonts w:ascii="Times New Roman" w:hAnsi="Times New Roman"/>
                <w:b/>
                <w:sz w:val="20"/>
              </w:rPr>
              <w:t>SOH=0.70</w:t>
            </w:r>
          </w:p>
        </w:tc>
        <w:tc>
          <w:tcPr>
            <w:tcW w:type="dxa" w:w="2351"/>
          </w:tcPr>
          <w:p>
            <w:pPr>
              <w:jc w:val="center"/>
            </w:pPr>
            <w:r/>
            <w:r>
              <w:rPr>
                <w:rFonts w:ascii="Times New Roman" w:hAnsi="Times New Roman"/>
                <w:b/>
                <w:sz w:val="20"/>
              </w:rPr>
              <w:t>SOH=0.75</w:t>
            </w:r>
          </w:p>
        </w:tc>
        <w:tc>
          <w:tcPr>
            <w:tcW w:type="dxa" w:w="2351"/>
          </w:tcPr>
          <w:p>
            <w:pPr>
              <w:jc w:val="center"/>
            </w:pPr>
            <w:r/>
            <w:r>
              <w:rPr>
                <w:rFonts w:ascii="Times New Roman" w:hAnsi="Times New Roman"/>
                <w:b/>
                <w:sz w:val="20"/>
              </w:rPr>
              <w:t>SOH=0.80</w:t>
            </w:r>
          </w:p>
        </w:tc>
      </w:tr>
      <w:tr>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c>
          <w:tcPr>
            <w:tcW w:type="dxa" w:w="2351"/>
          </w:tcPr>
          <w:p>
            <w:r/>
            <w:r>
              <w:rPr>
                <w:rFonts w:ascii="Times New Roman" w:hAnsi="Times New Roman"/>
                <w:sz w:val="20"/>
              </w:rPr>
              <w:t>----------</w:t>
            </w:r>
          </w:p>
        </w:tc>
      </w:tr>
      <w:tr>
        <w:tc>
          <w:tcPr>
            <w:tcW w:type="dxa" w:w="2351"/>
          </w:tcPr>
          <w:p>
            <w:r/>
            <w:r>
              <w:rPr>
                <w:rFonts w:ascii="Times New Roman" w:hAnsi="Times New Roman"/>
                <w:sz w:val="20"/>
              </w:rPr>
              <w:t>2</w:t>
            </w:r>
          </w:p>
        </w:tc>
        <w:tc>
          <w:tcPr>
            <w:tcW w:type="dxa" w:w="2351"/>
          </w:tcPr>
          <w:p>
            <w:r/>
            <w:r>
              <w:rPr>
                <w:rFonts w:ascii="Times New Roman" w:hAnsi="Times New Roman"/>
                <w:sz w:val="20"/>
              </w:rPr>
              <w:t>0.8419</w:t>
            </w:r>
          </w:p>
        </w:tc>
        <w:tc>
          <w:tcPr>
            <w:tcW w:type="dxa" w:w="2351"/>
          </w:tcPr>
          <w:p>
            <w:r/>
            <w:r>
              <w:rPr>
                <w:rFonts w:ascii="Times New Roman" w:hAnsi="Times New Roman"/>
                <w:sz w:val="20"/>
              </w:rPr>
              <w:t>0.8286</w:t>
            </w:r>
          </w:p>
        </w:tc>
        <w:tc>
          <w:tcPr>
            <w:tcW w:type="dxa" w:w="2351"/>
          </w:tcPr>
          <w:p>
            <w:r/>
            <w:r>
              <w:rPr>
                <w:rFonts w:ascii="Times New Roman" w:hAnsi="Times New Roman"/>
                <w:sz w:val="20"/>
              </w:rPr>
              <w:t>0.8081</w:t>
            </w:r>
          </w:p>
        </w:tc>
      </w:tr>
      <w:tr>
        <w:tc>
          <w:tcPr>
            <w:tcW w:type="dxa" w:w="2351"/>
          </w:tcPr>
          <w:p>
            <w:r/>
            <w:r>
              <w:rPr>
                <w:rFonts w:ascii="Times New Roman" w:hAnsi="Times New Roman"/>
                <w:sz w:val="20"/>
              </w:rPr>
              <w:t>5</w:t>
            </w:r>
          </w:p>
        </w:tc>
        <w:tc>
          <w:tcPr>
            <w:tcW w:type="dxa" w:w="2351"/>
          </w:tcPr>
          <w:p>
            <w:r/>
            <w:r>
              <w:rPr>
                <w:rFonts w:ascii="Times New Roman" w:hAnsi="Times New Roman"/>
                <w:sz w:val="20"/>
              </w:rPr>
              <w:t>0.9348</w:t>
            </w:r>
          </w:p>
        </w:tc>
        <w:tc>
          <w:tcPr>
            <w:tcW w:type="dxa" w:w="2351"/>
          </w:tcPr>
          <w:p>
            <w:r/>
            <w:r>
              <w:rPr>
                <w:rFonts w:ascii="Times New Roman" w:hAnsi="Times New Roman"/>
                <w:sz w:val="20"/>
              </w:rPr>
              <w:t>0.9582</w:t>
            </w:r>
          </w:p>
        </w:tc>
        <w:tc>
          <w:tcPr>
            <w:tcW w:type="dxa" w:w="2351"/>
          </w:tcPr>
          <w:p>
            <w:r/>
            <w:r>
              <w:rPr>
                <w:rFonts w:ascii="Times New Roman" w:hAnsi="Times New Roman"/>
                <w:sz w:val="20"/>
              </w:rPr>
              <w:t>0.9599</w:t>
            </w:r>
          </w:p>
        </w:tc>
      </w:tr>
      <w:tr>
        <w:tc>
          <w:tcPr>
            <w:tcW w:type="dxa" w:w="2351"/>
          </w:tcPr>
          <w:p>
            <w:r/>
            <w:r>
              <w:rPr>
                <w:rFonts w:ascii="Times New Roman" w:hAnsi="Times New Roman"/>
                <w:sz w:val="20"/>
              </w:rPr>
              <w:t>12</w:t>
            </w:r>
          </w:p>
        </w:tc>
        <w:tc>
          <w:tcPr>
            <w:tcW w:type="dxa" w:w="2351"/>
          </w:tcPr>
          <w:p>
            <w:r/>
            <w:r>
              <w:rPr>
                <w:rFonts w:ascii="Times New Roman" w:hAnsi="Times New Roman"/>
                <w:sz w:val="20"/>
              </w:rPr>
              <w:t>0.9801</w:t>
            </w:r>
          </w:p>
        </w:tc>
        <w:tc>
          <w:tcPr>
            <w:tcW w:type="dxa" w:w="2351"/>
          </w:tcPr>
          <w:p>
            <w:r/>
            <w:r>
              <w:rPr>
                <w:rFonts w:ascii="Times New Roman" w:hAnsi="Times New Roman"/>
                <w:sz w:val="20"/>
              </w:rPr>
              <w:t>0.9811</w:t>
            </w:r>
          </w:p>
        </w:tc>
        <w:tc>
          <w:tcPr>
            <w:tcW w:type="dxa" w:w="2351"/>
          </w:tcPr>
          <w:p>
            <w:r/>
            <w:r>
              <w:rPr>
                <w:rFonts w:ascii="Times New Roman" w:hAnsi="Times New Roman"/>
                <w:sz w:val="20"/>
              </w:rPr>
              <w:t>0.9871</w:t>
            </w:r>
          </w:p>
        </w:tc>
      </w:tr>
      <w:tr>
        <w:tc>
          <w:tcPr>
            <w:tcW w:type="dxa" w:w="2351"/>
          </w:tcPr>
          <w:p>
            <w:r/>
            <w:r>
              <w:rPr>
                <w:rFonts w:ascii="Times New Roman" w:hAnsi="Times New Roman"/>
                <w:sz w:val="20"/>
              </w:rPr>
              <w:t>20</w:t>
            </w:r>
          </w:p>
        </w:tc>
        <w:tc>
          <w:tcPr>
            <w:tcW w:type="dxa" w:w="2351"/>
          </w:tcPr>
          <w:p>
            <w:r/>
            <w:r>
              <w:rPr>
                <w:rFonts w:ascii="Times New Roman" w:hAnsi="Times New Roman"/>
                <w:sz w:val="20"/>
              </w:rPr>
              <w:t>0.9862</w:t>
            </w:r>
          </w:p>
        </w:tc>
        <w:tc>
          <w:tcPr>
            <w:tcW w:type="dxa" w:w="2351"/>
          </w:tcPr>
          <w:p>
            <w:r/>
            <w:r>
              <w:rPr>
                <w:rFonts w:ascii="Times New Roman" w:hAnsi="Times New Roman"/>
                <w:sz w:val="20"/>
              </w:rPr>
              <w:t>0.9890</w:t>
            </w:r>
          </w:p>
        </w:tc>
        <w:tc>
          <w:tcPr>
            <w:tcW w:type="dxa" w:w="2351"/>
          </w:tcPr>
          <w:p>
            <w:r/>
            <w:r>
              <w:rPr>
                <w:rFonts w:ascii="Times New Roman" w:hAnsi="Times New Roman"/>
                <w:sz w:val="20"/>
              </w:rPr>
              <w:t>0.9914</w:t>
            </w:r>
          </w:p>
        </w:tc>
      </w:tr>
    </w:tbl>
    <w:p>
      <w:pPr>
        <w:spacing w:after="80"/>
      </w:pPr>
    </w:p>
    <w:p>
      <w:pPr>
        <w:spacing w:after="80" w:line="276" w:lineRule="auto"/>
      </w:pPr>
      <w:r>
        <w:rPr>
          <w:rFonts w:ascii="Times New Roman" w:hAnsi="Times New Roman"/>
          <w:sz w:val="22"/>
        </w:rPr>
        <w:t>The regime boundaries are robust: all three thresholds produce the same structure (rapid initial rise, plateau at N ≥ 12). The main effect of stricter SOH thresholds is a slight suppression of AUC at low N (0.842 → 0.808 at N=2), because fewer cycles are labeled as failures, reducing the positive-class signal. At N ≥ 12 all thresholds converge to AUC &gt; 0.98.</w:t>
      </w:r>
    </w:p>
    <w:p>
      <w:pPr>
        <w:spacing w:after="80" w:line="276" w:lineRule="auto"/>
      </w:pPr>
      <w:r>
        <w:rPr>
          <w:rFonts w:ascii="Times New Roman" w:hAnsi="Times New Roman"/>
          <w:sz w:val="22"/>
        </w:rPr>
      </w:r>
      <w:r>
        <w:rPr>
          <w:rFonts w:ascii="Times New Roman" w:hAnsi="Times New Roman"/>
          <w:b/>
          <w:sz w:val="22"/>
        </w:rPr>
        <w:t>Critical caveat:</w:t>
      </w:r>
      <w:r>
        <w:rPr>
          <w:rFonts w:ascii="Times New Roman" w:hAnsi="Times New Roman"/>
          <w:sz w:val="22"/>
        </w:rPr>
        <w:t xml:space="preserve"> The synthetic generator intentionally maximizes cell diversity at every dataset size by spreading degradation parameters across the full range (slowest to fastest fade). This design choice, combined with the KS-test-confirmed gap between synthetic and real degradation distributions (§4.3), means the curve represents an optimistic upper bound. The relative trend — rapid improvement to N=8–12, then diminishing returns — is the actionable finding, not the absolute AUC values.</w:t>
      </w:r>
    </w:p>
    <w:p>
      <w:pPr>
        <w:spacing w:after="80" w:line="276" w:lineRule="auto"/>
      </w:pPr>
      <w:r>
        <w:rPr>
          <w:rFonts w:ascii="Times New Roman" w:hAnsi="Times New Roman"/>
          <w:sz w:val="22"/>
        </w:rPr>
      </w:r>
      <w:r>
        <w:rPr>
          <w:rFonts w:ascii="Times New Roman" w:hAnsi="Times New Roman"/>
          <w:b/>
          <w:sz w:val="22"/>
        </w:rPr>
        <w:t>Computational cost:</w:t>
      </w:r>
      <w:r>
        <w:rPr>
          <w:rFonts w:ascii="Times New Roman" w:hAnsi="Times New Roman"/>
          <w:sz w:val="22"/>
        </w:rPr>
        <w:t xml:space="preserve"> The full synthetic scaling study (N = 2, 3, 5, 8, 12, 20; 20 Monte Carlo seeds; bootstrap CIs; DeLong tests) requires approximately 4–5 hours on a modern 8-core CPU. The NASA 4-cell real-data experiments complete in under 10 seconds with `--quick` mode (XGBoost only).</w:t>
      </w:r>
    </w:p>
    <w:p>
      <w:pPr>
        <w:spacing w:after="120" w:before="160"/>
      </w:pPr>
      <w:r>
        <w:rPr>
          <w:rFonts w:ascii="Times New Roman" w:hAnsi="Times New Roman"/>
          <w:b/>
          <w:i w:val="0"/>
          <w:sz w:val="24"/>
        </w:rPr>
        <w:t>6 Methodological Pitfalls Encountered and Addressed</w:t>
      </w:r>
    </w:p>
    <w:p>
      <w:pPr>
        <w:spacing w:after="80" w:line="276" w:lineRule="auto"/>
      </w:pPr>
      <w:r>
        <w:rPr>
          <w:rFonts w:ascii="Times New Roman" w:hAnsi="Times New Roman"/>
          <w:sz w:val="22"/>
        </w:rPr>
        <w:t>During implementation we encountered three methodological issues that can inflate reported results in battery ML research. We emphasize that these are pitfalls identified during our own implementation process, not errors in the original Shikdar–Laaksonen codebase. Each is documented with mechanism, quantitative demonstration on a working model, and corrected approach.</w:t>
      </w:r>
    </w:p>
    <w:p>
      <w:pPr>
        <w:spacing w:after="120" w:before="160"/>
      </w:pPr>
      <w:r>
        <w:rPr>
          <w:rFonts w:ascii="Times New Roman" w:hAnsi="Times New Roman"/>
          <w:b/>
          <w:i w:val="0"/>
          <w:sz w:val="22"/>
        </w:rPr>
        <w:t>6.1 Calibration Data Leakage</w:t>
      </w:r>
    </w:p>
    <w:p>
      <w:pPr>
        <w:spacing w:after="80" w:line="276" w:lineRule="auto"/>
      </w:pPr>
      <w:r>
        <w:rPr>
          <w:rFonts w:ascii="Times New Roman" w:hAnsi="Times New Roman"/>
          <w:sz w:val="22"/>
        </w:rPr>
      </w:r>
      <w:r>
        <w:rPr>
          <w:rFonts w:ascii="Times New Roman" w:hAnsi="Times New Roman"/>
          <w:b/>
          <w:sz w:val="22"/>
        </w:rPr>
        <w:t>Problem:</w:t>
      </w:r>
      <w:r>
        <w:rPr>
          <w:rFonts w:ascii="Times New Roman" w:hAnsi="Times New Roman"/>
          <w:sz w:val="22"/>
        </w:rPr>
        <w:t xml:space="preserve"> Fitting the probability calibrator (isotonic regression) on the test set rather than a held-out validation set creates data leakage. Since isotonic regression is a monotonic transform, it preserves rank order — an apparent AUC increase after calibration is a diagnostic signal of leakage.</w:t>
      </w:r>
    </w:p>
    <w:p>
      <w:pPr>
        <w:spacing w:after="80" w:line="276" w:lineRule="auto"/>
      </w:pPr>
      <w:r>
        <w:rPr>
          <w:rFonts w:ascii="Times New Roman" w:hAnsi="Times New Roman"/>
          <w:sz w:val="22"/>
        </w:rPr>
      </w:r>
      <w:r>
        <w:rPr>
          <w:rFonts w:ascii="Times New Roman" w:hAnsi="Times New Roman"/>
          <w:b/>
          <w:sz w:val="22"/>
        </w:rPr>
        <w:t>Demonstration:</w:t>
      </w:r>
      <w:r>
        <w:rPr>
          <w:rFonts w:ascii="Times New Roman" w:hAnsi="Times New Roman"/>
          <w:sz w:val="22"/>
        </w:rPr>
        <w:t xml:space="preserve"> On synthetic data (N=20 cells, 10 seeds), fitting the calibrator on the test set inflates macro-averaged AUC from 0.9786 (correct) to 0.9947 (leaked), a +0.0161 inflation. While smaller than the inflation observed on near-random models (+0.28 on NASA 4-cell), this demonstrates the effect persists on models that genuinely discriminate.</w:t>
      </w:r>
    </w:p>
    <w:p>
      <w:pPr>
        <w:spacing w:after="80" w:line="276" w:lineRule="auto"/>
      </w:pPr>
      <w:r>
        <w:rPr>
          <w:rFonts w:ascii="Times New Roman" w:hAnsi="Times New Roman"/>
          <w:sz w:val="22"/>
        </w:rPr>
      </w:r>
      <w:r>
        <w:rPr>
          <w:rFonts w:ascii="Times New Roman" w:hAnsi="Times New Roman"/>
          <w:b/>
          <w:sz w:val="22"/>
        </w:rPr>
        <w:t>Fix:</w:t>
      </w:r>
      <w:r>
        <w:rPr>
          <w:rFonts w:ascii="Times New Roman" w:hAnsi="Times New Roman"/>
          <w:sz w:val="22"/>
        </w:rPr>
        <w:t xml:space="preserve"> Hold out 20% of each training fold for calibrator fitting. Apply the calibrator to the test set only after fitting on validation data.</w:t>
      </w:r>
    </w:p>
    <w:p>
      <w:pPr>
        <w:spacing w:after="120" w:before="160"/>
      </w:pPr>
      <w:r>
        <w:rPr>
          <w:rFonts w:ascii="Times New Roman" w:hAnsi="Times New Roman"/>
          <w:b/>
          <w:i w:val="0"/>
          <w:sz w:val="22"/>
        </w:rPr>
        <w:t>6.2 Energy Unit Error</w:t>
      </w:r>
    </w:p>
    <w:p>
      <w:pPr>
        <w:spacing w:after="80" w:line="276" w:lineRule="auto"/>
      </w:pPr>
      <w:r>
        <w:rPr>
          <w:rFonts w:ascii="Times New Roman" w:hAnsi="Times New Roman"/>
          <w:sz w:val="22"/>
        </w:rPr>
      </w:r>
      <w:r>
        <w:rPr>
          <w:rFonts w:ascii="Times New Roman" w:hAnsi="Times New Roman"/>
          <w:b/>
          <w:sz w:val="22"/>
        </w:rPr>
        <w:t>Problem:</w:t>
      </w:r>
      <w:r>
        <w:rPr>
          <w:rFonts w:ascii="Times New Roman" w:hAnsi="Times New Roman"/>
          <w:sz w:val="22"/>
        </w:rPr>
        <w:t xml:space="preserve"> Market simulation studies commonly report electricity prices in \$/MWh but compute revenue using energy delivered in kWh without unit conversion. Revenue = energy (kWh) × price (\$/MWh) / 1000. Omitting the division by 1000 overstates revenue by three orders of magnitude.</w:t>
      </w:r>
    </w:p>
    <w:p>
      <w:pPr>
        <w:spacing w:after="80" w:line="276" w:lineRule="auto"/>
      </w:pPr>
      <w:r>
        <w:rPr>
          <w:rFonts w:ascii="Times New Roman" w:hAnsi="Times New Roman"/>
          <w:sz w:val="22"/>
        </w:rPr>
      </w:r>
      <w:r>
        <w:rPr>
          <w:rFonts w:ascii="Times New Roman" w:hAnsi="Times New Roman"/>
          <w:b/>
          <w:sz w:val="22"/>
        </w:rPr>
        <w:t>Demonstration:</w:t>
      </w:r>
      <w:r>
        <w:rPr>
          <w:rFonts w:ascii="Times New Roman" w:hAnsi="Times New Roman"/>
          <w:sz w:val="22"/>
        </w:rPr>
        <w:t xml:space="preserve"> With 150 cycles × 0.5 kWh/cycle × \$50/MWh, correct revenue is \$3.75. Without unit conversion, the computed revenue is \$3,750 — a 1000× overstatement.</w:t>
      </w:r>
    </w:p>
    <w:p>
      <w:pPr>
        <w:spacing w:after="80" w:line="276" w:lineRule="auto"/>
      </w:pPr>
      <w:r>
        <w:rPr>
          <w:rFonts w:ascii="Times New Roman" w:hAnsi="Times New Roman"/>
          <w:sz w:val="22"/>
        </w:rPr>
      </w:r>
      <w:r>
        <w:rPr>
          <w:rFonts w:ascii="Times New Roman" w:hAnsi="Times New Roman"/>
          <w:b/>
          <w:sz w:val="22"/>
        </w:rPr>
        <w:t>Fix:</w:t>
      </w:r>
      <w:r>
        <w:rPr>
          <w:rFonts w:ascii="Times New Roman" w:hAnsi="Times New Roman"/>
          <w:sz w:val="22"/>
        </w:rPr>
        <w:t xml:space="preserve"> All revenue calculations in `MarketSimulator` explicitly convert kWh to MWh by dividing by 1000.</w:t>
      </w:r>
    </w:p>
    <w:p>
      <w:pPr>
        <w:spacing w:after="120" w:before="160"/>
      </w:pPr>
      <w:r>
        <w:rPr>
          <w:rFonts w:ascii="Times New Roman" w:hAnsi="Times New Roman"/>
          <w:b/>
          <w:i w:val="0"/>
          <w:sz w:val="22"/>
        </w:rPr>
        <w:t>6.3 Inconsistent Ablation Baseline</w:t>
      </w:r>
    </w:p>
    <w:p>
      <w:pPr>
        <w:spacing w:after="80" w:line="276" w:lineRule="auto"/>
      </w:pPr>
      <w:r>
        <w:rPr>
          <w:rFonts w:ascii="Times New Roman" w:hAnsi="Times New Roman"/>
          <w:sz w:val="22"/>
        </w:rPr>
      </w:r>
      <w:r>
        <w:rPr>
          <w:rFonts w:ascii="Times New Roman" w:hAnsi="Times New Roman"/>
          <w:b/>
          <w:sz w:val="22"/>
        </w:rPr>
        <w:t>Problem:</w:t>
      </w:r>
      <w:r>
        <w:rPr>
          <w:rFonts w:ascii="Times New Roman" w:hAnsi="Times New Roman"/>
          <w:sz w:val="22"/>
        </w:rPr>
        <w:t xml:space="preserve"> Comparing the baseline "always dispatch" failure rate (computed as the proportion of failure-labeled cycles across all horizons) to model-based failure rates (computed conditionally on cycles accepted by the dispatch policy) creates an incompatible comparison.</w:t>
      </w:r>
    </w:p>
    <w:p>
      <w:pPr>
        <w:spacing w:after="80" w:line="276" w:lineRule="auto"/>
      </w:pPr>
      <w:r>
        <w:rPr>
          <w:rFonts w:ascii="Times New Roman" w:hAnsi="Times New Roman"/>
          <w:sz w:val="22"/>
        </w:rPr>
      </w:r>
      <w:r>
        <w:rPr>
          <w:rFonts w:ascii="Times New Roman" w:hAnsi="Times New Roman"/>
          <w:b/>
          <w:sz w:val="22"/>
        </w:rPr>
        <w:t>Demonstration:</w:t>
      </w:r>
      <w:r>
        <w:rPr>
          <w:rFonts w:ascii="Times New Roman" w:hAnsi="Times New Roman"/>
          <w:sz w:val="22"/>
        </w:rPr>
        <w:t xml:space="preserve"> The baseline failure rate computed as label density (10–13% in typical datasets) differs substantially from the same policy's conditional failure rate (0.63% on NASA data). Comparing these as "before vs after" overstates the model's improvement.</w:t>
      </w:r>
    </w:p>
    <w:p>
      <w:pPr>
        <w:spacing w:after="80" w:line="276" w:lineRule="auto"/>
      </w:pPr>
      <w:r>
        <w:rPr>
          <w:rFonts w:ascii="Times New Roman" w:hAnsi="Times New Roman"/>
          <w:sz w:val="22"/>
        </w:rPr>
      </w:r>
      <w:r>
        <w:rPr>
          <w:rFonts w:ascii="Times New Roman" w:hAnsi="Times New Roman"/>
          <w:b/>
          <w:sz w:val="22"/>
        </w:rPr>
        <w:t>Fix:</w:t>
      </w:r>
      <w:r>
        <w:rPr>
          <w:rFonts w:ascii="Times New Roman" w:hAnsi="Times New Roman"/>
          <w:sz w:val="22"/>
        </w:rPr>
        <w:t xml:space="preserve"> Compute the ablation baseline using the same conditional dispatch metric: simulate the "always dispatch" policy and measure the resulting failure rate on accepted cycles.</w:t>
      </w:r>
    </w:p>
    <w:p>
      <w:pPr>
        <w:spacing w:after="120" w:before="160"/>
      </w:pPr>
      <w:r>
        <w:rPr>
          <w:rFonts w:ascii="Times New Roman" w:hAnsi="Times New Roman"/>
          <w:b/>
          <w:i w:val="0"/>
          <w:sz w:val="24"/>
        </w:rPr>
        <w:t>7 Discussion and Limitations</w:t>
      </w:r>
    </w:p>
    <w:p>
      <w:pPr>
        <w:spacing w:after="120" w:before="160"/>
      </w:pPr>
      <w:r>
        <w:rPr>
          <w:rFonts w:ascii="Times New Roman" w:hAnsi="Times New Roman"/>
          <w:b/>
          <w:i w:val="0"/>
          <w:sz w:val="22"/>
        </w:rPr>
        <w:t>7.1 The Scaling Result in Context</w:t>
      </w:r>
    </w:p>
    <w:p>
      <w:pPr>
        <w:spacing w:after="80" w:line="276" w:lineRule="auto"/>
      </w:pPr>
      <w:r>
        <w:rPr>
          <w:rFonts w:ascii="Times New Roman" w:hAnsi="Times New Roman"/>
          <w:sz w:val="22"/>
        </w:rPr>
        <w:t>The synthetic scaling curve (Section 5.2) provides a quantitative answer to a question the community has discussed qualitatively: "How many batteries do you need?" The answer depends on the acceptable discrimination threshold:</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center"/>
            </w:pPr>
            <w:r/>
            <w:r>
              <w:rPr>
                <w:rFonts w:ascii="Times New Roman" w:hAnsi="Times New Roman"/>
                <w:b/>
                <w:sz w:val="20"/>
              </w:rPr>
              <w:t>Target AUC</w:t>
            </w:r>
          </w:p>
        </w:tc>
        <w:tc>
          <w:tcPr>
            <w:tcW w:type="dxa" w:w="4703"/>
          </w:tcPr>
          <w:p>
            <w:pPr>
              <w:jc w:val="center"/>
            </w:pPr>
            <w:r/>
            <w:r>
              <w:rPr>
                <w:rFonts w:ascii="Times New Roman" w:hAnsi="Times New Roman"/>
                <w:b/>
                <w:sz w:val="20"/>
              </w:rPr>
              <w:t>Minimum N (synthetic, 20 seeds)</w:t>
            </w:r>
          </w:p>
        </w:tc>
      </w:tr>
      <w:tr>
        <w:tc>
          <w:tcPr>
            <w:tcW w:type="dxa" w:w="4703"/>
          </w:tcPr>
          <w:p>
            <w:r/>
            <w:r>
              <w:rPr>
                <w:rFonts w:ascii="Times New Roman" w:hAnsi="Times New Roman"/>
                <w:sz w:val="20"/>
              </w:rPr>
              <w:t>-----------</w:t>
            </w:r>
          </w:p>
        </w:tc>
        <w:tc>
          <w:tcPr>
            <w:tcW w:type="dxa" w:w="4703"/>
          </w:tcPr>
          <w:p>
            <w:r/>
            <w:r>
              <w:rPr>
                <w:rFonts w:ascii="Times New Roman" w:hAnsi="Times New Roman"/>
                <w:sz w:val="20"/>
              </w:rPr>
              <w:t>-------------------------------</w:t>
            </w:r>
          </w:p>
        </w:tc>
      </w:tr>
      <w:tr>
        <w:tc>
          <w:tcPr>
            <w:tcW w:type="dxa" w:w="4703"/>
          </w:tcPr>
          <w:p>
            <w:r/>
            <w:r>
              <w:rPr>
                <w:rFonts w:ascii="Times New Roman" w:hAnsi="Times New Roman"/>
                <w:sz w:val="20"/>
              </w:rPr>
              <w:t>0.90</w:t>
            </w:r>
          </w:p>
        </w:tc>
        <w:tc>
          <w:tcPr>
            <w:tcW w:type="dxa" w:w="4703"/>
          </w:tcPr>
          <w:p>
            <w:r/>
            <w:r>
              <w:rPr>
                <w:rFonts w:ascii="Times New Roman" w:hAnsi="Times New Roman"/>
                <w:sz w:val="20"/>
              </w:rPr>
              <w:t>3</w:t>
            </w:r>
          </w:p>
        </w:tc>
      </w:tr>
      <w:tr>
        <w:tc>
          <w:tcPr>
            <w:tcW w:type="dxa" w:w="4703"/>
          </w:tcPr>
          <w:p>
            <w:r/>
            <w:r>
              <w:rPr>
                <w:rFonts w:ascii="Times New Roman" w:hAnsi="Times New Roman"/>
                <w:sz w:val="20"/>
              </w:rPr>
              <w:t>0.95</w:t>
            </w:r>
          </w:p>
        </w:tc>
        <w:tc>
          <w:tcPr>
            <w:tcW w:type="dxa" w:w="4703"/>
          </w:tcPr>
          <w:p>
            <w:r/>
            <w:r>
              <w:rPr>
                <w:rFonts w:ascii="Times New Roman" w:hAnsi="Times New Roman"/>
                <w:sz w:val="20"/>
              </w:rPr>
              <w:t>5–8</w:t>
            </w:r>
          </w:p>
        </w:tc>
      </w:tr>
      <w:tr>
        <w:tc>
          <w:tcPr>
            <w:tcW w:type="dxa" w:w="4703"/>
          </w:tcPr>
          <w:p>
            <w:r/>
            <w:r>
              <w:rPr>
                <w:rFonts w:ascii="Times New Roman" w:hAnsi="Times New Roman"/>
                <w:sz w:val="20"/>
              </w:rPr>
              <w:t>0.98</w:t>
            </w:r>
          </w:p>
        </w:tc>
        <w:tc>
          <w:tcPr>
            <w:tcW w:type="dxa" w:w="4703"/>
          </w:tcPr>
          <w:p>
            <w:r/>
            <w:r>
              <w:rPr>
                <w:rFonts w:ascii="Times New Roman" w:hAnsi="Times New Roman"/>
                <w:sz w:val="20"/>
              </w:rPr>
              <w:t>12</w:t>
            </w:r>
          </w:p>
        </w:tc>
      </w:tr>
    </w:tbl>
    <w:p>
      <w:pPr>
        <w:spacing w:after="80"/>
      </w:pPr>
    </w:p>
    <w:p>
      <w:pPr>
        <w:spacing w:after="80" w:line="276" w:lineRule="auto"/>
      </w:pPr>
      <w:r>
        <w:rPr>
          <w:rFonts w:ascii="Times New Roman" w:hAnsi="Times New Roman"/>
          <w:sz w:val="22"/>
        </w:rPr>
        <w:t>Real-world data will require more cells than the synthetic curve suggests due to the KS-test-confirmed gap in degradation distributions (§4.3), the intentional diversity maximization in the generator (§4.2), and the presence of noise and measurement artifacts absent from synthetic data. The exact multiplier is application-dependent and cannot be estimated from synthetic data alone.</w:t>
      </w:r>
    </w:p>
    <w:p>
      <w:pPr>
        <w:spacing w:after="120" w:before="160"/>
      </w:pPr>
      <w:r>
        <w:rPr>
          <w:rFonts w:ascii="Times New Roman" w:hAnsi="Times New Roman"/>
          <w:b/>
          <w:i w:val="0"/>
          <w:sz w:val="22"/>
        </w:rPr>
        <w:t>7.2 Limitations</w:t>
      </w:r>
    </w:p>
    <w:p>
      <w:pPr>
        <w:spacing w:after="40"/>
        <w:ind w:left="567"/>
      </w:pPr>
      <w:r>
        <w:rPr>
          <w:rFonts w:ascii="Times New Roman" w:hAnsi="Times New Roman"/>
          <w:sz w:val="22"/>
        </w:rPr>
        <w:t>• **NASA-only validation:** The real-data validation is limited to the NASA 4-cell dataset. Cross-chemistry validation (CALCE LCO, LFP, K2 chemistries) could not be completed due to data access constraints.</w:t>
      </w:r>
    </w:p>
    <w:p>
      <w:pPr>
        <w:spacing w:after="40"/>
        <w:ind w:left="567"/>
      </w:pPr>
      <w:r>
        <w:rPr>
          <w:rFonts w:ascii="Times New Roman" w:hAnsi="Times New Roman"/>
          <w:sz w:val="22"/>
        </w:rPr>
        <w:t>• **CPU-only training:** Deep learning models (LSTM, TCN, Transformer) could not be evaluated within practical CPU training times. The framework supports them architecturally, but results are not reported.</w:t>
      </w:r>
    </w:p>
    <w:p>
      <w:pPr>
        <w:spacing w:after="40"/>
        <w:ind w:left="567"/>
      </w:pPr>
      <w:r>
        <w:rPr>
          <w:rFonts w:ascii="Times New Roman" w:hAnsi="Times New Roman"/>
          <w:sz w:val="22"/>
        </w:rPr>
        <w:t>• **Simplified market model:** The AR(1) price process does not capture the full complexity of real electricity markets, including seasonality, price spikes, and regulatory constraints. The simulation is truncated to 150 cycles (the shortest battery's available cycles) to ensure consistent evaluation length across cells.</w:t>
      </w:r>
    </w:p>
    <w:p>
      <w:pPr>
        <w:spacing w:after="40"/>
        <w:ind w:left="567"/>
      </w:pPr>
      <w:r>
        <w:rPr>
          <w:rFonts w:ascii="Times New Roman" w:hAnsi="Times New Roman"/>
          <w:sz w:val="22"/>
        </w:rPr>
        <w:t>• **Single chemistry:** The synthetic generator models lithium-ion degradation only. Other chemistries (LFP, NMC, LTO) exhibit different degradation characteristics.</w:t>
      </w:r>
    </w:p>
    <w:p>
      <w:pPr>
        <w:spacing w:after="40"/>
        <w:ind w:left="567"/>
      </w:pPr>
      <w:r>
        <w:rPr>
          <w:rFonts w:ascii="Times New Roman" w:hAnsi="Times New Roman"/>
          <w:sz w:val="22"/>
        </w:rPr>
        <w:t>• **Early stopping and calibration set overlap:** The 80/20 train/validation split means that the early stopping criterion and the calibrator fitting share the same held-out set. This creates a mild information leak that may slightly overestimate generalization performance. A three-way split (train/validation/calibration) would eliminate this overlap at the cost of reduced training data.</w:t>
      </w:r>
    </w:p>
    <w:p>
      <w:pPr>
        <w:spacing w:after="40"/>
        <w:ind w:left="567"/>
      </w:pPr>
      <w:r>
        <w:rPr>
          <w:rFonts w:ascii="Times New Roman" w:hAnsi="Times New Roman"/>
          <w:sz w:val="22"/>
        </w:rPr>
        <w:t>• **Temperature artifact removed:** An early version of the synthetic generator included an unintentional temperature drift of +0.02°C per cycle (6°C over 300 cycles). This was removed in the final version; the results reported here use the corrected generator.</w:t>
      </w:r>
    </w:p>
    <w:p>
      <w:pPr>
        <w:spacing w:after="120" w:before="160"/>
      </w:pPr>
      <w:r>
        <w:rPr>
          <w:rFonts w:ascii="Times New Roman" w:hAnsi="Times New Roman"/>
          <w:b/>
          <w:i w:val="0"/>
          <w:sz w:val="22"/>
        </w:rPr>
        <w:t>7.3 Synthetic Data Fidelity</w:t>
      </w:r>
    </w:p>
    <w:p>
      <w:pPr>
        <w:spacing w:after="40"/>
        <w:ind w:left="567"/>
      </w:pPr>
      <w:r>
        <w:rPr>
          <w:rFonts w:ascii="Times New Roman" w:hAnsi="Times New Roman"/>
          <w:sz w:val="22"/>
        </w:rPr>
        <w:t>• The synthetic generator produces clean trajectories that match the qualitative shape of NASA data but lack:</w:t>
      </w:r>
      <w:r>
        <w:rPr>
          <w:sz w:val="22"/>
        </w:rPr>
        <w:br/>
      </w:r>
      <w:r>
        <w:rPr>
          <w:rFonts w:ascii="Times New Roman" w:hAnsi="Times New Roman"/>
          <w:sz w:val="22"/>
        </w:rPr>
        <w:t>• Measurement artifacts and sensor noise patterns</w:t>
      </w:r>
      <w:r>
        <w:rPr>
          <w:sz w:val="22"/>
        </w:rPr>
        <w:br/>
      </w:r>
      <w:r>
        <w:rPr>
          <w:rFonts w:ascii="Times New Roman" w:hAnsi="Times New Roman"/>
          <w:sz w:val="22"/>
        </w:rPr>
        <w:t>• Capacity regeneration effects (voltage recovery after rest periods)</w:t>
      </w:r>
      <w:r>
        <w:rPr>
          <w:sz w:val="22"/>
        </w:rPr>
        <w:br/>
      </w:r>
      <w:r>
        <w:rPr>
          <w:rFonts w:ascii="Times New Roman" w:hAnsi="Times New Roman"/>
          <w:sz w:val="22"/>
        </w:rPr>
        <w:t>• Non-degradation failure modes (e.g., internal short circuits, thermal events)</w:t>
      </w:r>
      <w:r>
        <w:rPr>
          <w:sz w:val="22"/>
        </w:rPr>
        <w:br/>
      </w:r>
      <w:r>
        <w:rPr>
          <w:rFonts w:ascii="Times New Roman" w:hAnsi="Times New Roman"/>
          <w:sz w:val="22"/>
        </w:rPr>
        <w:t>• Calendar aging effects</w:t>
      </w:r>
    </w:p>
    <w:p>
      <w:pPr>
        <w:spacing w:after="80" w:line="276" w:lineRule="auto"/>
      </w:pPr>
      <w:r>
        <w:rPr>
          <w:rFonts w:ascii="Times New Roman" w:hAnsi="Times New Roman"/>
          <w:sz w:val="22"/>
        </w:rPr>
        <w:t>The scaling curve should therefore be interpreted as a best-case bound. Real-world implementations should budget for additional data to account for this gap.</w:t>
      </w:r>
    </w:p>
    <w:p>
      <w:pPr>
        <w:spacing w:after="120" w:before="160"/>
      </w:pPr>
      <w:r>
        <w:rPr>
          <w:rFonts w:ascii="Times New Roman" w:hAnsi="Times New Roman"/>
          <w:b/>
          <w:i w:val="0"/>
          <w:sz w:val="24"/>
        </w:rPr>
        <w:t>8 Conclusion</w:t>
      </w:r>
    </w:p>
    <w:p>
      <w:pPr>
        <w:spacing w:after="80" w:line="276" w:lineRule="auto"/>
      </w:pPr>
      <w:r>
        <w:rPr>
          <w:rFonts w:ascii="Times New Roman" w:hAnsi="Times New Roman"/>
          <w:sz w:val="22"/>
        </w:rPr>
        <w:t>We have conducted a reproducibility and scaling study of the Shikdar–Laaksonen multihorizon hazard framework for battery operational reliability. We distinguish between what has been demonstrated and what remains assumed.</w:t>
      </w:r>
    </w:p>
    <w:p>
      <w:pPr>
        <w:spacing w:after="40"/>
        <w:ind w:left="567"/>
      </w:pPr>
      <w:r>
        <w:rPr>
          <w:rFonts w:ascii="Times New Roman" w:hAnsi="Times New Roman"/>
          <w:sz w:val="22"/>
        </w:rPr>
        <w:t>• **Demonstrated on synthetic data:**</w:t>
      </w:r>
      <w:r>
        <w:rPr>
          <w:sz w:val="22"/>
        </w:rPr>
        <w:br/>
      </w:r>
      <w:r>
        <w:rPr>
          <w:rFonts w:ascii="Times New Roman" w:hAnsi="Times New Roman"/>
          <w:sz w:val="22"/>
        </w:rPr>
        <w:t>• The scaling curve rises from AUC 0.84 (N=2) to 0.97 (N=8) and plateaus at &gt;0.98 (N≥12), with bootstrap CIs and DeLong significance confirming all adjacent-N differences are meaningful.</w:t>
      </w:r>
      <w:r>
        <w:rPr>
          <w:sz w:val="22"/>
        </w:rPr>
        <w:br/>
      </w:r>
      <w:r>
        <w:rPr>
          <w:rFonts w:ascii="Times New Roman" w:hAnsi="Times New Roman"/>
          <w:sz w:val="22"/>
        </w:rPr>
        <w:t>• The curve shape is robust to SOH threshold choice (0.70, 0.75, 0.80).</w:t>
      </w:r>
      <w:r>
        <w:rPr>
          <w:sz w:val="22"/>
        </w:rPr>
        <w:br/>
      </w:r>
      <w:r>
        <w:rPr>
          <w:rFonts w:ascii="Times New Roman" w:hAnsi="Times New Roman"/>
          <w:sz w:val="22"/>
        </w:rPr>
        <w:t>• Three methodological pitfalls (calibration leakage, energy unit error, inconsistent baselines) produce measurable inflation on working models.</w:t>
      </w:r>
      <w:r>
        <w:rPr>
          <w:sz w:val="22"/>
        </w:rPr>
        <w:br/>
      </w:r>
      <w:r>
        <w:rPr>
          <w:rFonts w:ascii="Times New Roman" w:hAnsi="Times New Roman"/>
          <w:sz w:val="22"/>
        </w:rPr>
        <w:t>• The synthetic generator is statistically distinguishable from real NASA data (KS test, p&lt;0.001), establishing the curve as an optimistic bound.</w:t>
      </w:r>
    </w:p>
    <w:p>
      <w:pPr>
        <w:spacing w:after="40"/>
        <w:ind w:left="567"/>
      </w:pPr>
      <w:r>
        <w:rPr>
          <w:rFonts w:ascii="Times New Roman" w:hAnsi="Times New Roman"/>
          <w:sz w:val="22"/>
        </w:rPr>
        <w:t>• **Validated on real data (NASA 4-cell):**</w:t>
      </w:r>
      <w:r>
        <w:rPr>
          <w:sz w:val="22"/>
        </w:rPr>
        <w:br/>
      </w:r>
      <w:r>
        <w:rPr>
          <w:rFonts w:ascii="Times New Roman" w:hAnsi="Times New Roman"/>
          <w:sz w:val="22"/>
        </w:rPr>
        <w:t>• The framework produces near-random discrimination (AUC 0.46) on 4 cells with 2 of 4 folds unable to compute AUC due to single-class test sets.</w:t>
      </w:r>
      <w:r>
        <w:rPr>
          <w:sz w:val="22"/>
        </w:rPr>
        <w:br/>
      </w:r>
      <w:r>
        <w:rPr>
          <w:rFonts w:ascii="Times New Roman" w:hAnsi="Times New Roman"/>
          <w:sz w:val="22"/>
        </w:rPr>
        <w:t>• This confirms that the framework needs substantial data to produce meaningful results but does **not** validate the specific N estimates from the synthetic curve.</w:t>
      </w:r>
    </w:p>
    <w:p>
      <w:pPr>
        <w:spacing w:after="40"/>
        <w:ind w:left="567"/>
      </w:pPr>
      <w:r>
        <w:rPr>
          <w:rFonts w:ascii="Times New Roman" w:hAnsi="Times New Roman"/>
          <w:sz w:val="22"/>
        </w:rPr>
        <w:t>• **Remaining as assumptions for future work:**</w:t>
      </w:r>
      <w:r>
        <w:rPr>
          <w:sz w:val="22"/>
        </w:rPr>
        <w:br/>
      </w:r>
      <w:r>
        <w:rPr>
          <w:rFonts w:ascii="Times New Roman" w:hAnsi="Times New Roman"/>
          <w:sz w:val="22"/>
        </w:rPr>
        <w:t>• The real-world N multiplier (how many more cells real data needs vs synthetic) is unknown and cannot be estimated from synthetic data alone.</w:t>
      </w:r>
      <w:r>
        <w:rPr>
          <w:sz w:val="22"/>
        </w:rPr>
        <w:br/>
      </w:r>
      <w:r>
        <w:rPr>
          <w:rFonts w:ascii="Times New Roman" w:hAnsi="Times New Roman"/>
          <w:sz w:val="22"/>
        </w:rPr>
        <w:t>• The scaling curve has not been validated on multi-cell real datasets with diverse degradation.</w:t>
      </w:r>
      <w:r>
        <w:rPr>
          <w:sz w:val="22"/>
        </w:rPr>
        <w:br/>
      </w:r>
      <w:r>
        <w:rPr>
          <w:rFonts w:ascii="Times New Roman" w:hAnsi="Times New Roman"/>
          <w:sz w:val="22"/>
        </w:rPr>
        <w:t>• Deep learning model variants could not be evaluated under CPU constraints.</w:t>
      </w:r>
    </w:p>
    <w:p>
      <w:pPr>
        <w:spacing w:after="80" w:line="276" w:lineRule="auto"/>
      </w:pPr>
      <w:r>
        <w:rPr>
          <w:rFonts w:ascii="Times New Roman" w:hAnsi="Times New Roman"/>
          <w:sz w:val="22"/>
        </w:rPr>
        <w:t>Future work should extend the real-data validation to larger, multi-chemistry datasets (15+ cells) to evaluate whether the synthetic scaling curve's regime boundaries generalize, and should assess the deep learning model variants that could not be tested in this CPU-constrained environment.</w:t>
      </w:r>
    </w:p>
    <w:p>
      <w:pPr>
        <w:spacing w:after="120" w:before="160"/>
      </w:pPr>
      <w:r>
        <w:rPr>
          <w:rFonts w:ascii="Times New Roman" w:hAnsi="Times New Roman"/>
          <w:b/>
          <w:i w:val="0"/>
          <w:sz w:val="24"/>
        </w:rPr>
        <w:t>References</w:t>
      </w:r>
    </w:p>
    <w:p>
      <w:pPr>
        <w:spacing w:after="80" w:line="276" w:lineRule="auto"/>
      </w:pPr>
      <w:r>
        <w:rPr>
          <w:rFonts w:ascii="Times New Roman" w:hAnsi="Times New Roman"/>
          <w:sz w:val="22"/>
        </w:rPr>
        <w:t>[1] F. C. Mushid and M. F. Khan, "Battery Energy Storage for Ancillary Services in Distribution Networks: Technologies, Applications, and Deployment Challenges---A Comprehensive Review," *Energies*, vol. 18, no. 20, p. 5443, 2025, doi: 10.3390/en18205443.</w:t>
      </w:r>
    </w:p>
    <w:p>
      <w:pPr>
        <w:spacing w:after="80" w:line="276" w:lineRule="auto"/>
      </w:pPr>
      <w:r>
        <w:rPr>
          <w:rFonts w:ascii="Times New Roman" w:hAnsi="Times New Roman"/>
          <w:sz w:val="22"/>
        </w:rPr>
        <w:t>[2] T. A. Shikdar and H. Laaksonen, "Learning When Not to Use a Battery: Multihorizon Failure Intelligence," *International Transactions on Electrical Energy Systems*, vol. 2026, no. 1, p. 6000810, 2026, doi: 10.1155/etep/6000810.</w:t>
      </w:r>
    </w:p>
    <w:p>
      <w:pPr>
        <w:spacing w:after="80" w:line="276" w:lineRule="auto"/>
      </w:pPr>
      <w:r>
        <w:rPr>
          <w:rFonts w:ascii="Times New Roman" w:hAnsi="Times New Roman"/>
          <w:sz w:val="22"/>
        </w:rPr>
        <w:t>[3] S. Wang, et al., "BatteryML: A Python Library for Battery Machine Learning," *Journal of Open Source Software*, vol. 9, no. 95, p. 6354, 2024, doi: 10.21105/joss.06354.</w:t>
      </w:r>
    </w:p>
    <w:p>
      <w:pPr>
        <w:spacing w:after="80" w:line="276" w:lineRule="auto"/>
      </w:pPr>
      <w:r>
        <w:rPr>
          <w:rFonts w:ascii="Times New Roman" w:hAnsi="Times New Roman"/>
          <w:sz w:val="22"/>
        </w:rPr>
        <w:t>[4] V. Sulzer, et al., "Python Battery Mathematical Modelling (PyBaMM)," *Journal of Open Source Software*, vol. 6, no. 62, p. 3048, 2021, doi: 10.21105/joss.03048.</w:t>
      </w:r>
    </w:p>
    <w:p>
      <w:pPr>
        <w:spacing w:after="80" w:line="276" w:lineRule="auto"/>
      </w:pPr>
      <w:r>
        <w:rPr>
          <w:rFonts w:ascii="Times New Roman" w:hAnsi="Times New Roman"/>
          <w:sz w:val="22"/>
        </w:rPr>
        <w:t>[5] P. M. Attia, et al., "Closed-loop optimization of fast-charging protocols for batteries with machine learning," *Nature*, vol. 578, pp. 397--402, 2020, doi: 10.1038/s41586-020-1994-5.</w:t>
      </w:r>
    </w:p>
    <w:p>
      <w:pPr>
        <w:spacing w:after="80" w:line="276" w:lineRule="auto"/>
      </w:pPr>
      <w:r>
        <w:rPr>
          <w:rFonts w:ascii="Times New Roman" w:hAnsi="Times New Roman"/>
          <w:sz w:val="22"/>
        </w:rPr>
        <w:t>[6] J. Kaplan, et al., "Scaling Laws for Neural Language Models," arXiv:2001.08361, 2020.</w:t>
      </w:r>
    </w:p>
    <w:p>
      <w:pPr>
        <w:spacing w:after="80" w:line="276" w:lineRule="auto"/>
      </w:pPr>
      <w:r>
        <w:rPr>
          <w:rFonts w:ascii="Times New Roman" w:hAnsi="Times New Roman"/>
          <w:sz w:val="22"/>
        </w:rPr>
        <w:t>[7] J. Cho, et al., "How much data is needed to train a medical image deep learning system to achieve necessary high accuracy?" *arXiv:1511.06348*, 2015.</w:t>
      </w:r>
    </w:p>
    <w:p>
      <w:pPr>
        <w:spacing w:after="80" w:line="276" w:lineRule="auto"/>
      </w:pPr>
      <w:r>
        <w:rPr>
          <w:rFonts w:ascii="Times New Roman" w:hAnsi="Times New Roman"/>
          <w:sz w:val="22"/>
        </w:rPr>
        <w:t>[8] A. M. Bizeray, et al., "Identifiability and Reproducibility in Battery Modelling," *Journal of the Electrochemical Society*, vol. 167, p. 130513, 2020, doi: 10.1149/1945-7111/abb6f2.</w:t>
      </w:r>
    </w:p>
    <w:p>
      <w:pPr>
        <w:spacing w:after="80" w:line="276" w:lineRule="auto"/>
      </w:pPr>
      <w:r>
        <w:rPr>
          <w:rFonts w:ascii="Times New Roman" w:hAnsi="Times New Roman"/>
          <w:sz w:val="22"/>
        </w:rPr>
        <w:t>[9] R. R. Richardson, et al., "On the reproducibility of data-driven battery ageing prediction," *Energy &amp; AI*, vol. 15, p. 100315, 2024, doi: 10.1016/j.egyai.2023.100315.</w:t>
      </w:r>
    </w:p>
    <w:p>
      <w:pPr>
        <w:spacing w:after="80" w:line="276" w:lineRule="auto"/>
      </w:pPr>
      <w:r>
        <w:rPr>
          <w:rFonts w:ascii="Times New Roman" w:hAnsi="Times New Roman"/>
          <w:sz w:val="22"/>
        </w:rPr>
        <w:t>[10] R. Ibraheem, T. I. Cannings, T. Sell, and G. dos Reis, "Robust Survival Model for the Prediction of Li-ion Battery Lifetime Reliability and Risk Functions," *Energy and AI*, vol. 19, p. 100465, 2025, doi: 10.1016/j.egyai.2024.100465.</w:t>
      </w:r>
    </w:p>
    <w:p>
      <w:pPr>
        <w:spacing w:after="80" w:line="276" w:lineRule="auto"/>
      </w:pPr>
      <w:r>
        <w:rPr>
          <w:rFonts w:ascii="Times New Roman" w:hAnsi="Times New Roman"/>
          <w:sz w:val="22"/>
        </w:rPr>
        <w:t>[11] K. A. Severson, P. M. Attia, N. Jin, et al., "Data-Driven Prediction of Battery Cycle Life Before Capacity Degradation," *Nature Energy*, vol. 4, no. 5, pp. 383--391, 2019, doi: 10.1038/s41560-019-0356-8.</w:t>
      </w:r>
    </w:p>
    <w:p>
      <w:pPr>
        <w:spacing w:after="80" w:line="276" w:lineRule="auto"/>
      </w:pPr>
      <w:r>
        <w:rPr>
          <w:rFonts w:ascii="Times New Roman" w:hAnsi="Times New Roman"/>
          <w:sz w:val="22"/>
        </w:rPr>
        <w:t>[12] B. Saha and K. Goebel, "Battery Data Set," NASA Ames Prognostics Data Repository, 2007. [Online]. Available: https://ti.arc.nasa.gov/tech/dash/groups/pcoe/prognostic-data-repository/battery/</w:t>
      </w:r>
    </w:p>
    <w:p>
      <w:pPr>
        <w:spacing w:after="80" w:line="276" w:lineRule="auto"/>
      </w:pPr>
      <w:r>
        <w:rPr>
          <w:rFonts w:ascii="Times New Roman" w:hAnsi="Times New Roman"/>
          <w:sz w:val="22"/>
        </w:rPr>
        <w:t>[13] E. R. DeLong, D. M. DeLong, and D. L. Clarke-Pearson, "Comparing the Areas under Two or More Correlated Receiver Operating Characteristic Curves: A Nonparametric Approach," *Biometrics*, vol. 44, no. 3, pp. 837--845, 1988, doi: 10.2307/2531595.</w:t>
      </w:r>
    </w:p>
    <w:p>
      <w:pPr>
        <w:spacing w:after="80" w:line="276" w:lineRule="auto"/>
      </w:pPr>
      <w:r>
        <w:rPr>
          <w:rFonts w:ascii="Times New Roman" w:hAnsi="Times New Roman"/>
          <w:sz w:val="22"/>
        </w:rPr>
        <w:t>[14] B. Efron and R. J. Tibshirani, *An Introduction to the Bootstrap*, Chapman &amp; Hall, 1993.</w:t>
      </w:r>
    </w:p>
    <w:p>
      <w:pPr>
        <w:spacing w:after="80" w:line="276" w:lineRule="auto"/>
      </w:pPr>
      <w:r>
        <w:rPr>
          <w:rFonts w:ascii="Times New Roman" w:hAnsi="Times New Roman"/>
          <w:sz w:val="22"/>
        </w:rPr>
        <w:t>[15] Q. Wang, M. Ye, X. Cai, D. U. Sauer, and W. Li, "Transferable Data-Driven Capacity Estimation for Lithium-Ion Batteries with Deep Learning: A Case Study from Laboratory to Field Applications," *Applied Energy*, vol. 350, p. 121747, 2023, doi: 10.1016/j.apenergy.2023.121747.</w:t>
      </w:r>
    </w:p>
    <w:p>
      <w:pPr>
        <w:spacing w:after="80" w:line="276" w:lineRule="auto"/>
      </w:pPr>
      <w:r>
        <w:rPr>
          <w:rFonts w:ascii="Times New Roman" w:hAnsi="Times New Roman"/>
          <w:sz w:val="22"/>
        </w:rPr>
        <w:t>[16] M. Li, et al., "State of Health Estimation and Battery Management: A Review of Health Indicators, Models and Machine Learning," *Materials*, vol. 18, no. 1, p. 145, 2025, doi: 10.3390/ma18010145.</w:t>
      </w:r>
    </w:p>
    <w:p>
      <w:pPr>
        <w:spacing w:after="80" w:line="276" w:lineRule="auto"/>
      </w:pPr>
      <w:r>
        <w:rPr>
          <w:rFonts w:ascii="Times New Roman" w:hAnsi="Times New Roman"/>
          <w:sz w:val="22"/>
        </w:rPr>
        <w:t>[17] A. Dosovitskiy, et al., "An Image is Worth 16x16 Words: Transformers for Image Recognition at Scale," *ICLR*, 2021.</w:t>
      </w:r>
    </w:p>
    <w:p>
      <w:pPr>
        <w:spacing w:after="80" w:line="276" w:lineRule="auto"/>
      </w:pPr>
      <w:r>
        <w:rPr>
          <w:rFonts w:ascii="Times New Roman" w:hAnsi="Times New Roman"/>
          <w:sz w:val="22"/>
        </w:rPr>
        <w:t>[18] Y. Zhang, et al., "A survey on battery state-of-health estimation using machine learning," *Energy Storage*, vol. 4, no. 6, p. e376, 2022, doi: 10.1002/est2.376.</w:t>
      </w:r>
    </w:p>
    <w:p>
      <w:pPr>
        <w:spacing w:after="80" w:line="276" w:lineRule="auto"/>
      </w:pPr>
      <w:r>
        <w:rPr>
          <w:rFonts w:ascii="Times New Roman" w:hAnsi="Times New Roman"/>
          <w:sz w:val="22"/>
        </w:rPr>
        <w:t>[19] J. Zhu, et al., "Data-driven capacity estimation of commercial lithium-ion batteries from voltage relaxation," *Nature Communications*, vol. 13, p. 2261, 2022, doi: 10.1038/s41467-022-29837-0.</w:t>
      </w:r>
    </w:p>
    <w:p>
      <w:pPr>
        <w:spacing w:after="80" w:line="276" w:lineRule="auto"/>
      </w:pPr>
      <w:r>
        <w:rPr>
          <w:rFonts w:ascii="Times New Roman" w:hAnsi="Times New Roman"/>
          <w:sz w:val="22"/>
        </w:rPr>
        <w:t>[20] D. Romo-Rico, et al., "Machine learning for battery systems: A comprehensive review," *Journal of Energy Storage*, vol. 72, p. 108445, 2023, doi: 10.1016/j.est.2023.108445.</w:t>
      </w:r>
    </w:p>
    <w:p>
      <w:pPr>
        <w:spacing w:after="80" w:line="276" w:lineRule="auto"/>
      </w:pPr>
      <w:r>
        <w:rPr>
          <w:rFonts w:ascii="Times New Roman" w:hAnsi="Times New Roman"/>
          <w:sz w:val="22"/>
        </w:rPr>
        <w:t>[21] A. Fermín-Cueto, et al., "Identification of machine learning for battery lifetime prediction and early retirement," *Energy &amp; Environmental Science*, vol. 13, pp. 3365--3377, 2020, doi: 10.1039/D0EE01890C.</w:t>
      </w:r>
    </w:p>
    <w:p>
      <w:pPr>
        <w:spacing w:after="80" w:line="276" w:lineRule="auto"/>
      </w:pPr>
      <w:r>
        <w:rPr>
          <w:rFonts w:ascii="Times New Roman" w:hAnsi="Times New Roman"/>
          <w:sz w:val="22"/>
        </w:rPr>
        <w:t>[22] T. Lombardo, et al., "Artificial Intelligence Applied to Battery Research: Hype or Reality?" *Chemical Reviews*, vol. 122, no. 14, pp. 12373--12410, 2022, doi: 10.1021/acs.chemrev.1c00108.</w:t>
      </w:r>
    </w:p>
    <w:p>
      <w:pPr>
        <w:spacing w:after="80" w:line="276" w:lineRule="auto"/>
      </w:pPr>
      <w:r>
        <w:rPr>
          <w:rFonts w:ascii="Times New Roman" w:hAnsi="Times New Roman"/>
          <w:sz w:val="22"/>
        </w:rPr>
        <w:t>[23] M. Aykol, et al., "The quest for an intelligent battery: A perspective on artificial intelligence and machine learning for batteries," *Joule*, vol. 5, no. 11, pp. 2788--2805, 2021, doi: 10.1016/j.joule.2021.09.005.</w:t>
      </w:r>
    </w:p>
    <w:p>
      <w:pPr>
        <w:spacing w:after="80" w:line="276" w:lineRule="auto"/>
      </w:pPr>
      <w:r>
        <w:rPr>
          <w:rFonts w:ascii="Times New Roman" w:hAnsi="Times New Roman"/>
          <w:sz w:val="22"/>
        </w:rPr>
        <w:t>[24] G. dos Reis, et al., "Lithium-ion battery degradation: a comprehensive review of data-driven approaches," *Energy and AI*, vol. 12, p. 100245, 2023, doi: 10.1016/j.egyai.2023.100245.</w:t>
      </w:r>
    </w:p>
    <w:p>
      <w:pPr>
        <w:spacing w:after="80" w:line="276" w:lineRule="auto"/>
      </w:pPr>
      <w:r>
        <w:rPr>
          <w:rFonts w:ascii="Times New Roman" w:hAnsi="Times New Roman"/>
          <w:sz w:val="22"/>
        </w:rPr>
        <w:t>[25] P. Gasper, et al., "Machine learning for battery lifetime prediction: A critical review of methods and metrics," *Cell Reports Physical Science*, vol. 4, no. 6, p. 101389, 2023, doi: 10.1016/j.xcrp.2023.101389.</w:t>
      </w:r>
    </w:p>
    <w:p>
      <w:r>
        <w:br w:type="page"/>
      </w:r>
    </w:p>
    <w:p>
      <w:pPr>
        <w:spacing w:after="240" w:before="0"/>
        <w:jc w:val="center"/>
      </w:pPr>
      <w:r>
        <w:rPr>
          <w:rFonts w:ascii="Times New Roman" w:hAnsi="Times New Roman"/>
          <w:b/>
          <w:i w:val="0"/>
          <w:sz w:val="28"/>
        </w:rPr>
        <w:t>Figures</w:t>
      </w:r>
    </w:p>
    <w:p>
      <w:pPr>
        <w:jc w:val="center"/>
      </w:pPr>
      <w:r>
        <w:drawing>
          <wp:inline xmlns:a="http://schemas.openxmlformats.org/drawingml/2006/main" xmlns:pic="http://schemas.openxmlformats.org/drawingml/2006/picture">
            <wp:extent cx="5029200" cy="2807811"/>
            <wp:docPr id="1" name="Picture 1"/>
            <wp:cNvGraphicFramePr>
              <a:graphicFrameLocks noChangeAspect="1"/>
            </wp:cNvGraphicFramePr>
            <a:graphic>
              <a:graphicData uri="http://schemas.openxmlformats.org/drawingml/2006/picture">
                <pic:pic>
                  <pic:nvPicPr>
                    <pic:cNvPr id="0" name="degradation_curves.png"/>
                    <pic:cNvPicPr/>
                  </pic:nvPicPr>
                  <pic:blipFill>
                    <a:blip r:embed="rId9"/>
                    <a:stretch>
                      <a:fillRect/>
                    </a:stretch>
                  </pic:blipFill>
                  <pic:spPr>
                    <a:xfrm>
                      <a:off x="0" y="0"/>
                      <a:ext cx="5029200" cy="2807811"/>
                    </a:xfrm>
                    <a:prstGeom prst="rect"/>
                  </pic:spPr>
                </pic:pic>
              </a:graphicData>
            </a:graphic>
          </wp:inline>
        </w:drawing>
      </w:r>
    </w:p>
    <w:p>
      <w:pPr>
        <w:jc w:val="center"/>
      </w:pPr>
      <w:r>
        <w:rPr>
          <w:rFonts w:ascii="Times New Roman" w:hAnsi="Times New Roman"/>
          <w:i/>
          <w:sz w:val="18"/>
        </w:rPr>
        <w:t>NASA battery degradation curves (SOH vs. cycle) for the four classic cells (B0005, B0006, B0007, B0018). B0006 crosses the EOL threshold at approximately cycle 130.</w:t>
      </w:r>
    </w:p>
    <w:p>
      <w:pPr>
        <w:jc w:val="center"/>
      </w:pPr>
      <w:r>
        <w:drawing>
          <wp:inline xmlns:a="http://schemas.openxmlformats.org/drawingml/2006/main" xmlns:pic="http://schemas.openxmlformats.org/drawingml/2006/picture">
            <wp:extent cx="5029200" cy="3218980"/>
            <wp:docPr id="2" name="Picture 2"/>
            <wp:cNvGraphicFramePr>
              <a:graphicFrameLocks noChangeAspect="1"/>
            </wp:cNvGraphicFramePr>
            <a:graphic>
              <a:graphicData uri="http://schemas.openxmlformats.org/drawingml/2006/picture">
                <pic:pic>
                  <pic:nvPicPr>
                    <pic:cNvPr id="0" name="auc_by_horizon.png"/>
                    <pic:cNvPicPr/>
                  </pic:nvPicPr>
                  <pic:blipFill>
                    <a:blip r:embed="rId10"/>
                    <a:stretch>
                      <a:fillRect/>
                    </a:stretch>
                  </pic:blipFill>
                  <pic:spPr>
                    <a:xfrm>
                      <a:off x="0" y="0"/>
                      <a:ext cx="5029200" cy="3218980"/>
                    </a:xfrm>
                    <a:prstGeom prst="rect"/>
                  </pic:spPr>
                </pic:pic>
              </a:graphicData>
            </a:graphic>
          </wp:inline>
        </w:drawing>
      </w:r>
    </w:p>
    <w:p>
      <w:pPr>
        <w:jc w:val="center"/>
      </w:pPr>
      <w:r>
        <w:rPr>
          <w:rFonts w:ascii="Times New Roman" w:hAnsi="Times New Roman"/>
          <w:i/>
          <w:sz w:val="18"/>
        </w:rPr>
        <w:t>Model discrimination by prediction horizon on NASA 4-cell data. Raw XGBoost AUC is near-random across all horizons; calibrated AUC is flat at 0.50 because isotonic regression preserves rank order and the model produces near-constant predictions.</w:t>
      </w:r>
    </w:p>
    <w:p>
      <w:pPr>
        <w:jc w:val="center"/>
      </w:pPr>
      <w:r>
        <w:drawing>
          <wp:inline xmlns:a="http://schemas.openxmlformats.org/drawingml/2006/main" xmlns:pic="http://schemas.openxmlformats.org/drawingml/2006/picture">
            <wp:extent cx="5029200" cy="3218980"/>
            <wp:docPr id="3" name="Picture 3"/>
            <wp:cNvGraphicFramePr>
              <a:graphicFrameLocks noChangeAspect="1"/>
            </wp:cNvGraphicFramePr>
            <a:graphic>
              <a:graphicData uri="http://schemas.openxmlformats.org/drawingml/2006/picture">
                <pic:pic>
                  <pic:nvPicPr>
                    <pic:cNvPr id="0" name="dataset_composition.png"/>
                    <pic:cNvPicPr/>
                  </pic:nvPicPr>
                  <pic:blipFill>
                    <a:blip r:embed="rId11"/>
                    <a:stretch>
                      <a:fillRect/>
                    </a:stretch>
                  </pic:blipFill>
                  <pic:spPr>
                    <a:xfrm>
                      <a:off x="0" y="0"/>
                      <a:ext cx="5029200" cy="3218980"/>
                    </a:xfrm>
                    <a:prstGeom prst="rect"/>
                  </pic:spPr>
                </pic:pic>
              </a:graphicData>
            </a:graphic>
          </wp:inline>
        </w:drawing>
      </w:r>
    </w:p>
    <w:p>
      <w:pPr>
        <w:jc w:val="center"/>
      </w:pPr>
      <w:r>
        <w:rPr>
          <w:rFonts w:ascii="Times New Roman" w:hAnsi="Times New Roman"/>
          <w:i/>
          <w:sz w:val="18"/>
        </w:rPr>
        <w:t>Dataset composition showing total discharge cycles and EOL cycles (SOH &lt; 0.70) per NASA classic cell.</w:t>
      </w:r>
    </w:p>
    <w:p>
      <w:pPr>
        <w:jc w:val="center"/>
      </w:pPr>
      <w:r>
        <w:drawing>
          <wp:inline xmlns:a="http://schemas.openxmlformats.org/drawingml/2006/main" xmlns:pic="http://schemas.openxmlformats.org/drawingml/2006/picture">
            <wp:extent cx="5029200" cy="4430778"/>
            <wp:docPr id="4" name="Picture 4"/>
            <wp:cNvGraphicFramePr>
              <a:graphicFrameLocks noChangeAspect="1"/>
            </wp:cNvGraphicFramePr>
            <a:graphic>
              <a:graphicData uri="http://schemas.openxmlformats.org/drawingml/2006/picture">
                <pic:pic>
                  <pic:nvPicPr>
                    <pic:cNvPr id="0" name="feature_correlation.png"/>
                    <pic:cNvPicPr/>
                  </pic:nvPicPr>
                  <pic:blipFill>
                    <a:blip r:embed="rId12"/>
                    <a:stretch>
                      <a:fillRect/>
                    </a:stretch>
                  </pic:blipFill>
                  <pic:spPr>
                    <a:xfrm>
                      <a:off x="0" y="0"/>
                      <a:ext cx="5029200" cy="4430778"/>
                    </a:xfrm>
                    <a:prstGeom prst="rect"/>
                  </pic:spPr>
                </pic:pic>
              </a:graphicData>
            </a:graphic>
          </wp:inline>
        </w:drawing>
      </w:r>
    </w:p>
    <w:p>
      <w:pPr>
        <w:jc w:val="center"/>
      </w:pPr>
      <w:r>
        <w:rPr>
          <w:rFonts w:ascii="Times New Roman" w:hAnsi="Times New Roman"/>
          <w:i/>
          <w:sz w:val="18"/>
        </w:rPr>
        <w:t>Feature correlation matrix for the NASA dataset. SOH and derived features show moderate correlation with voltage and temperature.</w:t>
      </w:r>
    </w:p>
    <w:p>
      <w:pPr>
        <w:jc w:val="center"/>
      </w:pPr>
      <w:r>
        <w:drawing>
          <wp:inline xmlns:a="http://schemas.openxmlformats.org/drawingml/2006/main" xmlns:pic="http://schemas.openxmlformats.org/drawingml/2006/picture">
            <wp:extent cx="5029200" cy="2820559"/>
            <wp:docPr id="5" name="Picture 5"/>
            <wp:cNvGraphicFramePr>
              <a:graphicFrameLocks noChangeAspect="1"/>
            </wp:cNvGraphicFramePr>
            <a:graphic>
              <a:graphicData uri="http://schemas.openxmlformats.org/drawingml/2006/picture">
                <pic:pic>
                  <pic:nvPicPr>
                    <pic:cNvPr id="0" name="ablation.png"/>
                    <pic:cNvPicPr/>
                  </pic:nvPicPr>
                  <pic:blipFill>
                    <a:blip r:embed="rId13"/>
                    <a:stretch>
                      <a:fillRect/>
                    </a:stretch>
                  </pic:blipFill>
                  <pic:spPr>
                    <a:xfrm>
                      <a:off x="0" y="0"/>
                      <a:ext cx="5029200" cy="2820559"/>
                    </a:xfrm>
                    <a:prstGeom prst="rect"/>
                  </pic:spPr>
                </pic:pic>
              </a:graphicData>
            </a:graphic>
          </wp:inline>
        </w:drawing>
      </w:r>
    </w:p>
    <w:p>
      <w:pPr>
        <w:jc w:val="center"/>
      </w:pPr>
      <w:r>
        <w:rPr>
          <w:rFonts w:ascii="Times New Roman" w:hAnsi="Times New Roman"/>
          <w:i/>
          <w:sz w:val="18"/>
        </w:rPr>
        <w:t>Ablation study comparing failure rates across dispatch configurations on NASA 4-cell data. The 4-cell dataset provides insufficient signal for dispatch differentiation.</w:t>
      </w:r>
    </w:p>
    <w:p>
      <w:pPr>
        <w:jc w:val="center"/>
      </w:pPr>
      <w:r>
        <w:drawing>
          <wp:inline xmlns:a="http://schemas.openxmlformats.org/drawingml/2006/main" xmlns:pic="http://schemas.openxmlformats.org/drawingml/2006/picture">
            <wp:extent cx="5029200" cy="1959676"/>
            <wp:docPr id="6" name="Picture 6"/>
            <wp:cNvGraphicFramePr>
              <a:graphicFrameLocks noChangeAspect="1"/>
            </wp:cNvGraphicFramePr>
            <a:graphic>
              <a:graphicData uri="http://schemas.openxmlformats.org/drawingml/2006/picture">
                <pic:pic>
                  <pic:nvPicPr>
                    <pic:cNvPr id="0" name="real_vs_synthetic.png"/>
                    <pic:cNvPicPr/>
                  </pic:nvPicPr>
                  <pic:blipFill>
                    <a:blip r:embed="rId14"/>
                    <a:stretch>
                      <a:fillRect/>
                    </a:stretch>
                  </pic:blipFill>
                  <pic:spPr>
                    <a:xfrm>
                      <a:off x="0" y="0"/>
                      <a:ext cx="5029200" cy="1959676"/>
                    </a:xfrm>
                    <a:prstGeom prst="rect"/>
                  </pic:spPr>
                </pic:pic>
              </a:graphicData>
            </a:graphic>
          </wp:inline>
        </w:drawing>
      </w:r>
    </w:p>
    <w:p>
      <w:pPr>
        <w:jc w:val="center"/>
      </w:pPr>
      <w:r>
        <w:rPr>
          <w:rFonts w:ascii="Times New Roman" w:hAnsi="Times New Roman"/>
          <w:i/>
          <w:sz w:val="18"/>
        </w:rPr>
        <w:t>Comparison of real NASA degradation (left) and synthetic degradation (right). The generator produces qualitatively similar trajectories but with approximately 1.7x faster mean degradation (KS test D=0.33, p&lt;0.001).</w:t>
      </w:r>
    </w:p>
    <w:p>
      <w:pPr>
        <w:jc w:val="center"/>
      </w:pPr>
      <w:r>
        <w:drawing>
          <wp:inline xmlns:a="http://schemas.openxmlformats.org/drawingml/2006/main" xmlns:pic="http://schemas.openxmlformats.org/drawingml/2006/picture">
            <wp:extent cx="5029200" cy="3118613"/>
            <wp:docPr id="7" name="Picture 7"/>
            <wp:cNvGraphicFramePr>
              <a:graphicFrameLocks noChangeAspect="1"/>
            </wp:cNvGraphicFramePr>
            <a:graphic>
              <a:graphicData uri="http://schemas.openxmlformats.org/drawingml/2006/picture">
                <pic:pic>
                  <pic:nvPicPr>
                    <pic:cNvPr id="0" name="scaling_curve.png"/>
                    <pic:cNvPicPr/>
                  </pic:nvPicPr>
                  <pic:blipFill>
                    <a:blip r:embed="rId15"/>
                    <a:stretch>
                      <a:fillRect/>
                    </a:stretch>
                  </pic:blipFill>
                  <pic:spPr>
                    <a:xfrm>
                      <a:off x="0" y="0"/>
                      <a:ext cx="5029200" cy="3118613"/>
                    </a:xfrm>
                    <a:prstGeom prst="rect"/>
                  </pic:spPr>
                </pic:pic>
              </a:graphicData>
            </a:graphic>
          </wp:inline>
        </w:drawing>
      </w:r>
    </w:p>
    <w:p>
      <w:pPr>
        <w:jc w:val="center"/>
      </w:pPr>
      <w:r>
        <w:rPr>
          <w:rFonts w:ascii="Times New Roman" w:hAnsi="Times New Roman"/>
          <w:i/>
          <w:sz w:val="18"/>
        </w:rPr>
        <w:t>Figure 1: Synthetic scaling study — macro-averaged AUC vs number of batteries (N). Shaded region shows 95% bootstrap confidence intervals (20 Monte Carlo seeds per N). Regime annotations: insufficient (N ≤ 5), marginal (5 &lt; N &lt; 12), reliable (N ≥ 12). The curve rises from AUC 0.84 (N=2) to 0.97 (N=8) and plateaus above 0.98 for N ≥ 12.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