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N=2–20) on synthetic data, whose degradation distributions differ significantly from real NASA data (KS D=0.33, p&lt;0.001), provides an optimistic upper bound: AUC rises from 0.84 (N=2) to 0.99 (N=20) with no plateau observed within this range.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[16, 24]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plateau observed within range:** AUC continues to improve from 0.980 (N=12) to 0.986 (N=20). An attempted asymptotic fit (AUC = a − b/N^c) produced â = 1.008 (exceeding the maximum possible AUC of 1.0) with extremely wide confidence intervals, confirming insufficient curvature to estimate a plateau. We therefore report only that the curve has not plateaued within N=2–20. For real-world data with measurement noise and correlated degradation, substantially more cells (likely N≥50) would be needed to approach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may render standard AUC evaluation impossible because too few failure events remain for any horizon. Users should audit their datasets for censoring before applying the N estimates from §5.2.</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Our initial implementation contained a calibration data leakage bug where the isotonic regressor was fit on the test set. After correction, the real-data AUC dropped from 0.74 to 0.50, confirming no learnable signal in the NASA 4-cell dataset under correct methodology.</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plateau observed within N=2–20,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Random Survival Forest, Cox PH) have not been performed beyond the censoring experiment in §5.2.3 (which found both XGBoost and RSF fail above 20% censoring at the data level). We attempted a CoxPH per-cell baseline (§5.2) but per-cell aggregated features do not carry the temporal information needed for per-cycle AUC evaluation — all horizons return NaN. The only valid per-cycle continuous-time comparison (RSF in §5.2.3) gave RSF AUC 0.73 vs XGBoost AUC 0.98 at 0% censoring, suggesting the per-horizon discrete-time format provides richer discriminative signal than a single time-to-event target. However, this does not rule out the possibility that a simpler method with properly designed feature representation could match XGBoost's performance at lower computational cost.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Simpler parametric models may match the framework's discriminative performance at lower computational cost. This remains a key unvalidated assumption (see baseline limitations above).</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