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macro-averaged AUC 0.944 on 37 cells via leave-battery-out cross-validation. We implement this framework as open-source Python code and conduct a reproducibility and scaling study. Three methodological pitfalls—calibration data leakage, a 1000× energy unit error, and inconsistent ablation baselines—are identified and corrected. On the NASA PCoE 4-cell dataset, the corrected evaluation yields per-fold macro AUC 0.50 (exactly random), and our initial implementation which inflated this to 0.74 via calibration leakage is explicitly documented. The direct real-data experiment (training on NASA 4-cell, testing on NASA) demonstrates that this dataset is too small for leave-battery-out learning — only approximately 2 EOL events exist across training cells. While a synthetic-to-real transfer test (train on N=20 synthetic, test on NASA 4-cell) yields macro AUC 0.88 (95% CI: [0.860, 0.900]), indicating synthetic pre-training captures some real-world structure, this does not validate the framework for direct real-data learning. An exploratory Monte Carlo scaling analysis (20 seeds, N=2–50) on synthetic data, whose degradation distributions differ significantly from real NASA data (KS D=0.33, p&lt;0.001), provides an optimistic upper bound: AUC rises from 0.84 (N=2) to 0.99 (N=20) and plateaus near 0.991 beyond N=20. Analysis of event count vs cell count reveals that ≥200 failure events (not cell count per se) drive meaningful discrimination. The scaling curve shape is robust to SOH threshold choice (0.70, 0.75, 0.80). Censoring sensitivity experiments show AUC degrades gracefully at 10% censoring (0.98→0.92). These results are specific to the synthetic generator and do not transfer quantitatively to real datasets; validated minimum-data guidelines await real-data scaling studies with ≥15 cells. Code, data, and environment are archived at the repository URL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From a grid operator's perspective, the distinction between lifetime prediction and horizon-specific failure probability is operationally critical. A BESS participating in energy markets must make accept/reject dispatch decisions at every cycle — whether to commit a battery to discharge during the next hour given its current state of health. A single remaining-useful-life (RUL) estimate does not inform this decision: a cell with 200 cycles remaining could still fail within the next 10 cycles, and a cell near end of life might safely complete a single shallow discharge. The multihorizon hazard framework addresses this gap by providing P(fail within H cycles) for multiple service windows simultaneously, enabling risk-calibrated dispatch, derating, and market participation decisions that balance revenue against failure penalties.</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plateaus near N=20 (0.986), with negligible additional gain to N=50 (+0.005). The strong monotonic improvement and narrowing bootstrap CIs confirm the trend is consistent across seeds. We validate the curve's robustness to SOH threshold choice, censoring rate,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120" w:before="160"/>
      </w:pPr>
      <w:r>
        <w:rPr>
          <w:rFonts w:ascii="Times New Roman" w:hAnsi="Times New Roman"/>
          <w:b/>
          <w:i w:val="0"/>
          <w:sz w:val="22"/>
        </w:rPr>
        <w:t>1.1 Relationship to Shikdar and Laaksonen (2026)</w:t>
      </w:r>
    </w:p>
    <w:p>
      <w:pPr>
        <w:spacing w:after="80" w:line="276" w:lineRule="auto"/>
      </w:pPr>
      <w:r>
        <w:rPr>
          <w:rFonts w:ascii="Times New Roman" w:hAnsi="Times New Roman"/>
          <w:sz w:val="22"/>
        </w:rPr>
        <w:t>This paper builds directly on the multihorizon discrete-time hazard framework introduced by Shikdar and Laaksonen (2026) [2]. We clarify what originates from their work and what is novel:</w:t>
      </w:r>
    </w:p>
    <w:p>
      <w:pPr>
        <w:spacing w:after="80" w:line="276" w:lineRule="auto"/>
      </w:pPr>
      <w:r>
        <w:rPr>
          <w:rFonts w:ascii="Times New Roman" w:hAnsi="Times New Roman"/>
          <w:sz w:val="22"/>
        </w:rPr>
      </w:r>
      <w:r>
        <w:rPr>
          <w:rFonts w:ascii="Times New Roman" w:hAnsi="Times New Roman"/>
          <w:b/>
          <w:sz w:val="22"/>
        </w:rPr>
        <w:t>From the original paper (§§2–3 of their work):</w:t>
      </w:r>
      <w:r>
        <w:rPr>
          <w:rFonts w:ascii="Times New Roman" w:hAnsi="Times New Roman"/>
          <w:sz w:val="22"/>
        </w:rPr>
        <w:t xml:space="preserve"> The core framework — hazard modeling via per-horizon XGBoost classifiers, isotonic probability calibration, threshold and derating dispatch policies, and AR(1) market simulation — follows the architecture they described. Our implementation replicates their design.</w:t>
      </w:r>
    </w:p>
    <w:p>
      <w:pPr>
        <w:spacing w:after="80" w:line="276" w:lineRule="auto"/>
      </w:pPr>
      <w:r>
        <w:rPr>
          <w:rFonts w:ascii="Times New Roman" w:hAnsi="Times New Roman"/>
          <w:sz w:val="22"/>
        </w:rPr>
      </w:r>
      <w:r>
        <w:rPr>
          <w:rFonts w:ascii="Times New Roman" w:hAnsi="Times New Roman"/>
          <w:b/>
          <w:sz w:val="22"/>
        </w:rPr>
        <w:t>Novel contributions (§§4–9):</w:t>
      </w:r>
      <w:r>
        <w:rPr>
          <w:rFonts w:ascii="Times New Roman" w:hAnsi="Times New Roman"/>
          <w:sz w:val="22"/>
        </w:rPr>
        <w:t xml:space="preserve"> The synthetic data generator with statistical validation (KS test, per-feature KL divergence, negative control), Monte Carlo scaling study (20 seeds, N=2–50), SOH threshold sensitivity analysis, and identification of three methodological pitfalls (calibration leakage, energy unit error, inconsistent baselines) are original to this paper. The open-source release with pinned environment and reproducibility scripts is also new.</w:t>
      </w:r>
    </w:p>
    <w:p>
      <w:pPr>
        <w:spacing w:after="80" w:line="276" w:lineRule="auto"/>
      </w:pPr>
      <w:r>
        <w:rPr>
          <w:rFonts w:ascii="Times New Roman" w:hAnsi="Times New Roman"/>
          <w:sz w:val="22"/>
        </w:rPr>
      </w:r>
      <w:r>
        <w:rPr>
          <w:rFonts w:ascii="Times New Roman" w:hAnsi="Times New Roman"/>
          <w:b/>
          <w:sz w:val="22"/>
        </w:rPr>
        <w:t>Bugs found and fixed:</w:t>
      </w:r>
      <w:r>
        <w:rPr>
          <w:rFonts w:ascii="Times New Roman" w:hAnsi="Times New Roman"/>
          <w:sz w:val="22"/>
        </w:rPr>
        <w:t xml:space="preserve"> All three bugs documented in §6 were identified in our own re-implementation. They are not errors in the original authors' published code or paper. The original authors' conceptual framework — multihorizon hazard modeling for battery operational reliability — remains valid and is the foundation of this work. A detailed contribution statement is provided in CONTRIBUTION.md in the repository.</w:t>
      </w:r>
    </w:p>
    <w:p>
      <w:pPr>
        <w:spacing w:after="80" w:line="276" w:lineRule="auto"/>
      </w:pPr>
      <w:r>
        <w:rPr>
          <w:rFonts w:ascii="Times New Roman" w:hAnsi="Times New Roman"/>
          <w:sz w:val="22"/>
        </w:rPr>
        <w:t>All code, data, and results are publicly available at https://github.com/touhidsiddiqueeraj-bit/An-Open-Python-Framework-for-Battery-Operational-Reliability-Estimation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Ibraheem et al. [8], who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3.1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3.2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80" w:line="276" w:lineRule="auto"/>
      </w:pPr>
      <w:r>
        <w:rPr>
          <w:rFonts w:ascii="Times New Roman" w:hAnsi="Times New Roman"/>
          <w:sz w:val="22"/>
        </w:rPr>
        <w:t xml:space="preserve">Throughout this paper, a </w:t>
      </w:r>
      <w:r>
        <w:rPr>
          <w:rFonts w:ascii="Times New Roman" w:hAnsi="Times New Roman"/>
          <w:b/>
          <w:sz w:val="22"/>
        </w:rPr>
        <w:t>cycle</w:t>
      </w:r>
      <w:r>
        <w:rPr>
          <w:rFonts w:ascii="Times New Roman" w:hAnsi="Times New Roman"/>
          <w:sz w:val="22"/>
        </w:rPr>
        <w:t xml:space="preserve"> refers to one complete charge–discharge cycle of the battery. All temporal units (horizons H=10,20,30,50; EOL cycles; scaling analysis N) are expressed in charge–discharge cycles unless otherwise noted.</w:t>
      </w:r>
    </w:p>
    <w:p>
      <w:pPr>
        <w:spacing w:after="120" w:before="160"/>
      </w:pPr>
      <w:r>
        <w:rPr>
          <w:rFonts w:ascii="Times New Roman" w:hAnsi="Times New Roman"/>
          <w:b/>
          <w:i w:val="0"/>
          <w:sz w:val="22"/>
        </w:rPr>
        <w:t>3.3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cross-validated isotonic regression, as demonstrated by the scaling study in §5.2. The model is trained on 80% of each training fold; the remaining 20% validation fold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3.4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3.5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3.6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 The chosen piecewise linear-to-quadratic fade model (§4.1) follows the battery degradation modeling literature [13, 14] but is not validated against specific chemistries beyond the NASA dataset.</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Despite these significant distributional differences (KS D=0.33), the synthetic-to-real transfer test (§5.1) achieves AUC 0.88, suggesting the framework is robust to moderate distributional shift. Nevertheless,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 Figure 6 (bottom right) compares real and synthetic degradation trajectories.</w:t>
      </w:r>
    </w:p>
    <w:p>
      <w:pPr>
        <w:spacing w:after="80" w:line="276" w:lineRule="auto"/>
      </w:pPr>
      <w:r>
        <w:rPr>
          <w:rFonts w:ascii="Times New Roman" w:hAnsi="Times New Roman"/>
          <w:sz w:val="22"/>
        </w:rPr>
      </w:r>
      <w:r>
        <w:rPr>
          <w:rFonts w:ascii="Times New Roman" w:hAnsi="Times New Roman"/>
          <w:b/>
          <w:sz w:val="22"/>
        </w:rPr>
        <w:t>Per-feature distributional comparison:</w:t>
      </w:r>
      <w:r>
        <w:rPr>
          <w:rFonts w:ascii="Times New Roman" w:hAnsi="Times New Roman"/>
          <w:sz w:val="22"/>
        </w:rPr>
        <w:t xml:space="preserve"> We quantify the divergence between real and synthetic data across all input features using KL divergence and Wasserstein distance via Gaussian KDE estimation: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KL divergence (nats)</w:t>
            </w:r>
          </w:p>
        </w:tc>
        <w:tc>
          <w:tcPr>
            <w:tcW w:type="dxa" w:w="1881"/>
          </w:tcPr>
          <w:p>
            <w:pPr>
              <w:jc w:val="center"/>
            </w:pPr>
            <w:r/>
            <w:r>
              <w:rPr>
                <w:rFonts w:ascii="Times New Roman" w:hAnsi="Times New Roman"/>
                <w:b/>
                <w:sz w:val="20"/>
              </w:rPr>
              <w:t>Wasserstein</w:t>
            </w:r>
          </w:p>
        </w:tc>
        <w:tc>
          <w:tcPr>
            <w:tcW w:type="dxa" w:w="1881"/>
          </w:tcPr>
          <w:p>
            <w:pPr>
              <w:jc w:val="center"/>
            </w:pPr>
            <w:r/>
            <w:r>
              <w:rPr>
                <w:rFonts w:ascii="Times New Roman" w:hAnsi="Times New Roman"/>
                <w:b/>
                <w:sz w:val="20"/>
              </w:rPr>
              <w:t>Real mean</w:t>
            </w:r>
          </w:p>
        </w:tc>
        <w:tc>
          <w:tcPr>
            <w:tcW w:type="dxa" w:w="1881"/>
          </w:tcPr>
          <w:p>
            <w:pPr>
              <w:jc w:val="center"/>
            </w:pPr>
            <w:r/>
            <w:r>
              <w:rPr>
                <w:rFonts w:ascii="Times New Roman" w:hAnsi="Times New Roman"/>
                <w:b/>
                <w:sz w:val="20"/>
              </w:rPr>
              <w:t>Syn mean</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SOH</w:t>
            </w:r>
          </w:p>
        </w:tc>
        <w:tc>
          <w:tcPr>
            <w:tcW w:type="dxa" w:w="1881"/>
          </w:tcPr>
          <w:p>
            <w:r/>
            <w:r>
              <w:rPr>
                <w:rFonts w:ascii="Times New Roman" w:hAnsi="Times New Roman"/>
                <w:sz w:val="20"/>
              </w:rPr>
              <w:t>0.062</w:t>
            </w:r>
          </w:p>
        </w:tc>
        <w:tc>
          <w:tcPr>
            <w:tcW w:type="dxa" w:w="1881"/>
          </w:tcPr>
          <w:p>
            <w:r/>
            <w:r>
              <w:rPr>
                <w:rFonts w:ascii="Times New Roman" w:hAnsi="Times New Roman"/>
                <w:sz w:val="20"/>
              </w:rPr>
              <w:t>0.425</w:t>
            </w:r>
          </w:p>
        </w:tc>
        <w:tc>
          <w:tcPr>
            <w:tcW w:type="dxa" w:w="1881"/>
          </w:tcPr>
          <w:p>
            <w:r/>
            <w:r>
              <w:rPr>
                <w:rFonts w:ascii="Times New Roman" w:hAnsi="Times New Roman"/>
                <w:sz w:val="20"/>
              </w:rPr>
              <w:t>0.835</w:t>
            </w:r>
          </w:p>
        </w:tc>
        <w:tc>
          <w:tcPr>
            <w:tcW w:type="dxa" w:w="1881"/>
          </w:tcPr>
          <w:p>
            <w:r/>
            <w:r>
              <w:rPr>
                <w:rFonts w:ascii="Times New Roman" w:hAnsi="Times New Roman"/>
                <w:sz w:val="20"/>
              </w:rPr>
              <w:t>0.410</w:t>
            </w:r>
          </w:p>
        </w:tc>
      </w:tr>
      <w:tr>
        <w:tc>
          <w:tcPr>
            <w:tcW w:type="dxa" w:w="1881"/>
          </w:tcPr>
          <w:p>
            <w:r/>
            <w:r>
              <w:rPr>
                <w:rFonts w:ascii="Times New Roman" w:hAnsi="Times New Roman"/>
                <w:sz w:val="20"/>
              </w:rPr>
              <w:t>Voltage avg</w:t>
            </w:r>
          </w:p>
        </w:tc>
        <w:tc>
          <w:tcPr>
            <w:tcW w:type="dxa" w:w="1881"/>
          </w:tcPr>
          <w:p>
            <w:r/>
            <w:r>
              <w:rPr>
                <w:rFonts w:ascii="Times New Roman" w:hAnsi="Times New Roman"/>
                <w:sz w:val="20"/>
              </w:rPr>
              <w:t>0.331</w:t>
            </w:r>
          </w:p>
        </w:tc>
        <w:tc>
          <w:tcPr>
            <w:tcW w:type="dxa" w:w="1881"/>
          </w:tcPr>
          <w:p>
            <w:r/>
            <w:r>
              <w:rPr>
                <w:rFonts w:ascii="Times New Roman" w:hAnsi="Times New Roman"/>
                <w:sz w:val="20"/>
              </w:rPr>
              <w:t>0.202</w:t>
            </w:r>
          </w:p>
        </w:tc>
        <w:tc>
          <w:tcPr>
            <w:tcW w:type="dxa" w:w="1881"/>
          </w:tcPr>
          <w:p>
            <w:r/>
            <w:r>
              <w:rPr>
                <w:rFonts w:ascii="Times New Roman" w:hAnsi="Times New Roman"/>
                <w:sz w:val="20"/>
              </w:rPr>
              <w:t>3.499</w:t>
            </w:r>
          </w:p>
        </w:tc>
        <w:tc>
          <w:tcPr>
            <w:tcW w:type="dxa" w:w="1881"/>
          </w:tcPr>
          <w:p>
            <w:r/>
            <w:r>
              <w:rPr>
                <w:rFonts w:ascii="Times New Roman" w:hAnsi="Times New Roman"/>
                <w:sz w:val="20"/>
              </w:rPr>
              <w:t>3.701</w:t>
            </w:r>
          </w:p>
        </w:tc>
      </w:tr>
      <w:tr>
        <w:tc>
          <w:tcPr>
            <w:tcW w:type="dxa" w:w="1881"/>
          </w:tcPr>
          <w:p>
            <w:r/>
            <w:r>
              <w:rPr>
                <w:rFonts w:ascii="Times New Roman" w:hAnsi="Times New Roman"/>
                <w:sz w:val="20"/>
              </w:rPr>
              <w:t>Current avg</w:t>
            </w:r>
          </w:p>
        </w:tc>
        <w:tc>
          <w:tcPr>
            <w:tcW w:type="dxa" w:w="1881"/>
          </w:tcPr>
          <w:p>
            <w:r/>
            <w:r>
              <w:rPr>
                <w:rFonts w:ascii="Times New Roman" w:hAnsi="Times New Roman"/>
                <w:sz w:val="20"/>
              </w:rPr>
              <w:t>0.603</w:t>
            </w:r>
          </w:p>
        </w:tc>
        <w:tc>
          <w:tcPr>
            <w:tcW w:type="dxa" w:w="1881"/>
          </w:tcPr>
          <w:p>
            <w:r/>
            <w:r>
              <w:rPr>
                <w:rFonts w:ascii="Times New Roman" w:hAnsi="Times New Roman"/>
                <w:sz w:val="20"/>
              </w:rPr>
              <w:t>0.167</w:t>
            </w:r>
          </w:p>
        </w:tc>
        <w:tc>
          <w:tcPr>
            <w:tcW w:type="dxa" w:w="1881"/>
          </w:tcPr>
          <w:p>
            <w:r/>
            <w:r>
              <w:rPr>
                <w:rFonts w:ascii="Times New Roman" w:hAnsi="Times New Roman"/>
                <w:sz w:val="20"/>
              </w:rPr>
              <w:t>−1.834</w:t>
            </w:r>
          </w:p>
        </w:tc>
        <w:tc>
          <w:tcPr>
            <w:tcW w:type="dxa" w:w="1881"/>
          </w:tcPr>
          <w:p>
            <w:r/>
            <w:r>
              <w:rPr>
                <w:rFonts w:ascii="Times New Roman" w:hAnsi="Times New Roman"/>
                <w:sz w:val="20"/>
              </w:rPr>
              <w:t>−2.001</w:t>
            </w:r>
          </w:p>
        </w:tc>
      </w:tr>
      <w:tr>
        <w:tc>
          <w:tcPr>
            <w:tcW w:type="dxa" w:w="1881"/>
          </w:tcPr>
          <w:p>
            <w:r/>
            <w:r>
              <w:rPr>
                <w:rFonts w:ascii="Times New Roman" w:hAnsi="Times New Roman"/>
                <w:sz w:val="20"/>
              </w:rPr>
              <w:t>Temperature avg</w:t>
            </w:r>
          </w:p>
        </w:tc>
        <w:tc>
          <w:tcPr>
            <w:tcW w:type="dxa" w:w="1881"/>
          </w:tcPr>
          <w:p>
            <w:r/>
            <w:r>
              <w:rPr>
                <w:rFonts w:ascii="Times New Roman" w:hAnsi="Times New Roman"/>
                <w:sz w:val="20"/>
              </w:rPr>
              <w:t>0.780</w:t>
            </w:r>
          </w:p>
        </w:tc>
        <w:tc>
          <w:tcPr>
            <w:tcW w:type="dxa" w:w="1881"/>
          </w:tcPr>
          <w:p>
            <w:r/>
            <w:r>
              <w:rPr>
                <w:rFonts w:ascii="Times New Roman" w:hAnsi="Times New Roman"/>
                <w:sz w:val="20"/>
              </w:rPr>
              <w:t>7.309</w:t>
            </w:r>
          </w:p>
        </w:tc>
        <w:tc>
          <w:tcPr>
            <w:tcW w:type="dxa" w:w="1881"/>
          </w:tcPr>
          <w:p>
            <w:r/>
            <w:r>
              <w:rPr>
                <w:rFonts w:ascii="Times New Roman" w:hAnsi="Times New Roman"/>
                <w:sz w:val="20"/>
              </w:rPr>
              <w:t>32.33</w:t>
            </w:r>
          </w:p>
        </w:tc>
        <w:tc>
          <w:tcPr>
            <w:tcW w:type="dxa" w:w="1881"/>
          </w:tcPr>
          <w:p>
            <w:r/>
            <w:r>
              <w:rPr>
                <w:rFonts w:ascii="Times New Roman" w:hAnsi="Times New Roman"/>
                <w:sz w:val="20"/>
              </w:rPr>
              <w:t>25.02</w:t>
            </w:r>
          </w:p>
        </w:tc>
      </w:tr>
      <w:tr>
        <w:tc>
          <w:tcPr>
            <w:tcW w:type="dxa" w:w="1881"/>
          </w:tcPr>
          <w:p>
            <w:r/>
            <w:r>
              <w:rPr>
                <w:rFonts w:ascii="Times New Roman" w:hAnsi="Times New Roman"/>
                <w:sz w:val="20"/>
              </w:rPr>
              <w:t>dSOH</w:t>
            </w:r>
          </w:p>
        </w:tc>
        <w:tc>
          <w:tcPr>
            <w:tcW w:type="dxa" w:w="1881"/>
          </w:tcPr>
          <w:p>
            <w:r/>
            <w:r>
              <w:rPr>
                <w:rFonts w:ascii="Times New Roman" w:hAnsi="Times New Roman"/>
                <w:sz w:val="20"/>
              </w:rPr>
              <w:t>0.244</w:t>
            </w:r>
          </w:p>
        </w:tc>
        <w:tc>
          <w:tcPr>
            <w:tcW w:type="dxa" w:w="1881"/>
          </w:tcPr>
          <w:p>
            <w:r/>
            <w:r>
              <w:rPr>
                <w:rFonts w:ascii="Times New Roman" w:hAnsi="Times New Roman"/>
                <w:sz w:val="20"/>
              </w:rPr>
              <w:t>0.003</w:t>
            </w:r>
          </w:p>
        </w:tc>
        <w:tc>
          <w:tcPr>
            <w:tcW w:type="dxa" w:w="1881"/>
          </w:tcPr>
          <w:p>
            <w:r/>
            <w:r>
              <w:rPr>
                <w:rFonts w:ascii="Times New Roman" w:hAnsi="Times New Roman"/>
                <w:sz w:val="20"/>
              </w:rPr>
              <w:t>−0.0019</w:t>
            </w:r>
          </w:p>
        </w:tc>
        <w:tc>
          <w:tcPr>
            <w:tcW w:type="dxa" w:w="1881"/>
          </w:tcPr>
          <w:p>
            <w:r/>
            <w:r>
              <w:rPr>
                <w:rFonts w:ascii="Times New Roman" w:hAnsi="Times New Roman"/>
                <w:sz w:val="20"/>
              </w:rPr>
              <w:t>−0.0034</w:t>
            </w:r>
          </w:p>
        </w:tc>
      </w:tr>
      <w:tr>
        <w:tc>
          <w:tcPr>
            <w:tcW w:type="dxa" w:w="1881"/>
          </w:tcPr>
          <w:p>
            <w:r/>
            <w:r>
              <w:rPr>
                <w:rFonts w:ascii="Times New Roman" w:hAnsi="Times New Roman"/>
                <w:sz w:val="20"/>
              </w:rPr>
              <w:t>dCapacity</w:t>
            </w:r>
          </w:p>
        </w:tc>
        <w:tc>
          <w:tcPr>
            <w:tcW w:type="dxa" w:w="1881"/>
          </w:tcPr>
          <w:p>
            <w:r/>
            <w:r>
              <w:rPr>
                <w:rFonts w:ascii="Times New Roman" w:hAnsi="Times New Roman"/>
                <w:sz w:val="20"/>
              </w:rPr>
              <w:t>0.241</w:t>
            </w:r>
          </w:p>
        </w:tc>
        <w:tc>
          <w:tcPr>
            <w:tcW w:type="dxa" w:w="1881"/>
          </w:tcPr>
          <w:p>
            <w:r/>
            <w:r>
              <w:rPr>
                <w:rFonts w:ascii="Times New Roman" w:hAnsi="Times New Roman"/>
                <w:sz w:val="20"/>
              </w:rPr>
              <w:t>0.007</w:t>
            </w:r>
          </w:p>
        </w:tc>
        <w:tc>
          <w:tcPr>
            <w:tcW w:type="dxa" w:w="1881"/>
          </w:tcPr>
          <w:p>
            <w:r/>
            <w:r>
              <w:rPr>
                <w:rFonts w:ascii="Times New Roman" w:hAnsi="Times New Roman"/>
                <w:sz w:val="20"/>
              </w:rPr>
              <w:t>−0.0037</w:t>
            </w:r>
          </w:p>
        </w:tc>
        <w:tc>
          <w:tcPr>
            <w:tcW w:type="dxa" w:w="1881"/>
          </w:tcPr>
          <w:p>
            <w:r/>
            <w:r>
              <w:rPr>
                <w:rFonts w:ascii="Times New Roman" w:hAnsi="Times New Roman"/>
                <w:sz w:val="20"/>
              </w:rPr>
              <w:t>−0.0066</w:t>
            </w:r>
          </w:p>
        </w:tc>
      </w:tr>
      <w:tr>
        <w:tc>
          <w:tcPr>
            <w:tcW w:type="dxa" w:w="1881"/>
          </w:tcPr>
          <w:p>
            <w:r/>
            <w:r>
              <w:rPr>
                <w:rFonts w:ascii="Times New Roman" w:hAnsi="Times New Roman"/>
                <w:sz w:val="20"/>
              </w:rPr>
              <w:t>Capacity</w:t>
            </w:r>
          </w:p>
        </w:tc>
        <w:tc>
          <w:tcPr>
            <w:tcW w:type="dxa" w:w="1881"/>
          </w:tcPr>
          <w:p>
            <w:r/>
            <w:r>
              <w:rPr>
                <w:rFonts w:ascii="Times New Roman" w:hAnsi="Times New Roman"/>
                <w:sz w:val="20"/>
              </w:rPr>
              <w:t>0.116</w:t>
            </w:r>
          </w:p>
        </w:tc>
        <w:tc>
          <w:tcPr>
            <w:tcW w:type="dxa" w:w="1881"/>
          </w:tcPr>
          <w:p>
            <w:r/>
            <w:r>
              <w:rPr>
                <w:rFonts w:ascii="Times New Roman" w:hAnsi="Times New Roman"/>
                <w:sz w:val="20"/>
              </w:rPr>
              <w:t>0.780</w:t>
            </w:r>
          </w:p>
        </w:tc>
        <w:tc>
          <w:tcPr>
            <w:tcW w:type="dxa" w:w="1881"/>
          </w:tcPr>
          <w:p>
            <w:r/>
            <w:r>
              <w:rPr>
                <w:rFonts w:ascii="Times New Roman" w:hAnsi="Times New Roman"/>
                <w:sz w:val="20"/>
              </w:rPr>
              <w:t>1.582</w:t>
            </w:r>
          </w:p>
        </w:tc>
        <w:tc>
          <w:tcPr>
            <w:tcW w:type="dxa" w:w="1881"/>
          </w:tcPr>
          <w:p>
            <w:r/>
            <w:r>
              <w:rPr>
                <w:rFonts w:ascii="Times New Roman" w:hAnsi="Times New Roman"/>
                <w:sz w:val="20"/>
              </w:rPr>
              <w:t>0.810</w:t>
            </w:r>
          </w:p>
        </w:tc>
      </w:tr>
    </w:tbl>
    <w:p>
      <w:pPr>
        <w:spacing w:after="80"/>
      </w:pPr>
    </w:p>
    <w:p>
      <w:pPr>
        <w:spacing w:after="80" w:line="276" w:lineRule="auto"/>
      </w:pPr>
      <w:r>
        <w:rPr>
          <w:rFonts w:ascii="Times New Roman" w:hAnsi="Times New Roman"/>
          <w:sz w:val="22"/>
        </w:rPr>
        <w:t>Temperature shows the largest divergence (KL=0.78, W=7.31), reflecting the synthetic generator's constant temperature baseline (25±2°C) vs the real data's wider operating range (up to 44°C). Voltage and current distributions diverge moderately (KL 0.3–0.6). The SOH and capacity divergences are modest (KL 0.06–0.12), confirming the capacity fade shape is reasonably captured. The dSOH and dCapacity divergences (KL≈0.24) confirm the degradation rate distributions differ systematically (as established by the KS test above). These per-feature divergences collectively explain why the scaling curve represents an optimistic upper bound: the synthetic data is both cleaner and differently distributed across all features, not just in the target variable.</w:t>
      </w:r>
    </w:p>
    <w:p>
      <w:pPr>
        <w:spacing w:after="80" w:line="276" w:lineRule="auto"/>
      </w:pPr>
      <w:r>
        <w:rPr>
          <w:rFonts w:ascii="Times New Roman" w:hAnsi="Times New Roman"/>
          <w:sz w:val="22"/>
        </w:rPr>
      </w:r>
      <w:r>
        <w:rPr>
          <w:rFonts w:ascii="Times New Roman" w:hAnsi="Times New Roman"/>
          <w:b/>
          <w:sz w:val="22"/>
        </w:rPr>
        <w:t>Negative control:</w:t>
      </w:r>
      <w:r>
        <w:rPr>
          <w:rFonts w:ascii="Times New Roman" w:hAnsi="Times New Roman"/>
          <w:sz w:val="22"/>
        </w:rPr>
        <w:t xml:space="preserve"> To verify the model does not exploit spurious patterns in the synthetic data, we run a label-shuffling test: the failure labels are randomly permuted (breaking all feature–label relationships), and the pipeline is re-run. The resulting macro-averaged AUC is 0.53 (across four horizons, N=20 cells), confirming the model produces near-random predictions when no signal exists. This rules out the concern that the high synthetic AUC (0.98+) is an artifact of the optimizer finding coincidental correlations.</w:t>
      </w:r>
    </w:p>
    <w:p>
      <w:pPr>
        <w:spacing w:after="80" w:line="276" w:lineRule="auto"/>
      </w:pPr>
      <w:r>
        <w:rPr>
          <w:rFonts w:ascii="Times New Roman" w:hAnsi="Times New Roman"/>
          <w:sz w:val="22"/>
        </w:rPr>
        <w:t xml:space="preserve">&gt; </w:t>
      </w:r>
      <w:r>
        <w:rPr>
          <w:rFonts w:ascii="Times New Roman" w:hAnsi="Times New Roman"/>
          <w:b/>
          <w:sz w:val="22"/>
        </w:rPr>
        <w:t>Known limitations of the synthetic data generator</w:t>
      </w:r>
      <w:r>
        <w:rPr>
          <w:rFonts w:ascii="Times New Roman" w:hAnsi="Times New Roman"/>
          <w:sz w:val="22"/>
        </w:rPr>
        <w:t xml:space="preserve"> &gt; &gt; The generator (§4.1–4.2) produces clean, diversity-maximized degradation trajectories that differ from real data in several important ways: &gt; - </w:t>
      </w:r>
      <w:r>
        <w:rPr>
          <w:rFonts w:ascii="Times New Roman" w:hAnsi="Times New Roman"/>
          <w:b/>
          <w:sz w:val="22"/>
        </w:rPr>
        <w:t>No capacity regeneration</w:t>
      </w:r>
      <w:r>
        <w:rPr>
          <w:rFonts w:ascii="Times New Roman" w:hAnsi="Times New Roman"/>
          <w:sz w:val="22"/>
        </w:rPr>
        <w:t xml:space="preserve">: Real batteries exhibit temporary capacity recovery during rest periods (not modeled). &gt; - </w:t>
      </w:r>
      <w:r>
        <w:rPr>
          <w:rFonts w:ascii="Times New Roman" w:hAnsi="Times New Roman"/>
          <w:b/>
          <w:sz w:val="22"/>
        </w:rPr>
        <w:t>No calendar aging</w:t>
      </w:r>
      <w:r>
        <w:rPr>
          <w:rFonts w:ascii="Times New Roman" w:hAnsi="Times New Roman"/>
          <w:sz w:val="22"/>
        </w:rPr>
        <w:t xml:space="preserve">: All degradation is cycle-driven; real batteries also age over time (not modeled). &gt; - </w:t>
      </w:r>
      <w:r>
        <w:rPr>
          <w:rFonts w:ascii="Times New Roman" w:hAnsi="Times New Roman"/>
          <w:b/>
          <w:sz w:val="22"/>
        </w:rPr>
        <w:t>No measurement artifacts</w:t>
      </w:r>
      <w:r>
        <w:rPr>
          <w:rFonts w:ascii="Times New Roman" w:hAnsi="Times New Roman"/>
          <w:sz w:val="22"/>
        </w:rPr>
        <w:t xml:space="preserve">: Sensor noise, missing cycles, and irregular sampling are absent. &gt; - </w:t>
      </w:r>
      <w:r>
        <w:rPr>
          <w:rFonts w:ascii="Times New Roman" w:hAnsi="Times New Roman"/>
          <w:b/>
          <w:sz w:val="22"/>
        </w:rPr>
        <w:t>Maximum diversity at every N</w:t>
      </w:r>
      <w:r>
        <w:rPr>
          <w:rFonts w:ascii="Times New Roman" w:hAnsi="Times New Roman"/>
          <w:sz w:val="22"/>
        </w:rPr>
        <w:t xml:space="preserve">: Degradation parameters are spread across the full range even at N=2. Real-world cells from the same batch share chemistry, manufacturer, and operating conditions — correlated degradation reduces effective diversity. &gt; - </w:t>
      </w:r>
      <w:r>
        <w:rPr>
          <w:rFonts w:ascii="Times New Roman" w:hAnsi="Times New Roman"/>
          <w:b/>
          <w:sz w:val="22"/>
        </w:rPr>
        <w:t>Statistical gap confirmed</w:t>
      </w:r>
      <w:r>
        <w:rPr>
          <w:rFonts w:ascii="Times New Roman" w:hAnsi="Times New Roman"/>
          <w:sz w:val="22"/>
        </w:rPr>
        <w:t xml:space="preserve">: The synthetic distributions differ significantly from real NASA data (KS D=0.33, p&lt;0.001; per-feature KL 0.06–0.78 nats). &gt; &gt; These limitations mean the scaling curve represents an </w:t>
      </w:r>
      <w:r>
        <w:rPr>
          <w:rFonts w:ascii="Times New Roman" w:hAnsi="Times New Roman"/>
          <w:b/>
          <w:sz w:val="22"/>
        </w:rPr>
        <w:t>optimistic upper bound</w:t>
      </w:r>
      <w:r>
        <w:rPr>
          <w:rFonts w:ascii="Times New Roman" w:hAnsi="Times New Roman"/>
          <w:sz w:val="22"/>
        </w:rPr>
        <w:t xml:space="preserve"> on achievable performance. Real-world deployment likely requires more cells or failure events than the synthetic curve suggests. The exact multiplier is application-dependent and cannot be estimated from synthetic data alone.</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(Figure 2, top left).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(Figure 3, top right: dataset composition; Figure 4, middle left: feature correlation). Because each battery is a physically independent unit, leave-battery-out CV does not create temporal leakage — no cycles from the test cell are used to train on the training cells. XGBoost with 300 trees, max depth 4, learning rate 0.05. Four horizons H ∈ {10, 20, 30, 50} cycles. AUC is computed per fold and macro-averaged (Figure 5, bottom left: ablation);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r>
      <w:r>
        <w:rPr>
          <w:rFonts w:ascii="Times New Roman" w:hAnsi="Times New Roman"/>
          <w:b/>
          <w:sz w:val="22"/>
        </w:rPr>
        <w:t>Why per-fold AUC is 0.50 but stacked AUC was reported as 0.46 in earlier versions:</w:t>
      </w:r>
      <w:r>
        <w:rPr>
          <w:rFonts w:ascii="Times New Roman" w:hAnsi="Times New Roman"/>
          <w:sz w:val="22"/>
        </w:rPr>
        <w:t xml:space="preserve"> When test predictions from different held-out cells are concatenated ("stacked"), between-cell differences in predicted risk dominate the ranking. For example, the model may assign systematically higher probabilities to Cell A (which actually has few failures) than to Cell B (which has many failures), producing an AUC below 0.5 when stacked even though within each cell the predictions are constant. The stacked macro AUC is 0.45 (95% bootstrap CI [0.24, 0.77] across 10,000 resamples), with individual horizons ranging from 0.26 (H=10, CI [0.24, 0.28]) to 0.71 (H=50, CI [0.65, 0.77]). The per-fold AUC (0.50) is the correct metric for leave-battery-out CV because it measures only within-cell discrimination.</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r>
      <w:r>
        <w:rPr>
          <w:rFonts w:ascii="Times New Roman" w:hAnsi="Times New Roman"/>
          <w:b/>
          <w:sz w:val="22"/>
        </w:rPr>
        <w:t>Per-fold breakdown:</w:t>
      </w:r>
      <w:r>
        <w:rPr>
          <w:rFonts w:ascii="Times New Roman" w:hAnsi="Times New Roman"/>
          <w:sz w:val="22"/>
        </w:rPr>
        <w:t xml:space="preserve"> The AUC=0.50 result is a direct consequence of data insufficiency, not model architecture. In leave-battery-out CV, the held-out test set for each fold is a single battery. Three of the four batteries (B0007, B0018, B0006) contain either zero or one EOL event within each horizon window, making AUC either undefined (single-class) or trivially 0.50 (constant prediction at class prior). For example, at H=10, only B0005 has EOL events within the horizon; when B0005 is held out, the test set has no failures, producing NaN. When B0005 is in training, the remaining test batteries have insufficient failures for meaningful ranking. The constant AUC=0.50 across all horizons reflects the fact that the model learns only the global class prior and assigns identical probabilities to all test cycles.</w:t>
      </w:r>
    </w:p>
    <w:p>
      <w:pPr>
        <w:spacing w:after="80" w:line="276" w:lineRule="auto"/>
      </w:pPr>
      <w:r>
        <w:rPr>
          <w:rFonts w:ascii="Times New Roman" w:hAnsi="Times New Roman"/>
          <w:sz w:val="22"/>
        </w:rPr>
      </w:r>
      <w:r>
        <w:rPr>
          <w:rFonts w:ascii="Times New Roman" w:hAnsi="Times New Roman"/>
          <w:b/>
          <w:sz w:val="22"/>
        </w:rPr>
        <w:t>Synthetic-to-real transfer test:</w:t>
      </w:r>
      <w:r>
        <w:rPr>
          <w:rFonts w:ascii="Times New Roman" w:hAnsi="Times New Roman"/>
          <w:sz w:val="22"/>
        </w:rPr>
        <w:t xml:space="preserve"> To assess whether the synthetic data generator captures real-world structure, we train the same XGBoost pipeline on synthetic data (N=20 cells, 300 cycles each) and evaluate on the real NASA 4-cell data. The model achieves macro AUC </w:t>
      </w:r>
      <w:r>
        <w:rPr>
          <w:rFonts w:ascii="Times New Roman" w:hAnsi="Times New Roman"/>
          <w:b/>
          <w:sz w:val="22"/>
        </w:rPr>
        <w:t>0.8817</w:t>
      </w:r>
      <w:r>
        <w:rPr>
          <w:rFonts w:ascii="Times New Roman" w:hAnsi="Times New Roman"/>
          <w:sz w:val="22"/>
        </w:rPr>
        <w:t xml:space="preserve"> (95% bootstrap CI: [0.8596, 0.8996]) on real NASA data: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Horizon</w:t>
            </w:r>
          </w:p>
        </w:tc>
        <w:tc>
          <w:tcPr>
            <w:tcW w:type="dxa" w:w="1881"/>
          </w:tcPr>
          <w:p>
            <w:pPr>
              <w:jc w:val="center"/>
            </w:pPr>
            <w:r/>
            <w:r>
              <w:rPr>
                <w:rFonts w:ascii="Times New Roman" w:hAnsi="Times New Roman"/>
                <w:b/>
                <w:sz w:val="20"/>
              </w:rPr>
              <w:t>AUC</w:t>
            </w:r>
          </w:p>
        </w:tc>
        <w:tc>
          <w:tcPr>
            <w:tcW w:type="dxa" w:w="1881"/>
          </w:tcPr>
          <w:p>
            <w:pPr>
              <w:jc w:val="center"/>
            </w:pPr>
            <w:r/>
            <w:r>
              <w:rPr>
                <w:rFonts w:ascii="Times New Roman" w:hAnsi="Times New Roman"/>
                <w:b/>
                <w:sz w:val="20"/>
              </w:rPr>
              <w:t>Model Brier</w:t>
            </w:r>
          </w:p>
        </w:tc>
        <w:tc>
          <w:tcPr>
            <w:tcW w:type="dxa" w:w="1881"/>
          </w:tcPr>
          <w:p>
            <w:pPr>
              <w:jc w:val="center"/>
            </w:pPr>
            <w:r/>
            <w:r>
              <w:rPr>
                <w:rFonts w:ascii="Times New Roman" w:hAnsi="Times New Roman"/>
                <w:b/>
                <w:sz w:val="20"/>
              </w:rPr>
              <w:t>Baseline Brier</w:t>
            </w:r>
          </w:p>
        </w:tc>
        <w:tc>
          <w:tcPr>
            <w:tcW w:type="dxa" w:w="1881"/>
          </w:tcPr>
          <w:p>
            <w:pPr>
              <w:jc w:val="center"/>
            </w:pPr>
            <w:r/>
            <w:r>
              <w:rPr>
                <w:rFonts w:ascii="Times New Roman" w:hAnsi="Times New Roman"/>
                <w:b/>
                <w:sz w:val="20"/>
              </w:rPr>
              <w:t>Skill score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10</w:t>
            </w:r>
          </w:p>
        </w:tc>
        <w:tc>
          <w:tcPr>
            <w:tcW w:type="dxa" w:w="1881"/>
          </w:tcPr>
          <w:p>
            <w:r/>
            <w:r>
              <w:rPr>
                <w:rFonts w:ascii="Times New Roman" w:hAnsi="Times New Roman"/>
                <w:sz w:val="20"/>
              </w:rPr>
              <w:t>0.9850</w:t>
            </w:r>
          </w:p>
        </w:tc>
        <w:tc>
          <w:tcPr>
            <w:tcW w:type="dxa" w:w="1881"/>
          </w:tcPr>
          <w:p>
            <w:r/>
            <w:r>
              <w:rPr>
                <w:rFonts w:ascii="Times New Roman" w:hAnsi="Times New Roman"/>
                <w:sz w:val="20"/>
              </w:rPr>
              <w:t>0.0270</w:t>
            </w:r>
          </w:p>
        </w:tc>
        <w:tc>
          <w:tcPr>
            <w:tcW w:type="dxa" w:w="1881"/>
          </w:tcPr>
          <w:p>
            <w:r/>
            <w:r>
              <w:rPr>
                <w:rFonts w:ascii="Times New Roman" w:hAnsi="Times New Roman"/>
                <w:sz w:val="20"/>
              </w:rPr>
              <w:t>0.0062</w:t>
            </w:r>
          </w:p>
        </w:tc>
        <w:tc>
          <w:tcPr>
            <w:tcW w:type="dxa" w:w="1881"/>
          </w:tcPr>
          <w:p>
            <w:r/>
            <w:r>
              <w:rPr>
                <w:rFonts w:ascii="Times New Roman" w:hAnsi="Times New Roman"/>
                <w:sz w:val="20"/>
              </w:rPr>
              <w:t>−3.32</w:t>
            </w:r>
          </w:p>
        </w:tc>
      </w:tr>
      <w:tr>
        <w:tc>
          <w:tcPr>
            <w:tcW w:type="dxa" w:w="1881"/>
          </w:tcPr>
          <w:p>
            <w:r/>
            <w:r>
              <w:rPr>
                <w:rFonts w:ascii="Times New Roman" w:hAnsi="Times New Roman"/>
                <w:sz w:val="20"/>
              </w:rPr>
              <w:t>20</w:t>
            </w:r>
          </w:p>
        </w:tc>
        <w:tc>
          <w:tcPr>
            <w:tcW w:type="dxa" w:w="1881"/>
          </w:tcPr>
          <w:p>
            <w:r/>
            <w:r>
              <w:rPr>
                <w:rFonts w:ascii="Times New Roman" w:hAnsi="Times New Roman"/>
                <w:sz w:val="20"/>
              </w:rPr>
              <w:t>0.9562</w:t>
            </w:r>
          </w:p>
        </w:tc>
        <w:tc>
          <w:tcPr>
            <w:tcW w:type="dxa" w:w="1881"/>
          </w:tcPr>
          <w:p>
            <w:r/>
            <w:r>
              <w:rPr>
                <w:rFonts w:ascii="Times New Roman" w:hAnsi="Times New Roman"/>
                <w:sz w:val="20"/>
              </w:rPr>
              <w:t>0.1110</w:t>
            </w:r>
          </w:p>
        </w:tc>
        <w:tc>
          <w:tcPr>
            <w:tcW w:type="dxa" w:w="1881"/>
          </w:tcPr>
          <w:p>
            <w:r/>
            <w:r>
              <w:rPr>
                <w:rFonts w:ascii="Times New Roman" w:hAnsi="Times New Roman"/>
                <w:sz w:val="20"/>
              </w:rPr>
              <w:t>0.0155</w:t>
            </w:r>
          </w:p>
        </w:tc>
        <w:tc>
          <w:tcPr>
            <w:tcW w:type="dxa" w:w="1881"/>
          </w:tcPr>
          <w:p>
            <w:r/>
            <w:r>
              <w:rPr>
                <w:rFonts w:ascii="Times New Roman" w:hAnsi="Times New Roman"/>
                <w:sz w:val="20"/>
              </w:rPr>
              <w:t>−6.17</w:t>
            </w:r>
          </w:p>
        </w:tc>
      </w:tr>
      <w:tr>
        <w:tc>
          <w:tcPr>
            <w:tcW w:type="dxa" w:w="1881"/>
          </w:tcPr>
          <w:p>
            <w:r/>
            <w:r>
              <w:rPr>
                <w:rFonts w:ascii="Times New Roman" w:hAnsi="Times New Roman"/>
                <w:sz w:val="20"/>
              </w:rPr>
              <w:t>30</w:t>
            </w:r>
          </w:p>
        </w:tc>
        <w:tc>
          <w:tcPr>
            <w:tcW w:type="dxa" w:w="1881"/>
          </w:tcPr>
          <w:p>
            <w:r/>
            <w:r>
              <w:rPr>
                <w:rFonts w:ascii="Times New Roman" w:hAnsi="Times New Roman"/>
                <w:sz w:val="20"/>
              </w:rPr>
              <w:t>0.8577</w:t>
            </w:r>
          </w:p>
        </w:tc>
        <w:tc>
          <w:tcPr>
            <w:tcW w:type="dxa" w:w="1881"/>
          </w:tcPr>
          <w:p>
            <w:r/>
            <w:r>
              <w:rPr>
                <w:rFonts w:ascii="Times New Roman" w:hAnsi="Times New Roman"/>
                <w:sz w:val="20"/>
              </w:rPr>
              <w:t>0.2654</w:t>
            </w:r>
          </w:p>
        </w:tc>
        <w:tc>
          <w:tcPr>
            <w:tcW w:type="dxa" w:w="1881"/>
          </w:tcPr>
          <w:p>
            <w:r/>
            <w:r>
              <w:rPr>
                <w:rFonts w:ascii="Times New Roman" w:hAnsi="Times New Roman"/>
                <w:sz w:val="20"/>
              </w:rPr>
              <w:t>0.0215</w:t>
            </w:r>
          </w:p>
        </w:tc>
        <w:tc>
          <w:tcPr>
            <w:tcW w:type="dxa" w:w="1881"/>
          </w:tcPr>
          <w:p>
            <w:r/>
            <w:r>
              <w:rPr>
                <w:rFonts w:ascii="Times New Roman" w:hAnsi="Times New Roman"/>
                <w:sz w:val="20"/>
              </w:rPr>
              <w:t>−11.33</w:t>
            </w:r>
          </w:p>
        </w:tc>
      </w:tr>
      <w:tr>
        <w:tc>
          <w:tcPr>
            <w:tcW w:type="dxa" w:w="1881"/>
          </w:tcPr>
          <w:p>
            <w:r/>
            <w:r>
              <w:rPr>
                <w:rFonts w:ascii="Times New Roman" w:hAnsi="Times New Roman"/>
                <w:sz w:val="20"/>
              </w:rPr>
              <w:t>50</w:t>
            </w:r>
          </w:p>
        </w:tc>
        <w:tc>
          <w:tcPr>
            <w:tcW w:type="dxa" w:w="1881"/>
          </w:tcPr>
          <w:p>
            <w:r/>
            <w:r>
              <w:rPr>
                <w:rFonts w:ascii="Times New Roman" w:hAnsi="Times New Roman"/>
                <w:sz w:val="20"/>
              </w:rPr>
              <w:t>0.7279</w:t>
            </w:r>
          </w:p>
        </w:tc>
        <w:tc>
          <w:tcPr>
            <w:tcW w:type="dxa" w:w="1881"/>
          </w:tcPr>
          <w:p>
            <w:r/>
            <w:r>
              <w:rPr>
                <w:rFonts w:ascii="Times New Roman" w:hAnsi="Times New Roman"/>
                <w:sz w:val="20"/>
              </w:rPr>
              <w:t>0.3990</w:t>
            </w:r>
          </w:p>
        </w:tc>
        <w:tc>
          <w:tcPr>
            <w:tcW w:type="dxa" w:w="1881"/>
          </w:tcPr>
          <w:p>
            <w:r/>
            <w:r>
              <w:rPr>
                <w:rFonts w:ascii="Times New Roman" w:hAnsi="Times New Roman"/>
                <w:sz w:val="20"/>
              </w:rPr>
              <w:t>0.0363</w:t>
            </w:r>
          </w:p>
        </w:tc>
        <w:tc>
          <w:tcPr>
            <w:tcW w:type="dxa" w:w="1881"/>
          </w:tcPr>
          <w:p>
            <w:r/>
            <w:r>
              <w:rPr>
                <w:rFonts w:ascii="Times New Roman" w:hAnsi="Times New Roman"/>
                <w:sz w:val="20"/>
              </w:rPr>
              <w:t>−9.99</w:t>
            </w:r>
          </w:p>
        </w:tc>
      </w:tr>
    </w:tbl>
    <w:p>
      <w:pPr>
        <w:spacing w:after="80"/>
      </w:pPr>
    </w:p>
    <w:p>
      <w:pPr>
        <w:spacing w:after="80" w:line="276" w:lineRule="auto"/>
      </w:pPr>
      <w:r>
        <w:rPr>
          <w:rFonts w:ascii="Times New Roman" w:hAnsi="Times New Roman"/>
          <w:sz w:val="22"/>
        </w:rPr>
        <w:t>This indicates the synthetic data generator captures sufficient real-world structure to enable cross-distribution generalization, and the near-random result on 4-cell leave-battery-out is due to insufficient training data rather than a modeling error. The scaling study in §5.2 quantifies this data requirement. However, the negative Brier skill scores (model Brier &gt; baseline constant-hazard Brier) indicate the model's probability estimates are not well-calibrated for rare events on this small test set — a known limitation of isotonic regression on imbalanced data.</w:t>
      </w:r>
    </w:p>
    <w:p>
      <w:pPr>
        <w:spacing w:after="80" w:line="276" w:lineRule="auto"/>
      </w:pPr>
      <w:r>
        <w:rPr>
          <w:rFonts w:ascii="Times New Roman" w:hAnsi="Times New Roman"/>
          <w:sz w:val="22"/>
        </w:rPr>
      </w:r>
      <w:r>
        <w:rPr>
          <w:rFonts w:ascii="Times New Roman" w:hAnsi="Times New Roman"/>
          <w:b/>
          <w:sz w:val="22"/>
        </w:rPr>
        <w:t>Interpretation caveat:</w:t>
      </w:r>
      <w:r>
        <w:rPr>
          <w:rFonts w:ascii="Times New Roman" w:hAnsi="Times New Roman"/>
          <w:sz w:val="22"/>
        </w:rPr>
        <w:t xml:space="preserve"> The NASA cross-validation AUC (0.50) and the transfer test AUC (0.88) evaluate different tasks and are not comparable. The cross-validation result (0.50) tests whether the model can learn from NASA data directly, which it cannot due to only ~2 failure events. The transfer test (0.88) tests whether a model pre-trained on synthetic data can generalize to real feature representations. </w:t>
      </w:r>
      <w:r>
        <w:rPr>
          <w:rFonts w:ascii="Times New Roman" w:hAnsi="Times New Roman"/>
          <w:b/>
          <w:sz w:val="22"/>
        </w:rPr>
        <w:t>The transfer test does NOT imply the framework is ready for real-world deployment when trained on real data.</w:t>
      </w:r>
      <w:r>
        <w:rPr>
          <w:rFonts w:ascii="Times New Roman" w:hAnsi="Times New Roman"/>
          <w:sz w:val="22"/>
        </w:rPr>
        <w:t xml:space="preserve"> Real-data validation requires datasets with ≥200 failure events, which no public battery dataset currently provides. The transfer test should be interpreted as a distributional similarity check: despite statistically significant differences between synthetic and real degradation (KS D=0.33, p&lt;0.001, §4.3), the model is robust enough to produce meaningful rankings on held-out real data.</w:t>
      </w:r>
    </w:p>
    <w:p>
      <w:pPr>
        <w:spacing w:after="120" w:before="160"/>
      </w:pPr>
      <w:r>
        <w:rPr>
          <w:rFonts w:ascii="Times New Roman" w:hAnsi="Times New Roman"/>
          <w:b/>
          <w:i w:val="0"/>
          <w:sz w:val="22"/>
        </w:rPr>
        <w:t>5.2 Exploratory Synthetic Scaling Analysis</w:t>
      </w:r>
    </w:p>
    <w:p>
      <w:pPr>
        <w:spacing w:after="80" w:line="276" w:lineRule="auto"/>
      </w:pPr>
      <w:r>
        <w:rPr>
          <w:rFonts w:ascii="Times New Roman" w:hAnsi="Times New Roman"/>
          <w:sz w:val="22"/>
        </w:rPr>
        <w:t>To explore the relationship between dataset size and model discrimination on synthetic data, we conduct a controlled scaling experiment using the synthetic generator from Section 4.2. Figure 7 plots the resulting scaling curve with bootstrap confidence intervals and regime annotations.</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Seed-level variance reported per N (20 seeds)</w:t>
      </w:r>
    </w:p>
    <w:p>
      <w:pPr>
        <w:spacing w:after="80" w:line="276" w:lineRule="auto"/>
      </w:pPr>
      <w:r>
        <w:rPr>
          <w:rFonts w:ascii="Times New Roman" w:hAnsi="Times New Roman"/>
          <w:sz w:val="22"/>
        </w:rPr>
      </w:r>
      <w:r>
        <w:rPr>
          <w:rFonts w:ascii="Times New Roman" w:hAnsi="Times New Roman"/>
          <w:b/>
          <w:sz w:val="22"/>
        </w:rPr>
        <w:t>Results (Table 1):</w:t>
      </w:r>
      <w:r>
        <w:rPr>
          <w:rFonts w:ascii="Times New Roman" w:hAnsi="Times New Roman"/>
          <w:sz w:val="22"/>
        </w:rPr>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Macro AUC (mean)</w:t>
            </w:r>
          </w:p>
        </w:tc>
        <w:tc>
          <w:tcPr>
            <w:tcW w:type="dxa" w:w="3135"/>
          </w:tcPr>
          <w:p>
            <w:pPr>
              <w:jc w:val="center"/>
            </w:pPr>
            <w:r/>
            <w:r>
              <w:rPr>
                <w:rFonts w:ascii="Times New Roman" w:hAnsi="Times New Roman"/>
                <w:b/>
                <w:sz w:val="20"/>
              </w:rPr>
              <w:t>95% CI</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0.8427</w:t>
            </w:r>
          </w:p>
        </w:tc>
        <w:tc>
          <w:tcPr>
            <w:tcW w:type="dxa" w:w="3135"/>
          </w:tcPr>
          <w:p>
            <w:r/>
            <w:r>
              <w:rPr>
                <w:rFonts w:ascii="Times New Roman" w:hAnsi="Times New Roman"/>
                <w:sz w:val="20"/>
              </w:rPr>
              <w:t>[0.8396, 0.8455]</w:t>
            </w:r>
          </w:p>
        </w:tc>
      </w:tr>
      <w:tr>
        <w:tc>
          <w:tcPr>
            <w:tcW w:type="dxa" w:w="3135"/>
          </w:tcPr>
          <w:p>
            <w:r/>
            <w:r>
              <w:rPr>
                <w:rFonts w:ascii="Times New Roman" w:hAnsi="Times New Roman"/>
                <w:sz w:val="20"/>
              </w:rPr>
              <w:t>3</w:t>
            </w:r>
          </w:p>
        </w:tc>
        <w:tc>
          <w:tcPr>
            <w:tcW w:type="dxa" w:w="3135"/>
          </w:tcPr>
          <w:p>
            <w:r/>
            <w:r>
              <w:rPr>
                <w:rFonts w:ascii="Times New Roman" w:hAnsi="Times New Roman"/>
                <w:sz w:val="20"/>
              </w:rPr>
              <w:t>0.8912</w:t>
            </w:r>
          </w:p>
        </w:tc>
        <w:tc>
          <w:tcPr>
            <w:tcW w:type="dxa" w:w="3135"/>
          </w:tcPr>
          <w:p>
            <w:r/>
            <w:r>
              <w:rPr>
                <w:rFonts w:ascii="Times New Roman" w:hAnsi="Times New Roman"/>
                <w:sz w:val="20"/>
              </w:rPr>
              <w:t>[0.8861, 0.8964]</w:t>
            </w:r>
          </w:p>
        </w:tc>
      </w:tr>
      <w:tr>
        <w:tc>
          <w:tcPr>
            <w:tcW w:type="dxa" w:w="3135"/>
          </w:tcPr>
          <w:p>
            <w:r/>
            <w:r>
              <w:rPr>
                <w:rFonts w:ascii="Times New Roman" w:hAnsi="Times New Roman"/>
                <w:sz w:val="20"/>
              </w:rPr>
              <w:t>5</w:t>
            </w:r>
          </w:p>
        </w:tc>
        <w:tc>
          <w:tcPr>
            <w:tcW w:type="dxa" w:w="3135"/>
          </w:tcPr>
          <w:p>
            <w:r/>
            <w:r>
              <w:rPr>
                <w:rFonts w:ascii="Times New Roman" w:hAnsi="Times New Roman"/>
                <w:sz w:val="20"/>
              </w:rPr>
              <w:t>0.9365</w:t>
            </w:r>
          </w:p>
        </w:tc>
        <w:tc>
          <w:tcPr>
            <w:tcW w:type="dxa" w:w="3135"/>
          </w:tcPr>
          <w:p>
            <w:r/>
            <w:r>
              <w:rPr>
                <w:rFonts w:ascii="Times New Roman" w:hAnsi="Times New Roman"/>
                <w:sz w:val="20"/>
              </w:rPr>
              <w:t>[0.9326, 0.9400]</w:t>
            </w:r>
          </w:p>
        </w:tc>
      </w:tr>
      <w:tr>
        <w:tc>
          <w:tcPr>
            <w:tcW w:type="dxa" w:w="3135"/>
          </w:tcPr>
          <w:p>
            <w:r/>
            <w:r>
              <w:rPr>
                <w:rFonts w:ascii="Times New Roman" w:hAnsi="Times New Roman"/>
                <w:sz w:val="20"/>
              </w:rPr>
              <w:t>8</w:t>
            </w:r>
          </w:p>
        </w:tc>
        <w:tc>
          <w:tcPr>
            <w:tcW w:type="dxa" w:w="3135"/>
          </w:tcPr>
          <w:p>
            <w:r/>
            <w:r>
              <w:rPr>
                <w:rFonts w:ascii="Times New Roman" w:hAnsi="Times New Roman"/>
                <w:sz w:val="20"/>
              </w:rPr>
              <w:t>0.9743</w:t>
            </w:r>
          </w:p>
        </w:tc>
        <w:tc>
          <w:tcPr>
            <w:tcW w:type="dxa" w:w="3135"/>
          </w:tcPr>
          <w:p>
            <w:r/>
            <w:r>
              <w:rPr>
                <w:rFonts w:ascii="Times New Roman" w:hAnsi="Times New Roman"/>
                <w:sz w:val="20"/>
              </w:rPr>
              <w:t>[0.9735, 0.9752]</w:t>
            </w:r>
          </w:p>
        </w:tc>
      </w:tr>
      <w:tr>
        <w:tc>
          <w:tcPr>
            <w:tcW w:type="dxa" w:w="3135"/>
          </w:tcPr>
          <w:p>
            <w:r/>
            <w:r>
              <w:rPr>
                <w:rFonts w:ascii="Times New Roman" w:hAnsi="Times New Roman"/>
                <w:sz w:val="20"/>
              </w:rPr>
              <w:t>12</w:t>
            </w:r>
          </w:p>
        </w:tc>
        <w:tc>
          <w:tcPr>
            <w:tcW w:type="dxa" w:w="3135"/>
          </w:tcPr>
          <w:p>
            <w:r/>
            <w:r>
              <w:rPr>
                <w:rFonts w:ascii="Times New Roman" w:hAnsi="Times New Roman"/>
                <w:sz w:val="20"/>
              </w:rPr>
              <w:t>0.9801</w:t>
            </w:r>
          </w:p>
        </w:tc>
        <w:tc>
          <w:tcPr>
            <w:tcW w:type="dxa" w:w="3135"/>
          </w:tcPr>
          <w:p>
            <w:r/>
            <w:r>
              <w:rPr>
                <w:rFonts w:ascii="Times New Roman" w:hAnsi="Times New Roman"/>
                <w:sz w:val="20"/>
              </w:rPr>
              <w:t>[0.9796, 0.9806]</w:t>
            </w:r>
          </w:p>
        </w:tc>
      </w:tr>
      <w:tr>
        <w:tc>
          <w:tcPr>
            <w:tcW w:type="dxa" w:w="3135"/>
          </w:tcPr>
          <w:p>
            <w:r/>
            <w:r>
              <w:rPr>
                <w:rFonts w:ascii="Times New Roman" w:hAnsi="Times New Roman"/>
                <w:sz w:val="20"/>
              </w:rPr>
              <w:t>20</w:t>
            </w:r>
          </w:p>
        </w:tc>
        <w:tc>
          <w:tcPr>
            <w:tcW w:type="dxa" w:w="3135"/>
          </w:tcPr>
          <w:p>
            <w:r/>
            <w:r>
              <w:rPr>
                <w:rFonts w:ascii="Times New Roman" w:hAnsi="Times New Roman"/>
                <w:sz w:val="20"/>
              </w:rPr>
              <w:t>0.9862</w:t>
            </w:r>
          </w:p>
        </w:tc>
        <w:tc>
          <w:tcPr>
            <w:tcW w:type="dxa" w:w="3135"/>
          </w:tcPr>
          <w:p>
            <w:r/>
            <w:r>
              <w:rPr>
                <w:rFonts w:ascii="Times New Roman" w:hAnsi="Times New Roman"/>
                <w:sz w:val="20"/>
              </w:rPr>
              <w:t>[0.9857, 0.9866]</w:t>
            </w:r>
          </w:p>
        </w:tc>
      </w:tr>
      <w:tr>
        <w:tc>
          <w:tcPr>
            <w:tcW w:type="dxa" w:w="3135"/>
          </w:tcPr>
          <w:p>
            <w:r/>
            <w:r>
              <w:rPr>
                <w:rFonts w:ascii="Times New Roman" w:hAnsi="Times New Roman"/>
                <w:sz w:val="20"/>
              </w:rPr>
              <w:t>30</w:t>
            </w:r>
          </w:p>
        </w:tc>
        <w:tc>
          <w:tcPr>
            <w:tcW w:type="dxa" w:w="3135"/>
          </w:tcPr>
          <w:p>
            <w:r/>
            <w:r>
              <w:rPr>
                <w:rFonts w:ascii="Times New Roman" w:hAnsi="Times New Roman"/>
                <w:sz w:val="20"/>
              </w:rPr>
              <w:t>0.9899</w:t>
            </w:r>
          </w:p>
        </w:tc>
        <w:tc>
          <w:tcPr>
            <w:tcW w:type="dxa" w:w="3135"/>
          </w:tcPr>
          <w:p>
            <w:r/>
            <w:r>
              <w:rPr>
                <w:rFonts w:ascii="Times New Roman" w:hAnsi="Times New Roman"/>
                <w:sz w:val="20"/>
              </w:rPr>
              <w:t>[0.9896, 0.9903]</w:t>
            </w:r>
          </w:p>
        </w:tc>
      </w:tr>
      <w:tr>
        <w:tc>
          <w:tcPr>
            <w:tcW w:type="dxa" w:w="3135"/>
          </w:tcPr>
          <w:p>
            <w:r/>
            <w:r>
              <w:rPr>
                <w:rFonts w:ascii="Times New Roman" w:hAnsi="Times New Roman"/>
                <w:sz w:val="20"/>
              </w:rPr>
              <w:t>50</w:t>
            </w:r>
          </w:p>
        </w:tc>
        <w:tc>
          <w:tcPr>
            <w:tcW w:type="dxa" w:w="3135"/>
          </w:tcPr>
          <w:p>
            <w:r/>
            <w:r>
              <w:rPr>
                <w:rFonts w:ascii="Times New Roman" w:hAnsi="Times New Roman"/>
                <w:sz w:val="20"/>
              </w:rPr>
              <w:t>0.9913</w:t>
            </w:r>
          </w:p>
        </w:tc>
        <w:tc>
          <w:tcPr>
            <w:tcW w:type="dxa" w:w="3135"/>
          </w:tcPr>
          <w:p>
            <w:r/>
            <w:r>
              <w:rPr>
                <w:rFonts w:ascii="Times New Roman" w:hAnsi="Times New Roman"/>
                <w:sz w:val="20"/>
              </w:rPr>
              <w:t>[0.9911, 0.9915]</w:t>
            </w:r>
          </w:p>
        </w:tc>
      </w:tr>
    </w:tbl>
    <w:p>
      <w:pPr>
        <w:spacing w:after="80"/>
      </w:pPr>
    </w:p>
    <w:p>
      <w:pPr>
        <w:spacing w:after="80" w:line="276" w:lineRule="auto"/>
      </w:pPr>
      <w:r>
        <w:rPr>
          <w:rFonts w:ascii="Times New Roman" w:hAnsi="Times New Roman"/>
          <w:sz w:val="22"/>
        </w:rPr>
        <w:t>The strong monotonic trend, narrowing CIs, and low inter-seed variance (§5.2.1) collectively confirm that the improvement is meaningful. The curve plateaus beyond N=20, with N=30 and N=50 showing negligible additional gain (+0.0051 from N=20 to N=50), indicating near-saturation of the XGBoost model on this synthetic degradation task.</w:t>
      </w:r>
    </w:p>
    <w:p>
      <w:pPr>
        <w:spacing w:after="80" w:line="276" w:lineRule="auto"/>
      </w:pPr>
      <w:r>
        <w:rPr>
          <w:rFonts w:ascii="Times New Roman" w:hAnsi="Times New Roman"/>
          <w:sz w:val="22"/>
        </w:rPr>
      </w:r>
      <w:r>
        <w:rPr>
          <w:rFonts w:ascii="Times New Roman" w:hAnsi="Times New Roman"/>
          <w:b/>
          <w:sz w:val="22"/>
        </w:rPr>
        <w:t>Baseline comparison — Random Survival Forest (RSF; Table 2):</w:t>
      </w:r>
      <w:r>
        <w:rPr>
          <w:rFonts w:ascii="Times New Roman" w:hAnsi="Times New Roman"/>
          <w:sz w:val="22"/>
        </w:rPr>
        <w:t xml:space="preserve"> To assess whether the XGBoost multi-horizon approach is uniquely effective or if a standard survival model can match its performance, we repeat the scaling experiment using a per-cycle Random Survival Forest (RSF) with the same leave-battery-out protocol. A single RSF model is trained per fold (not per horizon); horizon-specific failure probabilities are then extracted from the predicted survival function. RSF trains on per-cycle (time_to_EOL, event) pairs using `sksurv.ensemble.RandomSurvivalForest`. Cells that never reach EOL are right-censored (event = 0, time = remaining cycles from the current cycle to the end of observation). Post-EOL cycles are excluded from training and evaluation. At test time, RSF predicts the survival function P(T &gt; t) at each cycle; horizon-specific failure probabilities are extracted as P(fail within H) = 1 − S(H) where S is the RSF-estimated survival function. This is the canonical method for multi-horizon risk extraction from a single continuous-time survival model and avoids the computational overhead of training separate models per horizon. The 20-seed mean macro AUC across N is: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XGBoost macro AUC</w:t>
            </w:r>
          </w:p>
        </w:tc>
        <w:tc>
          <w:tcPr>
            <w:tcW w:type="dxa" w:w="3135"/>
          </w:tcPr>
          <w:p>
            <w:pPr>
              <w:jc w:val="center"/>
            </w:pPr>
            <w:r/>
            <w:r>
              <w:rPr>
                <w:rFonts w:ascii="Times New Roman" w:hAnsi="Times New Roman"/>
                <w:b/>
                <w:sz w:val="20"/>
              </w:rPr>
              <w:t>RSF macro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0.8444 ± 0.0055</w:t>
            </w:r>
          </w:p>
        </w:tc>
        <w:tc>
          <w:tcPr>
            <w:tcW w:type="dxa" w:w="3135"/>
          </w:tcPr>
          <w:p>
            <w:r/>
            <w:r>
              <w:rPr>
                <w:rFonts w:ascii="Times New Roman" w:hAnsi="Times New Roman"/>
                <w:sz w:val="20"/>
              </w:rPr>
              <w:t>0.8475 ± 0.0276</w:t>
            </w:r>
          </w:p>
        </w:tc>
      </w:tr>
      <w:tr>
        <w:tc>
          <w:tcPr>
            <w:tcW w:type="dxa" w:w="3135"/>
          </w:tcPr>
          <w:p>
            <w:r/>
            <w:r>
              <w:rPr>
                <w:rFonts w:ascii="Times New Roman" w:hAnsi="Times New Roman"/>
                <w:sz w:val="20"/>
              </w:rPr>
              <w:t>3</w:t>
            </w:r>
          </w:p>
        </w:tc>
        <w:tc>
          <w:tcPr>
            <w:tcW w:type="dxa" w:w="3135"/>
          </w:tcPr>
          <w:p>
            <w:r/>
            <w:r>
              <w:rPr>
                <w:rFonts w:ascii="Times New Roman" w:hAnsi="Times New Roman"/>
                <w:sz w:val="20"/>
              </w:rPr>
              <w:t>0.8963 ± 0.0119</w:t>
            </w:r>
          </w:p>
        </w:tc>
        <w:tc>
          <w:tcPr>
            <w:tcW w:type="dxa" w:w="3135"/>
          </w:tcPr>
          <w:p>
            <w:r/>
            <w:r>
              <w:rPr>
                <w:rFonts w:ascii="Times New Roman" w:hAnsi="Times New Roman"/>
                <w:sz w:val="20"/>
              </w:rPr>
              <w:t>0.8232 ± 0.0247</w:t>
            </w:r>
          </w:p>
        </w:tc>
      </w:tr>
      <w:tr>
        <w:tc>
          <w:tcPr>
            <w:tcW w:type="dxa" w:w="3135"/>
          </w:tcPr>
          <w:p>
            <w:r/>
            <w:r>
              <w:rPr>
                <w:rFonts w:ascii="Times New Roman" w:hAnsi="Times New Roman"/>
                <w:sz w:val="20"/>
              </w:rPr>
              <w:t>5</w:t>
            </w:r>
          </w:p>
        </w:tc>
        <w:tc>
          <w:tcPr>
            <w:tcW w:type="dxa" w:w="3135"/>
          </w:tcPr>
          <w:p>
            <w:r/>
            <w:r>
              <w:rPr>
                <w:rFonts w:ascii="Times New Roman" w:hAnsi="Times New Roman"/>
                <w:sz w:val="20"/>
              </w:rPr>
              <w:t>0.9471 ± 0.0084</w:t>
            </w:r>
          </w:p>
        </w:tc>
        <w:tc>
          <w:tcPr>
            <w:tcW w:type="dxa" w:w="3135"/>
          </w:tcPr>
          <w:p>
            <w:r/>
            <w:r>
              <w:rPr>
                <w:rFonts w:ascii="Times New Roman" w:hAnsi="Times New Roman"/>
                <w:sz w:val="20"/>
              </w:rPr>
              <w:t>0.8253 ± 0.0132</w:t>
            </w:r>
          </w:p>
        </w:tc>
      </w:tr>
      <w:tr>
        <w:tc>
          <w:tcPr>
            <w:tcW w:type="dxa" w:w="3135"/>
          </w:tcPr>
          <w:p>
            <w:r/>
            <w:r>
              <w:rPr>
                <w:rFonts w:ascii="Times New Roman" w:hAnsi="Times New Roman"/>
                <w:sz w:val="20"/>
              </w:rPr>
              <w:t>8</w:t>
            </w:r>
          </w:p>
        </w:tc>
        <w:tc>
          <w:tcPr>
            <w:tcW w:type="dxa" w:w="3135"/>
          </w:tcPr>
          <w:p>
            <w:r/>
            <w:r>
              <w:rPr>
                <w:rFonts w:ascii="Times New Roman" w:hAnsi="Times New Roman"/>
                <w:sz w:val="20"/>
              </w:rPr>
              <w:t>0.9805 ± 0.0021</w:t>
            </w:r>
          </w:p>
        </w:tc>
        <w:tc>
          <w:tcPr>
            <w:tcW w:type="dxa" w:w="3135"/>
          </w:tcPr>
          <w:p>
            <w:r/>
            <w:r>
              <w:rPr>
                <w:rFonts w:ascii="Times New Roman" w:hAnsi="Times New Roman"/>
                <w:sz w:val="20"/>
              </w:rPr>
              <w:t>0.8210 ± 0.0152</w:t>
            </w:r>
          </w:p>
        </w:tc>
      </w:tr>
      <w:tr>
        <w:tc>
          <w:tcPr>
            <w:tcW w:type="dxa" w:w="3135"/>
          </w:tcPr>
          <w:p>
            <w:r/>
            <w:r>
              <w:rPr>
                <w:rFonts w:ascii="Times New Roman" w:hAnsi="Times New Roman"/>
                <w:sz w:val="20"/>
              </w:rPr>
              <w:t>12</w:t>
            </w:r>
          </w:p>
        </w:tc>
        <w:tc>
          <w:tcPr>
            <w:tcW w:type="dxa" w:w="3135"/>
          </w:tcPr>
          <w:p>
            <w:r/>
            <w:r>
              <w:rPr>
                <w:rFonts w:ascii="Times New Roman" w:hAnsi="Times New Roman"/>
                <w:sz w:val="20"/>
              </w:rPr>
              <w:t>0.9869 ± 0.0010</w:t>
            </w:r>
          </w:p>
        </w:tc>
        <w:tc>
          <w:tcPr>
            <w:tcW w:type="dxa" w:w="3135"/>
          </w:tcPr>
          <w:p>
            <w:r/>
            <w:r>
              <w:rPr>
                <w:rFonts w:ascii="Times New Roman" w:hAnsi="Times New Roman"/>
                <w:sz w:val="20"/>
              </w:rPr>
              <w:t>0.7969 ± 0.0173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0.9917 ± 0.0010</w:t>
            </w:r>
          </w:p>
        </w:tc>
        <w:tc>
          <w:tcPr>
            <w:tcW w:type="dxa" w:w="3135"/>
          </w:tcPr>
          <w:p>
            <w:r/>
            <w:r>
              <w:rPr>
                <w:rFonts w:ascii="Times New Roman" w:hAnsi="Times New Roman"/>
                <w:sz w:val="20"/>
              </w:rPr>
              <w:t>0.7944 ± 0.0147</w:t>
            </w:r>
          </w:p>
        </w:tc>
      </w:tr>
    </w:tbl>
    <w:p>
      <w:pPr>
        <w:spacing w:after="80"/>
      </w:pPr>
    </w:p>
    <w:p>
      <w:pPr>
        <w:spacing w:after="80" w:line="276" w:lineRule="auto"/>
      </w:pPr>
      <w:r>
        <w:rPr>
          <w:rFonts w:ascii="Times New Roman" w:hAnsi="Times New Roman"/>
          <w:sz w:val="22"/>
        </w:rPr>
        <w:t>RSF matches XGBoost only at N=2 (0.8475 vs. 0.8444). For N ≥ 3, RSF plateaus at AUC ≈ 0.82 and never exceeds 0.85, while XGBoost continues to improve up to N=20 then plateaus at AUC ≈ 0.99. The XGBoost values in Table 2 are from an independent re-run paired with RSF (same data generation, same 20 seeds). Minor seed-to-seed variation in CV fold splitting between the two runs produces small numerical differences from Table 1 (e.g., N=20: 0.9917 vs 0.9862, Δ ≈ 0.005). This gap is not due to RSF failure per se — per-cycle RSF with time-to-EOL encoding is a reasonable baseline — but rather reflects the advantage of direct multi-horizon classification over survival function extraction: XGBoost simultaneously optimizes discrimination at all four horizons, whereas RSF predicts a single survival function from which horizon-specific risks are derived post hoc. On clean synthetic data where failure events produce sharp, separable feature signatures, the multi-output gradient-boosted approach extracts substantially more information. On NASA 4-cell real data, RSF also yields AUC ~0.50 with all horizons either NaN (single-class test folds) or at the class prior, confirming that the data insufficiency limitation is dataset-level rather than model-specific. The RSF scaling experiment (20 seeds × 6 N values) required approximately 47 minutes on an Intel i7-9700K @ 3.6 GHz (8-core CPU); runtime will vary with hardware.</w:t>
      </w:r>
    </w:p>
    <w:p>
      <w:pPr>
        <w:spacing w:after="80" w:line="276" w:lineRule="auto"/>
      </w:pPr>
      <w:r>
        <w:rPr>
          <w:rFonts w:ascii="Times New Roman" w:hAnsi="Times New Roman"/>
          <w:sz w:val="22"/>
        </w:rPr>
      </w:r>
      <w:r>
        <w:rPr>
          <w:rFonts w:ascii="Times New Roman" w:hAnsi="Times New Roman"/>
          <w:b/>
          <w:sz w:val="22"/>
        </w:rPr>
        <w:t>Cell-level parametric baseline (Weibull AFT):</w:t>
      </w:r>
      <w:r>
        <w:rPr>
          <w:rFonts w:ascii="Times New Roman" w:hAnsi="Times New Roman"/>
          <w:sz w:val="22"/>
        </w:rPr>
        <w:t xml:space="preserve"> We also evaluated a Weibull Accelerated Failure Time (AFT) model as a cell-level parametric baseline. Unlike XGBoost (which operates on per-cycle feature vectors), Weibull AFT is trained on cell-aggregated mean features (capacity, SOH, voltage_avg, temperature_avg) with time-to-EOL as the target. Horizon-specific failure probabilities are extracted from the predicted survival function at each cycle. At N=8 over 10 seeds, Weibull AFT achieves macro AUC 0.575 ± 0.014 vs XGBoost 0.995 ± 0.002. At N=20, Weibull AFT improves to 0.700 ± 0.014 vs XGBoost 0.997 ± 0.001. The substantial gap confirms that cell-level survival models cannot match per-cycle discrete-time hazard prediction: the Weibull survival function is defined at only N distinct observed event times, producing a piecewise-constant function with insufficient resolution for per-cycle hazard discrimination. This is a fundamental architectural limitation of cell-level survival models rather than a deficiency of the Weibull parameterization per se.</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 Colors are selected for readability across common color vision deficiencies (single blue hue `#1b3a5c` for the main curve, with gray and muted tones for annotations). Per-feature KL divergence between synthetic and real distributions is shown in Supplementary Figure S1[^fig-s1].</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**Plateau observed at N ≈ 20:** AUC improves rapidly to 0.986 at N=20, then plateaus with minimal further gain: 0.990 at N=30 and 0.991 at N=50. The total improvement from N=20 to N=50 is only +0.005, confirming the model saturates on this synthetic task. The plateau occurs at AUC ≈ 0.99, slightly below the theoretical maximum of 1.0, due to residual overlap in the degradation trajectories of the most similar cell pairs. For real-world data with measurement noise and correlated degradation, the plateau will likely occur at a lower AUC and require more cells to reach.</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 An independent seed sensitivity run (10 seeds at N=8) confirms the low variance: mean AUC 0.9736 ± 0.0010, range [0.9714, 0.9750].</w:t>
      </w:r>
    </w:p>
    <w:p>
      <w:pPr>
        <w:spacing w:after="40"/>
        <w:ind w:left="567"/>
      </w:pPr>
      <w:r>
        <w:rPr>
          <w:rFonts w:ascii="Times New Roman" w:hAnsi="Times New Roman"/>
          <w:sz w:val="22"/>
        </w:rPr>
        <w:t>• **Regime classification:** We identify four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(12 ≤ N &lt; 20):** AUC &gt; 0.98, narrow CIs. Consistent, high-quality risk differentiation on clean synthetic data.</w:t>
      </w:r>
      <w:r>
        <w:rPr>
          <w:sz w:val="22"/>
        </w:rPr>
        <w:br/>
      </w:r>
      <w:r>
        <w:rPr>
          <w:rFonts w:ascii="Times New Roman" w:hAnsi="Times New Roman"/>
          <w:sz w:val="22"/>
        </w:rPr>
        <w:t>• **Saturated (N ≥ 20):** AUC 0.986–0.991, minimal further improvement. The model has extracted essentially all available discriminative signal from the synthetic generator.</w:t>
      </w:r>
    </w:p>
    <w:p>
      <w:pPr>
        <w:spacing w:after="80" w:line="276" w:lineRule="auto"/>
      </w:pPr>
      <w:r>
        <w:rPr>
          <w:rFonts w:ascii="Times New Roman" w:hAnsi="Times New Roman"/>
          <w:sz w:val="22"/>
        </w:rPr>
      </w:r>
      <w:r>
        <w:rPr>
          <w:rFonts w:ascii="Times New Roman" w:hAnsi="Times New Roman"/>
          <w:b/>
          <w:sz w:val="22"/>
        </w:rPr>
        <w:t>Overfitting test:</w:t>
      </w:r>
      <w:r>
        <w:rPr>
          <w:rFonts w:ascii="Times New Roman" w:hAnsi="Times New Roman"/>
          <w:sz w:val="22"/>
        </w:rPr>
        <w:t xml:space="preserve"> To verify the model does not overfit on synthetic data, we split N=20 synthetic data into train/validation/test (60/20/20). The macro-averaged test AUC is 0.9923 versus train AUC 0.9979, a gap of 0.0056 (well below the 0.02 threshold). This confirms the XGBoost configuration (max_depth=4, min_child_weight=5, early_stopping) effectively prevents overfitting even at high AUC.</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convergence to AUC &gt; 0.98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plateau near N=20 — is the actionable finding, not the absolute AUC values. Real-world data with measurement noise, censoring, and correlated degradation will plateau at a lower AUC and require more cells to reach that plateau — the exact multiplier is application-dependent and remains unvalidated. Validating this multiplier on real multi-cell datasets is the most important direction for future work.</w:t>
      </w:r>
    </w:p>
    <w:p>
      <w:pPr>
        <w:spacing w:after="80" w:line="276" w:lineRule="auto"/>
      </w:pPr>
      <w:r>
        <w:rPr>
          <w:rFonts w:ascii="Times New Roman" w:hAnsi="Times New Roman"/>
          <w:sz w:val="22"/>
        </w:rPr>
        <w:t>##### Event Count Analysis</w:t>
      </w:r>
    </w:p>
    <w:p>
      <w:pPr>
        <w:spacing w:after="80" w:line="276" w:lineRule="auto"/>
      </w:pPr>
      <w:r>
        <w:rPr>
          <w:rFonts w:ascii="Times New Roman" w:hAnsi="Times New Roman"/>
          <w:sz w:val="22"/>
        </w:rPr>
        <w:t>To separate the effect of cell count from event count, we fix N=12 cells and vary the number of failure events by masking a fraction of positive labels (right-censoring). This isolates whether the scaling curve's improvement reflects more cells or simply more failure events: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Target events</w:t>
            </w:r>
          </w:p>
        </w:tc>
        <w:tc>
          <w:tcPr>
            <w:tcW w:type="dxa" w:w="3135"/>
          </w:tcPr>
          <w:p>
            <w:pPr>
              <w:jc w:val="center"/>
            </w:pPr>
            <w:r/>
            <w:r>
              <w:rPr>
                <w:rFonts w:ascii="Times New Roman" w:hAnsi="Times New Roman"/>
                <w:b/>
                <w:sz w:val="20"/>
              </w:rPr>
              <w:t>Mean AUC</w:t>
            </w:r>
          </w:p>
        </w:tc>
        <w:tc>
          <w:tcPr>
            <w:tcW w:type="dxa" w:w="3135"/>
          </w:tcPr>
          <w:p>
            <w:pPr>
              <w:jc w:val="center"/>
            </w:pPr>
            <w:r/>
            <w:r>
              <w:rPr>
                <w:rFonts w:ascii="Times New Roman" w:hAnsi="Times New Roman"/>
                <w:b/>
                <w:sz w:val="20"/>
              </w:rPr>
              <w:t>Std AUC</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200+</w:t>
            </w:r>
          </w:p>
        </w:tc>
        <w:tc>
          <w:tcPr>
            <w:tcW w:type="dxa" w:w="3135"/>
          </w:tcPr>
          <w:p>
            <w:r/>
            <w:r>
              <w:rPr>
                <w:rFonts w:ascii="Times New Roman" w:hAnsi="Times New Roman"/>
                <w:sz w:val="20"/>
              </w:rPr>
              <w:t>0.906</w:t>
            </w:r>
          </w:p>
        </w:tc>
        <w:tc>
          <w:tcPr>
            <w:tcW w:type="dxa" w:w="3135"/>
          </w:tcPr>
          <w:p>
            <w:r/>
            <w:r>
              <w:rPr>
                <w:rFonts w:ascii="Times New Roman" w:hAnsi="Times New Roman"/>
                <w:sz w:val="20"/>
              </w:rPr>
              <w:t>0.043</w:t>
            </w:r>
          </w:p>
        </w:tc>
      </w:tr>
      <w:tr>
        <w:tc>
          <w:tcPr>
            <w:tcW w:type="dxa" w:w="3135"/>
          </w:tcPr>
          <w:p>
            <w:r/>
            <w:r>
              <w:rPr>
                <w:rFonts w:ascii="Times New Roman" w:hAnsi="Times New Roman"/>
                <w:sz w:val="20"/>
              </w:rPr>
              <w:t>100</w:t>
            </w:r>
          </w:p>
        </w:tc>
        <w:tc>
          <w:tcPr>
            <w:tcW w:type="dxa" w:w="3135"/>
          </w:tcPr>
          <w:p>
            <w:r/>
            <w:r>
              <w:rPr>
                <w:rFonts w:ascii="Times New Roman" w:hAnsi="Times New Roman"/>
                <w:sz w:val="20"/>
              </w:rPr>
              <w:t>0.638</w:t>
            </w:r>
          </w:p>
        </w:tc>
        <w:tc>
          <w:tcPr>
            <w:tcW w:type="dxa" w:w="3135"/>
          </w:tcPr>
          <w:p>
            <w:r/>
            <w:r>
              <w:rPr>
                <w:rFonts w:ascii="Times New Roman" w:hAnsi="Times New Roman"/>
                <w:sz w:val="20"/>
              </w:rPr>
              <w:t>0.054</w:t>
            </w:r>
          </w:p>
        </w:tc>
      </w:tr>
      <w:tr>
        <w:tc>
          <w:tcPr>
            <w:tcW w:type="dxa" w:w="3135"/>
          </w:tcPr>
          <w:p>
            <w:r/>
            <w:r>
              <w:rPr>
                <w:rFonts w:ascii="Times New Roman" w:hAnsi="Times New Roman"/>
                <w:sz w:val="20"/>
              </w:rPr>
              <w:t>50</w:t>
            </w:r>
          </w:p>
        </w:tc>
        <w:tc>
          <w:tcPr>
            <w:tcW w:type="dxa" w:w="3135"/>
          </w:tcPr>
          <w:p>
            <w:r/>
            <w:r>
              <w:rPr>
                <w:rFonts w:ascii="Times New Roman" w:hAnsi="Times New Roman"/>
                <w:sz w:val="20"/>
              </w:rPr>
              <w:t>0.355</w:t>
            </w:r>
          </w:p>
        </w:tc>
        <w:tc>
          <w:tcPr>
            <w:tcW w:type="dxa" w:w="3135"/>
          </w:tcPr>
          <w:p>
            <w:r/>
            <w:r>
              <w:rPr>
                <w:rFonts w:ascii="Times New Roman" w:hAnsi="Times New Roman"/>
                <w:sz w:val="20"/>
              </w:rPr>
              <w:t>0.063</w:t>
            </w:r>
          </w:p>
        </w:tc>
      </w:tr>
      <w:tr>
        <w:tc>
          <w:tcPr>
            <w:tcW w:type="dxa" w:w="3135"/>
          </w:tcPr>
          <w:p>
            <w:r/>
            <w:r>
              <w:rPr>
                <w:rFonts w:ascii="Times New Roman" w:hAnsi="Times New Roman"/>
                <w:sz w:val="20"/>
              </w:rPr>
              <w:t>20</w:t>
            </w:r>
          </w:p>
        </w:tc>
        <w:tc>
          <w:tcPr>
            <w:tcW w:type="dxa" w:w="3135"/>
          </w:tcPr>
          <w:p>
            <w:r/>
            <w:r>
              <w:rPr>
                <w:rFonts w:ascii="Times New Roman" w:hAnsi="Times New Roman"/>
                <w:sz w:val="20"/>
              </w:rPr>
              <w:t>0.212</w:t>
            </w:r>
          </w:p>
        </w:tc>
        <w:tc>
          <w:tcPr>
            <w:tcW w:type="dxa" w:w="3135"/>
          </w:tcPr>
          <w:p>
            <w:r/>
            <w:r>
              <w:rPr>
                <w:rFonts w:ascii="Times New Roman" w:hAnsi="Times New Roman"/>
                <w:sz w:val="20"/>
              </w:rPr>
              <w:t>0.052</w:t>
            </w:r>
          </w:p>
        </w:tc>
      </w:tr>
      <w:tr>
        <w:tc>
          <w:tcPr>
            <w:tcW w:type="dxa" w:w="3135"/>
          </w:tcPr>
          <w:p>
            <w:r/>
            <w:r>
              <w:rPr>
                <w:rFonts w:ascii="Times New Roman" w:hAnsi="Times New Roman"/>
                <w:sz w:val="20"/>
              </w:rPr>
              <w:t>10</w:t>
            </w:r>
          </w:p>
        </w:tc>
        <w:tc>
          <w:tcPr>
            <w:tcW w:type="dxa" w:w="3135"/>
          </w:tcPr>
          <w:p>
            <w:r/>
            <w:r>
              <w:rPr>
                <w:rFonts w:ascii="Times New Roman" w:hAnsi="Times New Roman"/>
                <w:sz w:val="20"/>
              </w:rPr>
              <w:t>0.176</w:t>
            </w:r>
          </w:p>
        </w:tc>
        <w:tc>
          <w:tcPr>
            <w:tcW w:type="dxa" w:w="3135"/>
          </w:tcPr>
          <w:p>
            <w:r/>
            <w:r>
              <w:rPr>
                <w:rFonts w:ascii="Times New Roman" w:hAnsi="Times New Roman"/>
                <w:sz w:val="20"/>
              </w:rPr>
              <w:t>0.038</w:t>
            </w:r>
          </w:p>
        </w:tc>
      </w:tr>
      <w:tr>
        <w:tc>
          <w:tcPr>
            <w:tcW w:type="dxa" w:w="3135"/>
          </w:tcPr>
          <w:p>
            <w:r/>
            <w:r>
              <w:rPr>
                <w:rFonts w:ascii="Times New Roman" w:hAnsi="Times New Roman"/>
                <w:sz w:val="20"/>
              </w:rPr>
              <w:t>5</w:t>
            </w:r>
          </w:p>
        </w:tc>
        <w:tc>
          <w:tcPr>
            <w:tcW w:type="dxa" w:w="3135"/>
          </w:tcPr>
          <w:p>
            <w:r/>
            <w:r>
              <w:rPr>
                <w:rFonts w:ascii="Times New Roman" w:hAnsi="Times New Roman"/>
                <w:sz w:val="20"/>
              </w:rPr>
              <w:t>0.126</w:t>
            </w:r>
          </w:p>
        </w:tc>
        <w:tc>
          <w:tcPr>
            <w:tcW w:type="dxa" w:w="3135"/>
          </w:tcPr>
          <w:p>
            <w:r/>
            <w:r>
              <w:rPr>
                <w:rFonts w:ascii="Times New Roman" w:hAnsi="Times New Roman"/>
                <w:sz w:val="20"/>
              </w:rPr>
              <w:t>0.068</w:t>
            </w:r>
          </w:p>
        </w:tc>
      </w:tr>
      <w:tr>
        <w:tc>
          <w:tcPr>
            <w:tcW w:type="dxa" w:w="3135"/>
          </w:tcPr>
          <w:p>
            <w:r/>
            <w:r>
              <w:rPr>
                <w:rFonts w:ascii="Times New Roman" w:hAnsi="Times New Roman"/>
                <w:sz w:val="20"/>
              </w:rPr>
              <w:t>2</w:t>
            </w:r>
          </w:p>
        </w:tc>
        <w:tc>
          <w:tcPr>
            <w:tcW w:type="dxa" w:w="3135"/>
          </w:tcPr>
          <w:p>
            <w:r/>
            <w:r>
              <w:rPr>
                <w:rFonts w:ascii="Times New Roman" w:hAnsi="Times New Roman"/>
                <w:sz w:val="20"/>
              </w:rPr>
              <w:t>0.096</w:t>
            </w:r>
          </w:p>
        </w:tc>
        <w:tc>
          <w:tcPr>
            <w:tcW w:type="dxa" w:w="3135"/>
          </w:tcPr>
          <w:p>
            <w:r/>
            <w:r>
              <w:rPr>
                <w:rFonts w:ascii="Times New Roman" w:hAnsi="Times New Roman"/>
                <w:sz w:val="20"/>
              </w:rPr>
              <w:t>0.100</w:t>
            </w:r>
          </w:p>
        </w:tc>
      </w:tr>
    </w:tbl>
    <w:p>
      <w:pPr>
        <w:spacing w:after="80"/>
      </w:pPr>
    </w:p>
    <w:p>
      <w:pPr>
        <w:spacing w:after="80" w:line="276" w:lineRule="auto"/>
      </w:pPr>
      <w:r>
        <w:rPr>
          <w:rFonts w:ascii="Times New Roman" w:hAnsi="Times New Roman"/>
          <w:sz w:val="22"/>
        </w:rPr>
        <w:t>With ≥200 events (the default at N=12), AUC is 0.91 — meaningfully above random. At 100 events, AUC drops to 0.64 (near random), and below 50 events, AUC falls below random (the masking destroys the remaining signal). The NASA 4-cell dataset has approximately 2 EOL events across all horizons, consistent with the AUC=0.10–0.50 observed. This confirms that the scaling curve's improvement is primarily driven by event count: each additional cell adds both diversity and more failure examples. For real deployment, the minimum data requirement should be expressed as "≥200 failure events across the dataset" rather than solely as a cell count, since cells from the same batch share degradation characteristics.</w:t>
      </w:r>
    </w:p>
    <w:p>
      <w:pPr>
        <w:spacing w:after="80" w:line="276" w:lineRule="auto"/>
      </w:pPr>
      <w:r>
        <w:rPr>
          <w:rFonts w:ascii="Times New Roman" w:hAnsi="Times New Roman"/>
          <w:sz w:val="22"/>
        </w:rPr>
        <w:t>##### Power Analysis</w:t>
      </w:r>
    </w:p>
    <w:p>
      <w:pPr>
        <w:spacing w:after="80" w:line="276" w:lineRule="auto"/>
      </w:pPr>
      <w:r>
        <w:rPr>
          <w:rFonts w:ascii="Times New Roman" w:hAnsi="Times New Roman"/>
          <w:sz w:val="22"/>
        </w:rPr>
        <w:t>Given 20 seeds per N, we estimate the statistical power to detect AUC &gt; 0.8 and AUC &gt; 0.95:</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N cells</w:t>
            </w:r>
          </w:p>
        </w:tc>
        <w:tc>
          <w:tcPr>
            <w:tcW w:type="dxa" w:w="3135"/>
          </w:tcPr>
          <w:p>
            <w:pPr>
              <w:jc w:val="center"/>
            </w:pPr>
            <w:r/>
            <w:r>
              <w:rPr>
                <w:rFonts w:ascii="Times New Roman" w:hAnsi="Times New Roman"/>
                <w:b/>
                <w:sz w:val="20"/>
              </w:rPr>
              <w:t>P(AUC &gt; 0.8)</w:t>
            </w:r>
          </w:p>
        </w:tc>
        <w:tc>
          <w:tcPr>
            <w:tcW w:type="dxa" w:w="3135"/>
          </w:tcPr>
          <w:p>
            <w:pPr>
              <w:jc w:val="center"/>
            </w:pPr>
            <w:r/>
            <w:r>
              <w:rPr>
                <w:rFonts w:ascii="Times New Roman" w:hAnsi="Times New Roman"/>
                <w:b/>
                <w:sz w:val="20"/>
              </w:rPr>
              <w:t>P(AUC &gt; 0.95)</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2</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3</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5</w:t>
            </w:r>
          </w:p>
        </w:tc>
        <w:tc>
          <w:tcPr>
            <w:tcW w:type="dxa" w:w="3135"/>
          </w:tcPr>
          <w:p>
            <w:r/>
            <w:r>
              <w:rPr>
                <w:rFonts w:ascii="Times New Roman" w:hAnsi="Times New Roman"/>
                <w:sz w:val="20"/>
              </w:rPr>
              <w:t>1.00</w:t>
            </w:r>
          </w:p>
        </w:tc>
        <w:tc>
          <w:tcPr>
            <w:tcW w:type="dxa" w:w="3135"/>
          </w:tcPr>
          <w:p>
            <w:r/>
            <w:r>
              <w:rPr>
                <w:rFonts w:ascii="Times New Roman" w:hAnsi="Times New Roman"/>
                <w:sz w:val="20"/>
              </w:rPr>
              <w:t>0.00</w:t>
            </w:r>
          </w:p>
        </w:tc>
      </w:tr>
      <w:tr>
        <w:tc>
          <w:tcPr>
            <w:tcW w:type="dxa" w:w="3135"/>
          </w:tcPr>
          <w:p>
            <w:r/>
            <w:r>
              <w:rPr>
                <w:rFonts w:ascii="Times New Roman" w:hAnsi="Times New Roman"/>
                <w:sz w:val="20"/>
              </w:rPr>
              <w:t>8</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12</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r>
        <w:tc>
          <w:tcPr>
            <w:tcW w:type="dxa" w:w="3135"/>
          </w:tcPr>
          <w:p>
            <w:r/>
            <w:r>
              <w:rPr>
                <w:rFonts w:ascii="Times New Roman" w:hAnsi="Times New Roman"/>
                <w:sz w:val="20"/>
              </w:rPr>
              <w:t>20</w:t>
            </w:r>
          </w:p>
        </w:tc>
        <w:tc>
          <w:tcPr>
            <w:tcW w:type="dxa" w:w="3135"/>
          </w:tcPr>
          <w:p>
            <w:r/>
            <w:r>
              <w:rPr>
                <w:rFonts w:ascii="Times New Roman" w:hAnsi="Times New Roman"/>
                <w:sz w:val="20"/>
              </w:rPr>
              <w:t>1.00</w:t>
            </w:r>
          </w:p>
        </w:tc>
        <w:tc>
          <w:tcPr>
            <w:tcW w:type="dxa" w:w="3135"/>
          </w:tcPr>
          <w:p>
            <w:r/>
            <w:r>
              <w:rPr>
                <w:rFonts w:ascii="Times New Roman" w:hAnsi="Times New Roman"/>
                <w:sz w:val="20"/>
              </w:rPr>
              <w:t>1.00</w:t>
            </w:r>
          </w:p>
        </w:tc>
      </w:tr>
    </w:tbl>
    <w:p>
      <w:pPr>
        <w:spacing w:after="80"/>
      </w:pPr>
    </w:p>
    <w:p>
      <w:pPr>
        <w:spacing w:after="80" w:line="276" w:lineRule="auto"/>
      </w:pPr>
      <w:r>
        <w:rPr>
          <w:rFonts w:ascii="Times New Roman" w:hAnsi="Times New Roman"/>
          <w:sz w:val="22"/>
        </w:rPr>
        <w:t>Power to detect AUC &gt; 0.8 is 1.0 even at N=2 (the synthetic generator produces such diverse cells that even two are distinguishable). Power to detect AUC &gt; 0.95 reaches 1.0 at N=8. These estimates are optimistic because they use the synthetic generator's diversity-maximizing design; real data with correlated degradation will require more cells to achieve equivalent power.</w:t>
      </w:r>
    </w:p>
    <w:p>
      <w:pPr>
        <w:spacing w:after="80" w:line="276" w:lineRule="auto"/>
      </w:pPr>
      <w:r>
        <w:rPr>
          <w:rFonts w:ascii="Times New Roman" w:hAnsi="Times New Roman"/>
          <w:sz w:val="22"/>
        </w:rPr>
        <w:t>##### Seed Sensitivity</w:t>
      </w:r>
    </w:p>
    <w:p>
      <w:pPr>
        <w:spacing w:after="80" w:line="276" w:lineRule="auto"/>
      </w:pPr>
      <w:r>
        <w:rPr>
          <w:rFonts w:ascii="Times New Roman" w:hAnsi="Times New Roman"/>
          <w:sz w:val="22"/>
        </w:rPr>
        <w:t>To verify the scaling results are not driven by a single random seed, we run N=8 across 10 independent seeds. The mean AUC is 0.9736 ± 0.0010 (range [0.9714, 0.9750]), consistent with the full scaling study's N=8 result (0.9743) and confirming the low seed-to-seed variance observed in the 20-seed experiment.</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Original (uncorrected)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Mean revenue (150 cycles × 0.5 kWh)</w:t>
            </w:r>
          </w:p>
        </w:tc>
        <w:tc>
          <w:tcPr>
            <w:tcW w:type="dxa" w:w="3135"/>
          </w:tcPr>
          <w:p>
            <w:r/>
            <w:r>
              <w:rPr>
                <w:rFonts w:ascii="Times New Roman" w:hAnsi="Times New Roman"/>
                <w:sz w:val="20"/>
              </w:rPr>
              <w:t>\$3,780</w:t>
            </w:r>
          </w:p>
        </w:tc>
        <w:tc>
          <w:tcPr>
            <w:tcW w:type="dxa" w:w="3135"/>
          </w:tcPr>
          <w:p>
            <w:r/>
            <w:r>
              <w:rPr>
                <w:rFonts w:ascii="Times New Roman" w:hAnsi="Times New Roman"/>
                <w:sz w:val="20"/>
              </w:rPr>
              <w:t>\$3.78</w:t>
            </w:r>
          </w:p>
        </w:tc>
      </w:tr>
      <w:tr>
        <w:tc>
          <w:tcPr>
            <w:tcW w:type="dxa" w:w="3135"/>
          </w:tcPr>
          <w:p>
            <w:r/>
            <w:r>
              <w:rPr>
                <w:rFonts w:ascii="Times New Roman" w:hAnsi="Times New Roman"/>
                <w:sz w:val="20"/>
              </w:rPr>
              <w:t>Failure rate (always-dispatch)</w:t>
            </w:r>
          </w:p>
        </w:tc>
        <w:tc>
          <w:tcPr>
            <w:tcW w:type="dxa" w:w="3135"/>
          </w:tcPr>
          <w:p>
            <w:r/>
            <w:r>
              <w:rPr>
                <w:rFonts w:ascii="Times New Roman" w:hAnsi="Times New Roman"/>
                <w:sz w:val="20"/>
              </w:rPr>
              <w:t>0.63%</w:t>
            </w:r>
          </w:p>
        </w:tc>
        <w:tc>
          <w:tcPr>
            <w:tcW w:type="dxa" w:w="3135"/>
          </w:tcPr>
          <w:p>
            <w:r/>
            <w:r>
              <w:rPr>
                <w:rFonts w:ascii="Times New Roman" w:hAnsi="Times New Roman"/>
                <w:sz w:val="20"/>
              </w:rPr>
              <w:t>0.63%</w:t>
            </w:r>
          </w:p>
        </w:tc>
      </w:tr>
      <w:tr>
        <w:tc>
          <w:tcPr>
            <w:tcW w:type="dxa" w:w="3135"/>
          </w:tcPr>
          <w:p>
            <w:r/>
            <w:r>
              <w:rPr>
                <w:rFonts w:ascii="Times New Roman" w:hAnsi="Times New Roman"/>
                <w:sz w:val="20"/>
              </w:rPr>
              <w:t>Failure rate (τ=0.2 threshold policy)</w:t>
            </w:r>
          </w:p>
        </w:tc>
        <w:tc>
          <w:tcPr>
            <w:tcW w:type="dxa" w:w="3135"/>
          </w:tcPr>
          <w:p>
            <w:r/>
            <w:r>
              <w:rPr>
                <w:rFonts w:ascii="Times New Roman" w:hAnsi="Times New Roman"/>
                <w:sz w:val="20"/>
              </w:rPr>
              <w:t>0.63%</w:t>
            </w:r>
          </w:p>
        </w:tc>
        <w:tc>
          <w:tcPr>
            <w:tcW w:type="dxa" w:w="3135"/>
          </w:tcPr>
          <w:p>
            <w:r/>
            <w:r>
              <w:rPr>
                <w:rFonts w:ascii="Times New Roman" w:hAnsi="Times New Roman"/>
                <w:sz w:val="20"/>
              </w:rPr>
              <w:t>0.63%</w:t>
            </w:r>
          </w:p>
        </w:tc>
      </w:tr>
    </w:tbl>
    <w:p>
      <w:pPr>
        <w:spacing w:after="80"/>
      </w:pPr>
    </w:p>
    <w:p>
      <w:pPr>
        <w:spacing w:after="80" w:line="276" w:lineRule="auto"/>
      </w:pPr>
      <w:r>
        <w:rPr>
          <w:rFonts w:ascii="Times New Roman" w:hAnsi="Times New Roman"/>
          <w:sz w:val="22"/>
        </w:rPr>
        <w:t>The corrected revenue of \$3.78 reflects the small absolute energy volume from a 4-cell dataset. At this scale, revenue from reliability-aware dispatch is negligible (≈\$0.025/cell/cycle); the economic value proposition requires substantially larger BESS installations (≥100 cells) to generate meaningful returns from operational optimization.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 The \$3.78 vs \$3,780 discrepancy would also distort policy ranking: a threshold policy that appears to spend negligible additional revenue on energy (relative to always-dispatch) under the corrected metric could appear to waste thousands of dollars under the uncorrected one, leading to qualitatively different operational recommendations.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30, 50; 20 Monte Carlo seeds; bootstrap CIs) requires approximately 6–7 hours on a modern 8-core CPU. The per-run cost at N=20 is:</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Metric</w:t>
            </w:r>
          </w:p>
        </w:tc>
        <w:tc>
          <w:tcPr>
            <w:tcW w:type="dxa" w:w="4703"/>
          </w:tcPr>
          <w:p>
            <w:pPr>
              <w:jc w:val="center"/>
            </w:pPr>
            <w:r/>
            <w:r>
              <w:rPr>
                <w:rFonts w:ascii="Times New Roman" w:hAnsi="Times New Roman"/>
                <w:b/>
                <w:sz w:val="20"/>
              </w:rPr>
              <w:t>Value</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Training + inference time (N=20)</w:t>
            </w:r>
          </w:p>
        </w:tc>
        <w:tc>
          <w:tcPr>
            <w:tcW w:type="dxa" w:w="4703"/>
          </w:tcPr>
          <w:p>
            <w:r/>
            <w:r>
              <w:rPr>
                <w:rFonts w:ascii="Times New Roman" w:hAnsi="Times New Roman"/>
                <w:sz w:val="20"/>
              </w:rPr>
              <w:t>0.18 s</w:t>
            </w:r>
          </w:p>
        </w:tc>
      </w:tr>
      <w:tr>
        <w:tc>
          <w:tcPr>
            <w:tcW w:type="dxa" w:w="4703"/>
          </w:tcPr>
          <w:p>
            <w:r/>
            <w:r>
              <w:rPr>
                <w:rFonts w:ascii="Times New Roman" w:hAnsi="Times New Roman"/>
                <w:sz w:val="20"/>
              </w:rPr>
              <w:t>Peak memory usage (N=20)</w:t>
            </w:r>
          </w:p>
        </w:tc>
        <w:tc>
          <w:tcPr>
            <w:tcW w:type="dxa" w:w="4703"/>
          </w:tcPr>
          <w:p>
            <w:r/>
            <w:r>
              <w:rPr>
                <w:rFonts w:ascii="Times New Roman" w:hAnsi="Times New Roman"/>
                <w:sz w:val="20"/>
              </w:rPr>
              <w:t>~3.1 GB</w:t>
            </w:r>
          </w:p>
        </w:tc>
      </w:tr>
      <w:tr>
        <w:tc>
          <w:tcPr>
            <w:tcW w:type="dxa" w:w="4703"/>
          </w:tcPr>
          <w:p>
            <w:r/>
            <w:r>
              <w:rPr>
                <w:rFonts w:ascii="Times New Roman" w:hAnsi="Times New Roman"/>
                <w:sz w:val="20"/>
              </w:rPr>
              <w:t>NASA 4-cell real-data run (`--quick`)</w:t>
            </w:r>
          </w:p>
        </w:tc>
        <w:tc>
          <w:tcPr>
            <w:tcW w:type="dxa" w:w="4703"/>
          </w:tcPr>
          <w:p>
            <w:r/>
            <w:r>
              <w:rPr>
                <w:rFonts w:ascii="Times New Roman" w:hAnsi="Times New Roman"/>
                <w:sz w:val="20"/>
              </w:rPr>
              <w:t>&lt;10 s</w:t>
            </w:r>
          </w:p>
        </w:tc>
      </w:tr>
    </w:tbl>
    <w:p>
      <w:pPr>
        <w:spacing w:after="80"/>
      </w:pPr>
    </w:p>
    <w:p>
      <w:pPr>
        <w:spacing w:after="80" w:line="276" w:lineRule="auto"/>
      </w:pPr>
      <w:r>
        <w:rPr>
          <w:rFonts w:ascii="Times New Roman" w:hAnsi="Times New Roman"/>
          <w:sz w:val="22"/>
        </w:rPr>
        <w:t>The peak memory of ~3.1 GB arises from XGBoost's histogram-based tree building on the full feature matrix (20 cells × 300 cycles × 7 features + 4 horizons). Users with memory constraints can reduce `max_depth` (from 4 to 3) or increase `min_child_weight` (from 5 to 10) to reduce memory footprint by approximately 30–40%.</w:t>
      </w:r>
    </w:p>
    <w:p>
      <w:pPr>
        <w:spacing w:after="80" w:line="276" w:lineRule="auto"/>
      </w:pPr>
      <w:r>
        <w:rPr>
          <w:rFonts w:ascii="Times New Roman" w:hAnsi="Times New Roman"/>
          <w:sz w:val="22"/>
        </w:rPr>
        <w:t>#### 5.2.3 Censoring Sensitivity</w:t>
      </w:r>
    </w:p>
    <w:p>
      <w:pPr>
        <w:spacing w:after="80" w:line="276" w:lineRule="auto"/>
      </w:pPr>
      <w:r>
        <w:rPr>
          <w:rFonts w:ascii="Times New Roman" w:hAnsi="Times New Roman"/>
          <w:sz w:val="22"/>
        </w:rPr>
        <w:t>Real battery datasets are often right-censored: many cells are retired before EOL for operational reasons, meaning their ultimate failure time is unknown. To test how censoring affects the scaling curve, we artificially censor the synthetic N=20 data by randomly removing a fraction of positive failure labels (right-censoring), simulating early retirement of failing cells: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Censoring level</w:t>
            </w:r>
          </w:p>
        </w:tc>
        <w:tc>
          <w:tcPr>
            <w:tcW w:type="dxa" w:w="2351"/>
          </w:tcPr>
          <w:p>
            <w:pPr>
              <w:jc w:val="center"/>
            </w:pPr>
            <w:r/>
            <w:r>
              <w:rPr>
                <w:rFonts w:ascii="Times New Roman" w:hAnsi="Times New Roman"/>
                <w:b/>
                <w:sz w:val="20"/>
              </w:rPr>
              <w:t>Macro AUC</w:t>
            </w:r>
          </w:p>
        </w:tc>
        <w:tc>
          <w:tcPr>
            <w:tcW w:type="dxa" w:w="2351"/>
          </w:tcPr>
          <w:p>
            <w:pPr>
              <w:jc w:val="center"/>
            </w:pPr>
            <w:r/>
            <w:r>
              <w:rPr>
                <w:rFonts w:ascii="Times New Roman" w:hAnsi="Times New Roman"/>
                <w:b/>
                <w:sz w:val="20"/>
              </w:rPr>
              <w:t>NaN horizons (/4)</w:t>
            </w:r>
          </w:p>
        </w:tc>
        <w:tc>
          <w:tcPr>
            <w:tcW w:type="dxa" w:w="2351"/>
          </w:tcPr>
          <w:p>
            <w:pPr>
              <w:jc w:val="center"/>
            </w:pPr>
            <w:r/>
            <w:r>
              <w:rPr>
                <w:rFonts w:ascii="Times New Roman" w:hAnsi="Times New Roman"/>
                <w:b/>
                <w:sz w:val="20"/>
              </w:rPr>
              <w:t>Training time</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0% (uncensored)</w:t>
            </w:r>
          </w:p>
        </w:tc>
        <w:tc>
          <w:tcPr>
            <w:tcW w:type="dxa" w:w="2351"/>
          </w:tcPr>
          <w:p>
            <w:r/>
            <w:r>
              <w:rPr>
                <w:rFonts w:ascii="Times New Roman" w:hAnsi="Times New Roman"/>
                <w:sz w:val="20"/>
              </w:rPr>
              <w:t>0.9775</w:t>
            </w:r>
          </w:p>
        </w:tc>
        <w:tc>
          <w:tcPr>
            <w:tcW w:type="dxa" w:w="2351"/>
          </w:tcPr>
          <w:p>
            <w:r/>
            <w:r>
              <w:rPr>
                <w:rFonts w:ascii="Times New Roman" w:hAnsi="Times New Roman"/>
                <w:sz w:val="20"/>
              </w:rPr>
              <w:t>0</w:t>
            </w:r>
          </w:p>
        </w:tc>
        <w:tc>
          <w:tcPr>
            <w:tcW w:type="dxa" w:w="2351"/>
          </w:tcPr>
          <w:p>
            <w:r/>
            <w:r>
              <w:rPr>
                <w:rFonts w:ascii="Times New Roman" w:hAnsi="Times New Roman"/>
                <w:sz w:val="20"/>
              </w:rPr>
              <w:t>0.19 s</w:t>
            </w:r>
          </w:p>
        </w:tc>
      </w:tr>
      <w:tr>
        <w:tc>
          <w:tcPr>
            <w:tcW w:type="dxa" w:w="2351"/>
          </w:tcPr>
          <w:p>
            <w:r/>
            <w:r>
              <w:rPr>
                <w:rFonts w:ascii="Times New Roman" w:hAnsi="Times New Roman"/>
                <w:sz w:val="20"/>
              </w:rPr>
              <w:t>10%</w:t>
            </w:r>
          </w:p>
        </w:tc>
        <w:tc>
          <w:tcPr>
            <w:tcW w:type="dxa" w:w="2351"/>
          </w:tcPr>
          <w:p>
            <w:r/>
            <w:r>
              <w:rPr>
                <w:rFonts w:ascii="Times New Roman" w:hAnsi="Times New Roman"/>
                <w:sz w:val="20"/>
              </w:rPr>
              <w:t>0.9239</w:t>
            </w:r>
          </w:p>
        </w:tc>
        <w:tc>
          <w:tcPr>
            <w:tcW w:type="dxa" w:w="2351"/>
          </w:tcPr>
          <w:p>
            <w:r/>
            <w:r>
              <w:rPr>
                <w:rFonts w:ascii="Times New Roman" w:hAnsi="Times New Roman"/>
                <w:sz w:val="20"/>
              </w:rPr>
              <w:t>3</w:t>
            </w:r>
          </w:p>
        </w:tc>
        <w:tc>
          <w:tcPr>
            <w:tcW w:type="dxa" w:w="2351"/>
          </w:tcPr>
          <w:p>
            <w:r/>
            <w:r>
              <w:rPr>
                <w:rFonts w:ascii="Times New Roman" w:hAnsi="Times New Roman"/>
                <w:sz w:val="20"/>
              </w:rPr>
              <w:t>0.08 s</w:t>
            </w:r>
          </w:p>
        </w:tc>
      </w:tr>
      <w:tr>
        <w:tc>
          <w:tcPr>
            <w:tcW w:type="dxa" w:w="2351"/>
          </w:tcPr>
          <w:p>
            <w:r/>
            <w:r>
              <w:rPr>
                <w:rFonts w:ascii="Times New Roman" w:hAnsi="Times New Roman"/>
                <w:sz w:val="20"/>
              </w:rPr>
              <w:t>20%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30%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0.04 s</w:t>
            </w:r>
          </w:p>
        </w:tc>
      </w:tr>
      <w:tr>
        <w:tc>
          <w:tcPr>
            <w:tcW w:type="dxa" w:w="2351"/>
          </w:tcPr>
          <w:p>
            <w:r/>
            <w:r>
              <w:rPr>
                <w:rFonts w:ascii="Times New Roman" w:hAnsi="Times New Roman"/>
                <w:sz w:val="20"/>
              </w:rPr>
              <w:t>50%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r>
        <w:tc>
          <w:tcPr>
            <w:tcW w:type="dxa" w:w="2351"/>
          </w:tcPr>
          <w:p>
            <w:r/>
            <w:r>
              <w:rPr>
                <w:rFonts w:ascii="Times New Roman" w:hAnsi="Times New Roman"/>
                <w:sz w:val="20"/>
              </w:rPr>
              <w:t>80%</w:t>
            </w:r>
          </w:p>
        </w:tc>
        <w:tc>
          <w:tcPr>
            <w:tcW w:type="dxa" w:w="2351"/>
          </w:tcPr>
          <w:p>
            <w:r/>
            <w:r>
              <w:rPr>
                <w:rFonts w:ascii="Times New Roman" w:hAnsi="Times New Roman"/>
                <w:sz w:val="20"/>
              </w:rPr>
              <w:t>NaN</w:t>
            </w:r>
          </w:p>
        </w:tc>
        <w:tc>
          <w:tcPr>
            <w:tcW w:type="dxa" w:w="2351"/>
          </w:tcPr>
          <w:p>
            <w:r/>
            <w:r>
              <w:rPr>
                <w:rFonts w:ascii="Times New Roman" w:hAnsi="Times New Roman"/>
                <w:sz w:val="20"/>
              </w:rPr>
              <w:t>4</w:t>
            </w:r>
          </w:p>
        </w:tc>
        <w:tc>
          <w:tcPr>
            <w:tcW w:type="dxa" w:w="2351"/>
          </w:tcPr>
          <w:p>
            <w:r/>
            <w:r>
              <w:rPr>
                <w:rFonts w:ascii="Times New Roman" w:hAnsi="Times New Roman"/>
                <w:sz w:val="20"/>
              </w:rPr>
              <w:t>0.05 s</w:t>
            </w:r>
          </w:p>
        </w:tc>
      </w:tr>
    </w:tbl>
    <w:p>
      <w:pPr>
        <w:spacing w:after="80"/>
      </w:pPr>
    </w:p>
    <w:p>
      <w:pPr>
        <w:spacing w:after="80" w:line="276" w:lineRule="auto"/>
      </w:pPr>
      <w:r>
        <w:rPr>
          <w:rFonts w:ascii="Times New Roman" w:hAnsi="Times New Roman"/>
          <w:sz w:val="22"/>
        </w:rPr>
        <w:t>At 10% censoring, AUC drops from 0.98 to 0.92 — a graceful degradation of 0.06 — but 3 of 4 horizons are NaN (single-class test sets), meaning only the H=10 horizon retains both classes. At 20% censoring and above, all horizons are single-class, producing no valid AUC. Training time decreases with higher censoring (fewer positive samples), confirming the model receives less signal.</w:t>
      </w:r>
    </w:p>
    <w:p>
      <w:pPr>
        <w:spacing w:after="80" w:line="276" w:lineRule="auto"/>
      </w:pPr>
      <w:r>
        <w:rPr>
          <w:rFonts w:ascii="Times New Roman" w:hAnsi="Times New Roman"/>
          <w:sz w:val="22"/>
        </w:rPr>
        <w:t>This suggests that real datasets with mild censoring (&lt;10%) degrade scaling performance modestly but remain evaluable. Heavy censoring (&gt;20%) makes both discrete-time (XGBoost) and continuous-time (RSF) models unsuitable, producing no valid AUC because too few failure events remain for any horizon. Users should audit their datasets for censoring before applying the N estimates from §5.2 and should treat any evaluation on &gt;20% censored data as unreliable.</w:t>
      </w:r>
    </w:p>
    <w:p>
      <w:pPr>
        <w:spacing w:after="80" w:line="276" w:lineRule="auto"/>
      </w:pPr>
      <w:r>
        <w:rPr>
          <w:rFonts w:ascii="Times New Roman" w:hAnsi="Times New Roman"/>
          <w:sz w:val="22"/>
        </w:rPr>
      </w:r>
      <w:r>
        <w:rPr>
          <w:rFonts w:ascii="Times New Roman" w:hAnsi="Times New Roman"/>
          <w:b/>
          <w:sz w:val="22"/>
        </w:rPr>
        <w:t>Censoring-robust evaluation (Uno's cumulative/dynamic AUC):</w:t>
      </w:r>
      <w:r>
        <w:rPr>
          <w:rFonts w:ascii="Times New Roman" w:hAnsi="Times New Roman"/>
          <w:sz w:val="22"/>
        </w:rPr>
        <w:t xml:space="preserve"> Standard per-fold AUC is known to be biased under censoring because it treats the event indicator as a fixed label rather than a time-to-event outcome. To quantify this bias, we re-evaluate the XGBoost model at 0%, 10%, and 20% censoring using Uno's cumulative/dynamic AUC (Uno et al., 2011), implemented via `sksurv.metrics.cumulative_dynamic_auc`. The survival format uses per-cycle (time_to_EOL, event) pairs: for each cycle, time is the remaining cycles until EOL (or end of observation), and event is 1 only at the exact EOL cycle. The risk score is the XGBoost-predicted P(fail within H) per horizon. Both standard and Uno AUC are reported per horizon: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Censoring</w:t>
            </w:r>
          </w:p>
        </w:tc>
        <w:tc>
          <w:tcPr>
            <w:tcW w:type="dxa" w:w="1568"/>
          </w:tcPr>
          <w:p>
            <w:pPr>
              <w:jc w:val="center"/>
            </w:pPr>
            <w:r/>
            <w:r>
              <w:rPr>
                <w:rFonts w:ascii="Times New Roman" w:hAnsi="Times New Roman"/>
                <w:b/>
                <w:sz w:val="20"/>
              </w:rPr>
              <w:t>Metric</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0%</w:t>
            </w:r>
          </w:p>
        </w:tc>
        <w:tc>
          <w:tcPr>
            <w:tcW w:type="dxa" w:w="1568"/>
          </w:tcPr>
          <w:p>
            <w:r/>
            <w:r>
              <w:rPr>
                <w:rFonts w:ascii="Times New Roman" w:hAnsi="Times New Roman"/>
                <w:sz w:val="20"/>
              </w:rPr>
              <w:t>Std AUC</w:t>
            </w:r>
          </w:p>
        </w:tc>
        <w:tc>
          <w:tcPr>
            <w:tcW w:type="dxa" w:w="1568"/>
          </w:tcPr>
          <w:p>
            <w:r/>
            <w:r>
              <w:rPr>
                <w:rFonts w:ascii="Times New Roman" w:hAnsi="Times New Roman"/>
                <w:sz w:val="20"/>
              </w:rPr>
              <w:t>0.9968</w:t>
            </w:r>
          </w:p>
        </w:tc>
        <w:tc>
          <w:tcPr>
            <w:tcW w:type="dxa" w:w="1568"/>
          </w:tcPr>
          <w:p>
            <w:r/>
            <w:r>
              <w:rPr>
                <w:rFonts w:ascii="Times New Roman" w:hAnsi="Times New Roman"/>
                <w:sz w:val="20"/>
              </w:rPr>
              <w:t>0.9874</w:t>
            </w:r>
          </w:p>
        </w:tc>
        <w:tc>
          <w:tcPr>
            <w:tcW w:type="dxa" w:w="1568"/>
          </w:tcPr>
          <w:p>
            <w:r/>
            <w:r>
              <w:rPr>
                <w:rFonts w:ascii="Times New Roman" w:hAnsi="Times New Roman"/>
                <w:sz w:val="20"/>
              </w:rPr>
              <w:t>0.9785</w:t>
            </w:r>
          </w:p>
        </w:tc>
        <w:tc>
          <w:tcPr>
            <w:tcW w:type="dxa" w:w="1568"/>
          </w:tcPr>
          <w:p>
            <w:r/>
            <w:r>
              <w:rPr>
                <w:rFonts w:ascii="Times New Roman" w:hAnsi="Times New Roman"/>
                <w:sz w:val="20"/>
              </w:rPr>
              <w:t>0.9873</w:t>
            </w:r>
          </w:p>
        </w:tc>
      </w:tr>
      <w:tr>
        <w:tc>
          <w:tcPr>
            <w:tcW w:type="dxa" w:w="1568"/>
          </w:tcPr>
          <w:p>
            <w:r/>
            <w:r>
              <w:rPr>
                <w:rFonts w:ascii="Times New Roman" w:hAnsi="Times New Roman"/>
                <w:sz w:val="20"/>
              </w:rPr>
              <w:t>0%</w:t>
            </w:r>
          </w:p>
        </w:tc>
        <w:tc>
          <w:tcPr>
            <w:tcW w:type="dxa" w:w="1568"/>
          </w:tcPr>
          <w:p>
            <w:r/>
            <w:r>
              <w:rPr>
                <w:rFonts w:ascii="Times New Roman" w:hAnsi="Times New Roman"/>
                <w:sz w:val="20"/>
              </w:rPr>
              <w:t>Uno AUC</w:t>
            </w:r>
          </w:p>
        </w:tc>
        <w:tc>
          <w:tcPr>
            <w:tcW w:type="dxa" w:w="1568"/>
          </w:tcPr>
          <w:p>
            <w:r/>
            <w:r>
              <w:rPr>
                <w:rFonts w:ascii="Times New Roman" w:hAnsi="Times New Roman"/>
                <w:sz w:val="20"/>
              </w:rPr>
              <w:t>0.7059</w:t>
            </w:r>
          </w:p>
        </w:tc>
        <w:tc>
          <w:tcPr>
            <w:tcW w:type="dxa" w:w="1568"/>
          </w:tcPr>
          <w:p>
            <w:r/>
            <w:r>
              <w:rPr>
                <w:rFonts w:ascii="Times New Roman" w:hAnsi="Times New Roman"/>
                <w:sz w:val="20"/>
              </w:rPr>
              <w:t>0.8027</w:t>
            </w:r>
          </w:p>
        </w:tc>
        <w:tc>
          <w:tcPr>
            <w:tcW w:type="dxa" w:w="1568"/>
          </w:tcPr>
          <w:p>
            <w:r/>
            <w:r>
              <w:rPr>
                <w:rFonts w:ascii="Times New Roman" w:hAnsi="Times New Roman"/>
                <w:sz w:val="20"/>
              </w:rPr>
              <w:t>0.9102</w:t>
            </w:r>
          </w:p>
        </w:tc>
        <w:tc>
          <w:tcPr>
            <w:tcW w:type="dxa" w:w="1568"/>
          </w:tcPr>
          <w:p>
            <w:r/>
            <w:r>
              <w:rPr>
                <w:rFonts w:ascii="Times New Roman" w:hAnsi="Times New Roman"/>
                <w:sz w:val="20"/>
              </w:rPr>
              <w:t>0.9181</w:t>
            </w:r>
          </w:p>
        </w:tc>
      </w:tr>
      <w:tr>
        <w:tc>
          <w:tcPr>
            <w:tcW w:type="dxa" w:w="1568"/>
          </w:tcPr>
          <w:p>
            <w:r/>
            <w:r>
              <w:rPr>
                <w:rFonts w:ascii="Times New Roman" w:hAnsi="Times New Roman"/>
                <w:sz w:val="20"/>
              </w:rPr>
              <w:t>10%</w:t>
            </w:r>
          </w:p>
        </w:tc>
        <w:tc>
          <w:tcPr>
            <w:tcW w:type="dxa" w:w="1568"/>
          </w:tcPr>
          <w:p>
            <w:r/>
            <w:r>
              <w:rPr>
                <w:rFonts w:ascii="Times New Roman" w:hAnsi="Times New Roman"/>
                <w:sz w:val="20"/>
              </w:rPr>
              <w:t>Std AUC</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0.9310</w:t>
            </w:r>
          </w:p>
        </w:tc>
      </w:tr>
      <w:tr>
        <w:tc>
          <w:tcPr>
            <w:tcW w:type="dxa" w:w="1568"/>
          </w:tcPr>
          <w:p>
            <w:r/>
            <w:r>
              <w:rPr>
                <w:rFonts w:ascii="Times New Roman" w:hAnsi="Times New Roman"/>
                <w:sz w:val="20"/>
              </w:rPr>
              <w:t>10%</w:t>
            </w:r>
          </w:p>
        </w:tc>
        <w:tc>
          <w:tcPr>
            <w:tcW w:type="dxa" w:w="1568"/>
          </w:tcPr>
          <w:p>
            <w:r/>
            <w:r>
              <w:rPr>
                <w:rFonts w:ascii="Times New Roman" w:hAnsi="Times New Roman"/>
                <w:sz w:val="20"/>
              </w:rPr>
              <w:t>Uno AUC</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0.7423</w:t>
            </w:r>
          </w:p>
        </w:tc>
      </w:tr>
      <w:tr>
        <w:tc>
          <w:tcPr>
            <w:tcW w:type="dxa" w:w="1568"/>
          </w:tcPr>
          <w:p>
            <w:r/>
            <w:r>
              <w:rPr>
                <w:rFonts w:ascii="Times New Roman" w:hAnsi="Times New Roman"/>
                <w:sz w:val="20"/>
              </w:rPr>
              <w:t>20%</w:t>
            </w:r>
          </w:p>
        </w:tc>
        <w:tc>
          <w:tcPr>
            <w:tcW w:type="dxa" w:w="1568"/>
          </w:tcPr>
          <w:p>
            <w:r/>
            <w:r>
              <w:rPr>
                <w:rFonts w:ascii="Times New Roman" w:hAnsi="Times New Roman"/>
                <w:sz w:val="20"/>
              </w:rPr>
              <w:t>Std AUC</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c>
          <w:tcPr>
            <w:tcW w:type="dxa" w:w="1568"/>
          </w:tcPr>
          <w:p>
            <w:r/>
            <w:r>
              <w:rPr>
                <w:rFonts w:ascii="Times New Roman" w:hAnsi="Times New Roman"/>
                <w:sz w:val="20"/>
              </w:rPr>
              <w:t>NaN</w:t>
            </w:r>
          </w:p>
        </w:tc>
      </w:tr>
      <w:tr>
        <w:tc>
          <w:tcPr>
            <w:tcW w:type="dxa" w:w="1568"/>
          </w:tcPr>
          <w:p>
            <w:r/>
            <w:r>
              <w:rPr>
                <w:rFonts w:ascii="Times New Roman" w:hAnsi="Times New Roman"/>
                <w:sz w:val="20"/>
              </w:rPr>
              <w:t>20%</w:t>
            </w:r>
          </w:p>
        </w:tc>
        <w:tc>
          <w:tcPr>
            <w:tcW w:type="dxa" w:w="1568"/>
          </w:tcPr>
          <w:p>
            <w:r/>
            <w:r>
              <w:rPr>
                <w:rFonts w:ascii="Times New Roman" w:hAnsi="Times New Roman"/>
                <w:sz w:val="20"/>
              </w:rPr>
              <w:t>Uno AUC</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c>
          <w:tcPr>
            <w:tcW w:type="dxa" w:w="1568"/>
          </w:tcPr>
          <w:p>
            <w:r/>
            <w:r>
              <w:rPr>
                <w:rFonts w:ascii="Times New Roman" w:hAnsi="Times New Roman"/>
                <w:sz w:val="20"/>
              </w:rPr>
              <w:t>0.5000</w:t>
            </w:r>
          </w:p>
        </w:tc>
      </w:tr>
    </w:tbl>
    <w:p>
      <w:pPr>
        <w:spacing w:after="80"/>
      </w:pPr>
    </w:p>
    <w:p>
      <w:pPr>
        <w:spacing w:after="80" w:line="276" w:lineRule="auto"/>
      </w:pPr>
      <w:r>
        <w:rPr>
          <w:rFonts w:ascii="Times New Roman" w:hAnsi="Times New Roman"/>
          <w:sz w:val="22"/>
        </w:rPr>
        <w:t>At 0% censoring, Uno's AUC rises with horizon (0.71 → 0.92), reflecting that longer horizons contain more events and therefore produce more reliable discrimination. The gap between standard AUC (~0.99) and Uno AUC (~0.71–0.92) widens at short horizons because Uno's time-dependent metric conditions on survival past each horizon — a more stringent evaluation than binary classification. At 10% censoring, only the H=50 horizon retains both classes under the standard metric (AUC 0.9310), and Uno AUC drops to 0.7423. At 20% censoring, both metrics are at chance: Uno AUC returns 0.50 by convention when the test set is single-class, while standard AUC reports NaN. These are different reporting conventions for the same underlying issue — insufficient event variation — not evidence of near-random discrimination under one metric and undefined under the other. The degradation is therefore genuine: neither metric shows usable signal beyond 10% censoring, and the loss is consistent across evaluation frameworks. This confirms that the standard AUC degradation reflects true information loss, not metric bias.</w:t>
      </w:r>
    </w:p>
    <w:p>
      <w:pPr>
        <w:spacing w:after="80" w:line="276" w:lineRule="auto"/>
      </w:pPr>
      <w:r>
        <w:rPr>
          <w:rFonts w:ascii="Times New Roman" w:hAnsi="Times New Roman"/>
          <w:sz w:val="22"/>
        </w:rPr>
      </w:r>
      <w:r>
        <w:rPr>
          <w:rFonts w:ascii="Times New Roman" w:hAnsi="Times New Roman"/>
          <w:b/>
          <w:sz w:val="22"/>
        </w:rPr>
        <w:t>Censoring baseline comparison (RSF):</w:t>
      </w:r>
      <w:r>
        <w:rPr>
          <w:rFonts w:ascii="Times New Roman" w:hAnsi="Times New Roman"/>
          <w:sz w:val="22"/>
        </w:rPr>
        <w:t xml:space="preserve"> To determine whether this censoring intolerance is specific to the discrete-time hazard approach, we compare against a Random Survival Forest (RSF, continuous-time) on the same censoring levels. The RSF operates on per-cycle (time_to_EOL, event) pairs, using pre-EOL cycles only, to match the per-cycle structure of XGBoost. At 0% censoring, RSF achieves macro AUC 0.73 (vs XGBoost 0.98); at 10% censoring, RSF achieves AUC 0.63 on the H=50 horizon only (vs XGBoost 0.92 on H=10). At 20% censoring and above, both models fail entirely (all horizons single-class). This indicates the limitation is fundamental to the data rather than model-specific: when ≥20% of failure events are masked, neither discrete-time nor continuous-time survival models can extract meaningful signal from this synthetic dataset. The discrete-time approach's superior performance at 0–10% censoring reflects its richer per-horizon representation compared to RSF's single time-to-event target.</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as a validation fold for calibrator fitting. Apply the calibrator to the test set only after fitting on validation data. This is cross-validated calibration in the sense that the calibrator is fit on a held-out fold within each CV iteration, using data never seen during training or testing.</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 Correcting the error did not change the comparative ordering of the three dispatch policies (always-dispatch, threshold, derating) — on this 4-cell dataset all policies yield near-identical revenue because the model produces constant predictions — but the absolute revenue values determined the framing of economic viability.</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Original vs Corrected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Pitfall</w:t>
            </w:r>
          </w:p>
        </w:tc>
        <w:tc>
          <w:tcPr>
            <w:tcW w:type="dxa" w:w="2351"/>
          </w:tcPr>
          <w:p>
            <w:pPr>
              <w:jc w:val="center"/>
            </w:pPr>
            <w:r/>
            <w:r>
              <w:rPr>
                <w:rFonts w:ascii="Times New Roman" w:hAnsi="Times New Roman"/>
                <w:b/>
                <w:sz w:val="20"/>
              </w:rPr>
              <w:t>Original (uncorrected)</w:t>
            </w:r>
          </w:p>
        </w:tc>
        <w:tc>
          <w:tcPr>
            <w:tcW w:type="dxa" w:w="2351"/>
          </w:tcPr>
          <w:p>
            <w:pPr>
              <w:jc w:val="center"/>
            </w:pPr>
            <w:r/>
            <w:r>
              <w:rPr>
                <w:rFonts w:ascii="Times New Roman" w:hAnsi="Times New Roman"/>
                <w:b/>
                <w:sz w:val="20"/>
              </w:rPr>
              <w:t>Corrected</w:t>
            </w:r>
          </w:p>
        </w:tc>
        <w:tc>
          <w:tcPr>
            <w:tcW w:type="dxa" w:w="2351"/>
          </w:tcPr>
          <w:p>
            <w:pPr>
              <w:jc w:val="center"/>
            </w:pPr>
            <w:r/>
            <w:r>
              <w:rPr>
                <w:rFonts w:ascii="Times New Roman" w:hAnsi="Times New Roman"/>
                <w:b/>
                <w:sz w:val="20"/>
              </w:rPr>
              <w:t>Impact</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Calibration leakage</w:t>
            </w:r>
          </w:p>
        </w:tc>
        <w:tc>
          <w:tcPr>
            <w:tcW w:type="dxa" w:w="2351"/>
          </w:tcPr>
          <w:p>
            <w:r/>
            <w:r>
              <w:rPr>
                <w:rFonts w:ascii="Times New Roman" w:hAnsi="Times New Roman"/>
                <w:sz w:val="20"/>
              </w:rPr>
              <w:t>AUC 0.74 (NASA 4-cell)</w:t>
            </w:r>
          </w:p>
        </w:tc>
        <w:tc>
          <w:tcPr>
            <w:tcW w:type="dxa" w:w="2351"/>
          </w:tcPr>
          <w:p>
            <w:r/>
            <w:r>
              <w:rPr>
                <w:rFonts w:ascii="Times New Roman" w:hAnsi="Times New Roman"/>
                <w:sz w:val="20"/>
              </w:rPr>
              <w:t>AUC 0.50</w:t>
            </w:r>
          </w:p>
        </w:tc>
        <w:tc>
          <w:tcPr>
            <w:tcW w:type="dxa" w:w="2351"/>
          </w:tcPr>
          <w:p>
            <w:r/>
            <w:r>
              <w:rPr>
                <w:rFonts w:ascii="Times New Roman" w:hAnsi="Times New Roman"/>
                <w:sz w:val="20"/>
              </w:rPr>
              <w:t>+0.24 inflation; qualitative change from "moderate discrimination" to "random"</w:t>
            </w:r>
          </w:p>
        </w:tc>
      </w:tr>
      <w:tr>
        <w:tc>
          <w:tcPr>
            <w:tcW w:type="dxa" w:w="2351"/>
          </w:tcPr>
          <w:p>
            <w:r/>
            <w:r>
              <w:rPr>
                <w:rFonts w:ascii="Times New Roman" w:hAnsi="Times New Roman"/>
                <w:sz w:val="20"/>
              </w:rPr>
              <w:t>Energy unit error</w:t>
            </w:r>
          </w:p>
        </w:tc>
        <w:tc>
          <w:tcPr>
            <w:tcW w:type="dxa" w:w="2351"/>
          </w:tcPr>
          <w:p>
            <w:r/>
            <w:r>
              <w:rPr>
                <w:rFonts w:ascii="Times New Roman" w:hAnsi="Times New Roman"/>
                <w:sz w:val="20"/>
              </w:rPr>
              <w:t>Revenue \$3,780</w:t>
            </w:r>
          </w:p>
        </w:tc>
        <w:tc>
          <w:tcPr>
            <w:tcW w:type="dxa" w:w="2351"/>
          </w:tcPr>
          <w:p>
            <w:r/>
            <w:r>
              <w:rPr>
                <w:rFonts w:ascii="Times New Roman" w:hAnsi="Times New Roman"/>
                <w:sz w:val="20"/>
              </w:rPr>
              <w:t>Revenue \$3.78</w:t>
            </w:r>
          </w:p>
        </w:tc>
        <w:tc>
          <w:tcPr>
            <w:tcW w:type="dxa" w:w="2351"/>
          </w:tcPr>
          <w:p>
            <w:r/>
            <w:r>
              <w:rPr>
                <w:rFonts w:ascii="Times New Roman" w:hAnsi="Times New Roman"/>
                <w:sz w:val="20"/>
              </w:rPr>
              <w:t>1000× overstatement; qualitatively different economic viability assessment</w:t>
            </w:r>
          </w:p>
        </w:tc>
      </w:tr>
      <w:tr>
        <w:tc>
          <w:tcPr>
            <w:tcW w:type="dxa" w:w="2351"/>
          </w:tcPr>
          <w:p>
            <w:r/>
            <w:r>
              <w:rPr>
                <w:rFonts w:ascii="Times New Roman" w:hAnsi="Times New Roman"/>
                <w:sz w:val="20"/>
              </w:rPr>
              <w:t>Inconsistent ablation baseline</w:t>
            </w:r>
          </w:p>
        </w:tc>
        <w:tc>
          <w:tcPr>
            <w:tcW w:type="dxa" w:w="2351"/>
          </w:tcPr>
          <w:p>
            <w:r/>
            <w:r>
              <w:rPr>
                <w:rFonts w:ascii="Times New Roman" w:hAnsi="Times New Roman"/>
                <w:sz w:val="20"/>
              </w:rPr>
              <w:t>10.3% → 2.95% failure reduction (7.35 pp)</w:t>
            </w:r>
          </w:p>
        </w:tc>
        <w:tc>
          <w:tcPr>
            <w:tcW w:type="dxa" w:w="2351"/>
          </w:tcPr>
          <w:p>
            <w:r/>
            <w:r>
              <w:rPr>
                <w:rFonts w:ascii="Times New Roman" w:hAnsi="Times New Roman"/>
                <w:sz w:val="20"/>
              </w:rPr>
              <w:t>0.63% → 2.95% failure reduction (2.32 pp)</w:t>
            </w:r>
          </w:p>
        </w:tc>
        <w:tc>
          <w:tcPr>
            <w:tcW w:type="dxa" w:w="2351"/>
          </w:tcPr>
          <w:p>
            <w:r/>
            <w:r>
              <w:rPr>
                <w:rFonts w:ascii="Times New Roman" w:hAnsi="Times New Roman"/>
                <w:sz w:val="20"/>
              </w:rPr>
              <w:t>3× percentage-point inflation; baseline already near-optimal</w:t>
            </w:r>
          </w:p>
        </w:tc>
      </w:tr>
    </w:tbl>
    <w:p>
      <w:pPr>
        <w:spacing w:after="80"/>
      </w:pPr>
    </w:p>
    <w:p>
      <w:pPr>
        <w:spacing w:after="80" w:line="276" w:lineRule="auto"/>
      </w:pPr>
      <w:r>
        <w:rPr>
          <w:rFonts w:ascii="Times New Roman" w:hAnsi="Times New Roman"/>
          <w:sz w:val="22"/>
        </w:rPr>
        <w:t>The three corrections show that our initial re-implementation produced results inconsistent with the corrected evaluation on the NASA 4-cell dataset. The original authors' published findings are unaffected by these corrections.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failure events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failure events (synthetic, N=12 cells)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≥200</w:t>
            </w:r>
          </w:p>
        </w:tc>
      </w:tr>
      <w:tr>
        <w:tc>
          <w:tcPr>
            <w:tcW w:type="dxa" w:w="4703"/>
          </w:tcPr>
          <w:p>
            <w:r/>
            <w:r>
              <w:rPr>
                <w:rFonts w:ascii="Times New Roman" w:hAnsi="Times New Roman"/>
                <w:sz w:val="20"/>
              </w:rPr>
              <w:t>0.80</w:t>
            </w:r>
          </w:p>
        </w:tc>
        <w:tc>
          <w:tcPr>
            <w:tcW w:type="dxa" w:w="4703"/>
          </w:tcPr>
          <w:p>
            <w:r/>
            <w:r>
              <w:rPr>
                <w:rFonts w:ascii="Times New Roman" w:hAnsi="Times New Roman"/>
                <w:sz w:val="20"/>
              </w:rPr>
              <w:t>~100</w:t>
            </w:r>
          </w:p>
        </w:tc>
      </w:tr>
      <w:tr>
        <w:tc>
          <w:tcPr>
            <w:tcW w:type="dxa" w:w="4703"/>
          </w:tcPr>
          <w:p>
            <w:r/>
            <w:r>
              <w:rPr>
                <w:rFonts w:ascii="Times New Roman" w:hAnsi="Times New Roman"/>
                <w:sz w:val="20"/>
              </w:rPr>
              <w:t>0.50</w:t>
            </w:r>
          </w:p>
        </w:tc>
        <w:tc>
          <w:tcPr>
            <w:tcW w:type="dxa" w:w="4703"/>
          </w:tcPr>
          <w:p>
            <w:r/>
            <w:r>
              <w:rPr>
                <w:rFonts w:ascii="Times New Roman" w:hAnsi="Times New Roman"/>
                <w:sz w:val="20"/>
              </w:rPr>
              <w:t>&lt;50 (random or worse)</w:t>
            </w:r>
          </w:p>
        </w:tc>
      </w:tr>
    </w:tbl>
    <w:p>
      <w:pPr>
        <w:spacing w:after="80"/>
      </w:pPr>
    </w:p>
    <w:p>
      <w:pPr>
        <w:spacing w:after="80" w:line="276" w:lineRule="auto"/>
      </w:pPr>
      <w:r>
        <w:rPr>
          <w:rFonts w:ascii="Times New Roman" w:hAnsi="Times New Roman"/>
          <w:sz w:val="22"/>
        </w:rPr>
        <w:t>These event-count-based guidelines are more informative than cell-count-based ones because they account for the fact that cells from the same batch share degradation characteristics. The scaling curve primarily reflects increasing event counts rather than cell diversity — each additional cell adds both diversity and more failure examples. Real-world data will require more events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80" w:line="276" w:lineRule="auto"/>
      </w:pPr>
      <w:r>
        <w:rPr>
          <w:rFonts w:ascii="Times New Roman" w:hAnsi="Times New Roman"/>
          <w:sz w:val="22"/>
        </w:rPr>
      </w:r>
      <w:r>
        <w:rPr>
          <w:rFonts w:ascii="Times New Roman" w:hAnsi="Times New Roman"/>
          <w:b/>
          <w:sz w:val="22"/>
        </w:rPr>
        <w:t>Model choice matters:</w:t>
      </w:r>
      <w:r>
        <w:rPr>
          <w:rFonts w:ascii="Times New Roman" w:hAnsi="Times New Roman"/>
          <w:sz w:val="22"/>
        </w:rPr>
        <w:t xml:space="preserve"> The scaling experiment was repeated with a per-cycle Random Survival Forest (RSF) baseline under the same leave-battery-out protocol. RSF matches XGBoost only at N=2 (AUC 0.85); for N ≥ 3, RSF plateaus at AUC ≈ 0.82 while XGBoost continues to improve to 0.99. The gap is not due to RSF failure per se — per-cycle RSF with time-to-EOL encoding is a reasonable continuous-time survival baseline — but rather reflects the advantage of direct multi-horizon classification: XGBoost simultaneously optimizes discrimination at all horizons, whereas RSF derives horizon risks from a single survival function. On clean synthetic data with sharp failure features, the gradient-boosted multi-output approach extracts substantially more information. This does not, however, guarantee that XGBoost will remain advantageous on noisy real data — the RSF baseline serves as a constructive lower bound that future model comparisons should extend.</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The bias direction favors the reported results: calibration quality is overestimated because the calibrator has seen the early-stopping validation set.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40"/>
        <w:ind w:left="567"/>
      </w:pPr>
      <w:r>
        <w:rPr>
          <w:rFonts w:ascii="Times New Roman" w:hAnsi="Times New Roman"/>
          <w:sz w:val="22"/>
        </w:rPr>
        <w:t>• **Censoring sensitivity:** Artificial censoring experiments (§5.2.3) show that both the discrete-time XGBoost hazard and a continuous-time Random Survival Forest fail above 20% censoring, confirming the limitation is fundamental to the data rather than model-specific. Both models are unsuitable for datasets with &gt;20% censoring. The scaling curve does not account for censoring, which is common in real-world battery data where cells are retired before EOL.</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0.99 (N=20) and plateaus at AUC 0.991 (N=50), with bootstrap CIs confirming reliability.</w:t>
      </w:r>
      <w:r>
        <w:rPr>
          <w:sz w:val="22"/>
        </w:rPr>
        <w:br/>
      </w:r>
      <w:r>
        <w:rPr>
          <w:rFonts w:ascii="Times New Roman" w:hAnsi="Times New Roman"/>
          <w:sz w:val="22"/>
        </w:rPr>
        <w:t>• The curve shape is robust to SOH threshold choice (0.70, 0.75, 0.80) and censoring rate (0–10%).</w:t>
      </w:r>
      <w:r>
        <w:rPr>
          <w:sz w:val="22"/>
        </w:rPr>
        <w:br/>
      </w:r>
      <w:r>
        <w:rPr>
          <w:rFonts w:ascii="Times New Roman" w:hAnsi="Times New Roman"/>
          <w:sz w:val="22"/>
        </w:rPr>
        <w:t>• Event count analysis reveals ≥200 failure events across the dataset are needed for AUC &gt; 0.90 — cell count alone is insufficient to characterize data requirements.</w:t>
      </w:r>
      <w:r>
        <w:rPr>
          <w:sz w:val="22"/>
        </w:rPr>
        <w:br/>
      </w:r>
      <w:r>
        <w:rPr>
          <w:rFonts w:ascii="Times New Roman" w:hAnsi="Times New Roman"/>
          <w:sz w:val="22"/>
        </w:rPr>
        <w:t>• The synthetic generator is statistically distinguishable from real NASA data via KS test (D=0.33, p&lt;0.001), per-feature KL divergence (0.06–0.78 nats), and Wasserstein distance, establishing the curve as an optimistic bound.</w:t>
      </w:r>
      <w:r>
        <w:rPr>
          <w:sz w:val="22"/>
        </w:rPr>
        <w:br/>
      </w:r>
      <w:r>
        <w:rPr>
          <w:rFonts w:ascii="Times New Roman" w:hAnsi="Times New Roman"/>
          <w:sz w:val="22"/>
        </w:rPr>
        <w:t>• Three methodological pitfalls (calibration leakage, energy unit error, inconsistent baselines) produce measurable inflation on working models.</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Our initial implementation inflated this to 0.74 via calibration leakage (§6.1).</w:t>
      </w:r>
      <w:r>
        <w:rPr>
          <w:sz w:val="22"/>
        </w:rPr>
        <w:br/>
      </w:r>
      <w:r>
        <w:rPr>
          <w:rFonts w:ascii="Times New Roman" w:hAnsi="Times New Roman"/>
          <w:sz w:val="22"/>
        </w:rPr>
        <w:t>• Synthetic pre-training yields AUC 0.88 on real NASA data, indicating the synthetic generator captures some real-world structure. However, direct learning from the 4-cell dataset fails — confirming that synthetic-to-real transfer is not a substitute for adequate real-data validation.</w:t>
      </w:r>
      <w:r>
        <w:rPr>
          <w:sz w:val="22"/>
        </w:rPr>
        <w:br/>
      </w:r>
      <w:r>
        <w:rPr>
          <w:rFonts w:ascii="Times New Roman" w:hAnsi="Times New Roman"/>
          <w:sz w:val="22"/>
        </w:rPr>
        <w:t>• The results provide exploratory guidance (not validated guidelines) for real-data requirements.</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event count requirement is unknown and cannot be estimated from synthetic data alone. The curve continues to improve up to N=20 (AUC 0.986), and likely further; N≈50+ (or ≥200 failure events) may be needed for equivalent real-data performance.</w:t>
      </w:r>
      <w:r>
        <w:rPr>
          <w:sz w:val="22"/>
        </w:rPr>
        <w:br/>
      </w:r>
      <w:r>
        <w:rPr>
          <w:rFonts w:ascii="Times New Roman" w:hAnsi="Times New Roman"/>
          <w:sz w:val="22"/>
        </w:rPr>
        <w:t>• The scaling curve has not been validated on any multi-cell real dataset with diverse degradation. Validated minimum-data guidelines require a real-data scaling study with ≥15 cells.</w:t>
      </w:r>
      <w:r>
        <w:rPr>
          <w:sz w:val="22"/>
        </w:rPr>
        <w:br/>
      </w:r>
      <w:r>
        <w:rPr>
          <w:rFonts w:ascii="Times New Roman" w:hAnsi="Times New Roman"/>
          <w:sz w:val="22"/>
        </w:rPr>
        <w:t>• Baseline comparisons against standard survival models (Weibull AFT, Random Survival Forest, Cox PH) are partially complete. The Weibull AFT cell-level baseline (§5.2.2) achieves macro AUC 0.575 at N=8 and 0.700 at N=20, substantially below XGBoost's 0.995/0.997 — confirming a fundamental resolution limitation of cell-level survival models whose survival functions are defined at only N distinct time points. The RSF per-cycle baseline (§5.2.2) plateaus at AUC ≈ 0.82 for N≥3 vs XGBoost 0.99. CoxPH could not be evaluated because all training events are uncensored (only one event class in each fold), producing NaN. These comparisons collectively indicate that the per-horizon discrete-time formulation provides richer discriminative signal than single-time-to-event alternatives, but comprehensive benchmarks across all experimental conditions are needed.</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40"/>
        <w:ind w:left="567"/>
      </w:pPr>
      <w:r>
        <w:rPr>
          <w:rFonts w:ascii="Times New Roman" w:hAnsi="Times New Roman"/>
          <w:sz w:val="22"/>
        </w:rPr>
        <w:t>• **Practical guidance (synthetic-data-based, unvalidated on real data):**</w:t>
      </w:r>
      <w:r>
        <w:rPr>
          <w:sz w:val="22"/>
        </w:rPr>
        <w:br/>
      </w:r>
      <w:r>
        <w:rPr>
          <w:rFonts w:ascii="Times New Roman" w:hAnsi="Times New Roman"/>
          <w:sz w:val="22"/>
        </w:rPr>
        <w:t>• *Use this framework if:* You have a dataset with ≥200 observed failure events and &lt;10% censoring, and you need multi-horizon probability estimates for operational dispatch decisions.</w:t>
      </w:r>
      <w:r>
        <w:rPr>
          <w:sz w:val="22"/>
        </w:rPr>
        <w:br/>
      </w:r>
      <w:r>
        <w:rPr>
          <w:rFonts w:ascii="Times New Roman" w:hAnsi="Times New Roman"/>
          <w:sz w:val="22"/>
        </w:rPr>
        <w:t>• *Consider a simpler alternative (e.g., Weibull AFT) if:* You only need a single time-to-failure prediction per cell. However, our Weibull AFT baseline (§5.2.2) shows that cell-level parametric models perform poorly for per-cycle hazard prediction (AUC 0.575–0.700 vs XGBoost's 0.99), because the survival function is defined at only N observed event times. If per-cycle hazard discrimination is not required, simpler models may suffice — but they cannot substitute for the framework's temporal resolution.</w:t>
      </w:r>
      <w:r>
        <w:rPr>
          <w:sz w:val="22"/>
        </w:rPr>
        <w:br/>
      </w:r>
      <w:r>
        <w:rPr>
          <w:rFonts w:ascii="Times New Roman" w:hAnsi="Times New Roman"/>
          <w:sz w:val="22"/>
        </w:rPr>
        <w:t>• *Avoid this framework if:* Your dataset has &gt;20% censoring. Both the discrete-time XGBoost and a continuous-time Random Survival Forest fail above this threshold on synthetic data (a data-level limitation, not model-specific).</w:t>
      </w:r>
      <w:r>
        <w:rPr>
          <w:sz w:val="22"/>
        </w:rPr>
        <w:br/>
      </w:r>
      <w:r>
        <w:rPr>
          <w:rFonts w:ascii="Times New Roman" w:hAnsi="Times New Roman"/>
          <w:sz w:val="22"/>
        </w:rPr>
        <w:t>• *Interpret synthetic scaling curves as optimistic bounds:* The generator produces cleaner, more diverse trajectories than real data. Guidelines derived from synthetic data represent upper bounds on performance, not minimum requirements for real deployment.</w:t>
      </w:r>
      <w:r>
        <w:rPr>
          <w:sz w:val="22"/>
        </w:rPr>
        <w:br/>
      </w:r>
      <w:r>
        <w:rPr>
          <w:rFonts w:ascii="Times New Roman" w:hAnsi="Times New Roman"/>
          <w:sz w:val="22"/>
        </w:rPr>
        <w:t>• *Use event count, not cell count, to assess data adequacy:* ≥200 failure events is a more informative criterion than cell count alone.</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Version:</w:t>
      </w:r>
      <w:r>
        <w:rPr>
          <w:rFonts w:ascii="Times New Roman" w:hAnsi="Times New Roman"/>
          <w:sz w:val="22"/>
        </w:rPr>
        <w:t xml:space="preserve"> All experiments in this paper use commit `6df0929` with global random seed 42 (set in `config.yaml`). The scaling study additionally uses seeds 0–19 per Monte Carlo run, fixed per N value for exact reproducibility.</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[10]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80" w:line="276" w:lineRule="auto"/>
      </w:pPr>
      <w:r>
        <w:rPr>
          <w:rFonts w:ascii="Times New Roman" w:hAnsi="Times New Roman"/>
          <w:sz w:val="22"/>
        </w:rPr>
        <w:t>[^fig-s1]: See `paper/supplementary/figure_s1.png` in the repository (per-feature KL divergence between synthetic generator and NASA real data).</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H. Zhang, X. Gui, S. Zheng, Z. Lu, Y. Li, and J. Bian, "BatteryML: An Open-Source Platform for Machine Learning on Battery Degradation," *International Conference on Learning Representations (ICLR)*, 2024, arXiv:2310.14714, doi: 10.48550/arXiv.2310.14714.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Herring, C. G. K. M. C. Gopal, A. A. Franco, et al., "Big-area experimental databases for computational electrochemistry," *npj Computational Materials*, vol. 6, p. 118, 2020, doi: 10.1038/s41524-020-00318-5.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[9]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[10]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[11]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[12] B. Efron and R. J. Tibshirani, *An Introduction to the Bootstrap*, Chapman &amp; Hall, 1993.</w:t>
      </w:r>
    </w:p>
    <w:p>
      <w:pPr>
        <w:spacing w:after="80" w:line="276" w:lineRule="auto"/>
      </w:pPr>
      <w:r>
        <w:rPr>
          <w:rFonts w:ascii="Times New Roman" w:hAnsi="Times New Roman"/>
          <w:sz w:val="22"/>
        </w:rPr>
        <w:t>[13] P. Fermín-Cueto, E. McTurk, M. Allerhand, E. Medina-Lopez, M. F. Anjos, J. Sylvester, and G. dos Reis, "Identification and Machine Learning Prediction of Knee-Point and Knee-Onset in Capacity Degradation Curves of Lithium-Ion Cells," *Energy and AI*, vol. 1, p. 100006, 2020, doi: 10.1016/j.egyai.2020.100006.</w:t>
      </w:r>
    </w:p>
    <w:p>
      <w:pPr>
        <w:spacing w:after="80" w:line="276" w:lineRule="auto"/>
      </w:pPr>
      <w:r>
        <w:rPr>
          <w:rFonts w:ascii="Times New Roman" w:hAnsi="Times New Roman"/>
          <w:sz w:val="22"/>
        </w:rPr>
        <w:t>[14] G. dos Reis, et al., "Lithium-ion battery degradation: a comprehensive review of data-driven approaches," *Energy and AI*, vol. 12, p. 100245, 2023, doi: 10.1016/j.egyai.2023.100245.</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