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596"/>
            </w:pPr>
          </w:p>
          <w:p>
            <w:pPr>
              <w:pBdr>
                <w:bottom w:val="single" w:color="529286" w:sz="6" w:space="8"/>
              </w:pBdr>
              <w:spacing w:after="500"/>
              <w:ind w:left="1200" w:right="800"/>
            </w:pPr>
            <w:r>
              <w:rPr>
                <w:rFonts w:ascii="Calibri" w:eastAsia="SimHei"/>
                <w:color w:val="529286"/>
                <w:spacing w:val="40"/>
                <w:sz w:val="18"/>
                <w:szCs w:val="18"/>
              </w:rPr>
              <w:t xml:space="preserve">M  A  N  U  S  C  R  I  P  T     R  E  V  I  E  W</w:t>
            </w:r>
          </w:p>
          <w:p>
            <w:pPr>
              <w:spacing w:after="300" w:line="920" w:lineRule="atLeast"/>
              <w:ind w:left="1200"/>
            </w:pPr>
            <w:r>
              <w:rPr>
                <w:rFonts w:ascii="Arial" w:eastAsia="SimHei"/>
                <w:b/>
                <w:bCs/>
                <w:color w:val="FFFFFF"/>
                <w:sz w:val="80"/>
                <w:szCs w:val="80"/>
              </w:rPr>
              <w:t xml:space="preserve">Peer Review Report</w:t>
            </w:r>
          </w:p>
          <w:p>
            <w:pPr>
              <w:spacing w:after="800"/>
              <w:ind w:left="1200"/>
            </w:pPr>
            <w:r>
              <w:rPr>
                <w:rFonts w:ascii="Arial" w:eastAsia="Microsoft YaHei"/>
                <w:color w:val="B0B8C0"/>
                <w:sz w:val="24"/>
                <w:szCs w:val="24"/>
              </w:rPr>
              <w:t xml:space="preserve">Key strengths, key weaknesses, and revision priorities</w:t>
            </w:r>
          </w:p>
          <w:p>
            <w:pPr>
              <w:pBdr>
                <w:left w:val="single" w:color="529286" w:sz="8" w:space="12"/>
              </w:pBdr>
              <w:spacing w:after="80"/>
              <w:ind w:left="1400"/>
            </w:pPr>
            <w:r>
              <w:rPr>
                <w:rFonts w:ascii="Arial" w:eastAsia="Microsoft YaHei"/>
                <w:color w:val="90989F"/>
                <w:sz w:val="24"/>
                <w:szCs w:val="24"/>
              </w:rPr>
              <w:t xml:space="preserve">Manuscript: Digital Twins for Cyber-Resilient Power Grids</w:t>
            </w:r>
          </w:p>
          <w:p>
            <w:pPr>
              <w:pBdr>
                <w:left w:val="single" w:color="529286" w:sz="8" w:space="12"/>
              </w:pBdr>
              <w:spacing w:after="80"/>
              <w:ind w:left="1400"/>
            </w:pPr>
            <w:r>
              <w:rPr>
                <w:rFonts w:ascii="Arial" w:eastAsia="Microsoft YaHei"/>
                <w:color w:val="90989F"/>
                <w:sz w:val="24"/>
                <w:szCs w:val="24"/>
              </w:rPr>
              <w:t xml:space="preserve">A Systematic Review and a Research Agenda for the AI-Powered Era</w:t>
            </w:r>
          </w:p>
          <w:p>
            <w:pPr>
              <w:pBdr>
                <w:left w:val="single" w:color="529286" w:sz="8" w:space="12"/>
              </w:pBdr>
              <w:spacing w:after="80"/>
              <w:ind w:left="1400"/>
            </w:pPr>
            <w:r>
              <w:rPr>
                <w:rFonts w:ascii="Arial" w:eastAsia="Microsoft YaHei"/>
                <w:color w:val="90989F"/>
                <w:sz w:val="24"/>
                <w:szCs w:val="24"/>
              </w:rPr>
              <w:t xml:space="preserve">Review completed: 16 October 2026</w:t>
            </w:r>
          </w:p>
          <w:p>
            <w:pPr>
              <w:pBdr>
                <w:left w:val="single" w:color="529286" w:sz="8" w:space="12"/>
              </w:pBdr>
              <w:spacing w:after="80"/>
              <w:ind w:left="1400"/>
            </w:pPr>
            <w:r>
              <w:rPr>
                <w:rFonts w:ascii="Arial" w:eastAsia="Microsoft YaHei"/>
                <w:color w:val="90989F"/>
                <w:sz w:val="24"/>
                <w:szCs w:val="24"/>
              </w:rPr>
              <w:t xml:space="preserve">Recommendation: Major revision</w:t>
            </w:r>
          </w:p>
          <w:p>
            <w:pPr>
              <w:spacing w:before="4596"/>
            </w:pPr>
          </w:p>
          <w:p>
            <w:pPr>
              <w:pBdr>
                <w:top w:val="single" w:color="529286" w:sz="2" w:space="8"/>
              </w:pBdr>
              <w:spacing w:before="200"/>
              <w:ind w:left="1200" w:right="800"/>
            </w:pPr>
            <w:r>
              <w:rPr>
                <w:rFonts w:ascii="Arial"/>
                <w:color w:val="687078"/>
                <w:sz w:val="16"/>
                <w:szCs w:val="16"/>
              </w:rPr>
              <w:t xml:space="preserve">Peer review report</w:t>
            </w:r>
            <w:r>
              <w:t xml:space="preserve">                                        </w:t>
            </w:r>
            <w:r>
              <w:rPr>
                <w:rFonts w:ascii="Arial"/>
                <w:color w:val="687078"/>
                <w:sz w:val="16"/>
                <w:szCs w:val="16"/>
              </w:rPr>
              <w:t xml:space="preserve">October 2026</w:t>
            </w:r>
          </w:p>
        </w:tc>
      </w:tr>
    </w:tbl>
    <w:p>
      <w:pPr>
        <w:sectPr>
          <w:pgSz w:w="11906" w:h="16838" w:orient="portrait"/>
          <w:pgMar w:top="0" w:right="0" w:bottom="0" w:left="0" w:header="708" w:footer="708" w:gutter="0"/>
          <w:docGrid w:linePitch="360"/>
        </w:sectPr>
      </w:pPr>
    </w:p>
    <w:p>
      <w:pPr>
        <w:spacing w:after="360" w:before="480" w:line="480" w:lineRule="atLeast"/>
        <w:jc w:val="center"/>
      </w:pPr>
      <w:r>
        <w:rPr>
          <w:rFonts w:ascii="Times New Roman" w:eastAsia="SimHei"/>
          <w:b/>
          <w:bCs/>
          <w:color w:val="0B1C2C"/>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"1-2"</w:instrText>
          </w:r>
          <w:r>
            <w:fldChar w:fldCharType="separate"/>
          </w:r>
        </w:p>
        <w:p>
          <w:pPr>
            <w:pStyle w:val="9"/>
            <w:tabs>
              <w:tab w:val="right" w:leader="dot" w:pos="9026"/>
            </w:tabs>
            <w:spacing w:before="120" w:after="60"/>
          </w:pPr>
          <w:r>
            <w:t>Executive Summary</w:t>
          </w:r>
          <w:r>
            <w:tab/>
          </w:r>
          <w:r>
            <w:t>1</w:t>
          </w:r>
        </w:p>
        <w:p>
          <w:pPr>
            <w:pStyle w:val="9"/>
            <w:tabs>
              <w:tab w:val="right" w:leader="dot" w:pos="9026"/>
            </w:tabs>
            <w:spacing w:before="120" w:after="60"/>
          </w:pPr>
          <w:r>
            <w:t>1. Manuscript Overview</w:t>
          </w:r>
          <w:r>
            <w:tab/>
          </w:r>
          <w:r>
            <w:t>1</w:t>
          </w:r>
        </w:p>
        <w:p>
          <w:pPr>
            <w:pStyle w:val="9"/>
            <w:tabs>
              <w:tab w:val="right" w:leader="dot" w:pos="9026"/>
            </w:tabs>
            <w:spacing w:before="120" w:after="60"/>
          </w:pPr>
          <w:r>
            <w:t>2. Overall Assessment</w:t>
          </w:r>
          <w:r>
            <w:tab/>
          </w:r>
          <w:r>
            <w:t>2</w:t>
          </w:r>
        </w:p>
        <w:p>
          <w:pPr>
            <w:pStyle w:val="9"/>
            <w:tabs>
              <w:tab w:val="right" w:leader="dot" w:pos="9026"/>
            </w:tabs>
            <w:spacing w:before="120" w:after="60"/>
          </w:pPr>
          <w:r>
            <w:t>3. Key Strengths</w:t>
          </w:r>
          <w:r>
            <w:tab/>
          </w:r>
          <w:r>
            <w:t>3</w:t>
          </w:r>
        </w:p>
        <w:p>
          <w:pPr>
            <w:pStyle w:val="11"/>
            <w:ind w:left="360"/>
            <w:tabs>
              <w:tab w:val="right" w:leader="dot" w:pos="9026"/>
            </w:tabs>
            <w:spacing w:before="120" w:after="60"/>
          </w:pPr>
          <w:r>
            <w:t>3.1 Unusual methodological transparency and calibrated self-criticism</w:t>
          </w:r>
          <w:r>
            <w:tab/>
          </w:r>
          <w:r>
            <w:t>3</w:t>
          </w:r>
        </w:p>
        <w:p>
          <w:pPr>
            <w:pStyle w:val="11"/>
            <w:ind w:left="360"/>
            <w:tabs>
              <w:tab w:val="right" w:leader="dot" w:pos="9026"/>
            </w:tabs>
            <w:spacing w:before="120" w:after="60"/>
          </w:pPr>
          <w:r>
            <w:t>3.2 The headline finding is actively defended against retrieval bias</w:t>
          </w:r>
          <w:r>
            <w:tab/>
          </w:r>
          <w:r>
            <w:t>3</w:t>
          </w:r>
        </w:p>
        <w:p>
          <w:pPr>
            <w:pStyle w:val="11"/>
            <w:ind w:left="360"/>
            <w:tabs>
              <w:tab w:val="right" w:leader="dot" w:pos="9026"/>
            </w:tabs>
            <w:spacing w:before="120" w:after="60"/>
          </w:pPr>
          <w:r>
            <w:t>3.3 Precise and generous positioning against the closest prior review</w:t>
          </w:r>
          <w:r>
            <w:tab/>
          </w:r>
          <w:r>
            <w:t>3</w:t>
          </w:r>
        </w:p>
        <w:p>
          <w:pPr>
            <w:pStyle w:val="11"/>
            <w:ind w:left="360"/>
            <w:tabs>
              <w:tab w:val="right" w:leader="dot" w:pos="9026"/>
            </w:tabs>
            <w:spacing w:before="120" w:after="60"/>
          </w:pPr>
          <w:r>
            <w:t>3.4 The quantitative reporting is internally consistent and independently checkable</w:t>
          </w:r>
          <w:r>
            <w:tab/>
          </w:r>
          <w:r>
            <w:t>4</w:t>
          </w:r>
        </w:p>
        <w:p>
          <w:pPr>
            <w:pStyle w:val="11"/>
            <w:ind w:left="360"/>
            <w:tabs>
              <w:tab w:val="right" w:leader="dot" w:pos="9026"/>
            </w:tabs>
            <w:spacing w:before="120" w:after="60"/>
          </w:pPr>
          <w:r>
            <w:t>3.5 A research agenda that is genuinely testable</w:t>
          </w:r>
          <w:r>
            <w:tab/>
          </w:r>
          <w:r>
            <w:t>4</w:t>
          </w:r>
        </w:p>
        <w:p>
          <w:pPr>
            <w:pStyle w:val="11"/>
            <w:ind w:left="360"/>
            <w:tabs>
              <w:tab w:val="right" w:leader="dot" w:pos="9026"/>
            </w:tabs>
            <w:spacing w:before="120" w:after="60"/>
          </w:pPr>
          <w:r>
            <w:t>3.6 Disciplined scope handling</w:t>
          </w:r>
          <w:r>
            <w:tab/>
          </w:r>
          <w:r>
            <w:t>4</w:t>
          </w:r>
        </w:p>
        <w:p>
          <w:pPr>
            <w:pStyle w:val="9"/>
            <w:tabs>
              <w:tab w:val="right" w:leader="dot" w:pos="9026"/>
            </w:tabs>
            <w:spacing w:before="120" w:after="60"/>
          </w:pPr>
          <w:r>
            <w:t>4. Key Weaknesses</w:t>
          </w:r>
          <w:r>
            <w:tab/>
          </w:r>
          <w:r>
            <w:t>4</w:t>
          </w:r>
        </w:p>
        <w:p>
          <w:pPr>
            <w:pStyle w:val="11"/>
            <w:ind w:left="360"/>
            <w:tabs>
              <w:tab w:val="right" w:leader="dot" w:pos="9026"/>
            </w:tabs>
            <w:spacing w:before="120" w:after="60"/>
          </w:pPr>
          <w:r>
            <w:t>4.1 The top-100 selection rule weakens the systematic-review claim</w:t>
          </w:r>
          <w:r>
            <w:tab/>
          </w:r>
          <w:r>
            <w:t>5</w:t>
          </w:r>
        </w:p>
        <w:p>
          <w:pPr>
            <w:pStyle w:val="11"/>
            <w:ind w:left="360"/>
            <w:tabs>
              <w:tab w:val="right" w:leader="dot" w:pos="9026"/>
            </w:tabs>
            <w:spacing w:before="120" w:after="60"/>
          </w:pPr>
          <w:r>
            <w:t>4.2 The PRISMA flow does not account for the probe records</w:t>
          </w:r>
          <w:r>
            <w:tab/>
          </w:r>
          <w:r>
            <w:t>5</w:t>
          </w:r>
        </w:p>
        <w:p>
          <w:pPr>
            <w:pStyle w:val="11"/>
            <w:ind w:left="360"/>
            <w:tabs>
              <w:tab w:val="right" w:leader="dot" w:pos="9026"/>
            </w:tabs>
            <w:spacing w:before="120" w:after="60"/>
          </w:pPr>
          <w:r>
            <w:t>4.3 Headline fields carry moderate reliability, and the adjudication design amplifies it</w:t>
          </w:r>
          <w:r>
            <w:tab/>
          </w:r>
          <w:r>
            <w:t>5</w:t>
          </w:r>
        </w:p>
        <w:p>
          <w:pPr>
            <w:pStyle w:val="11"/>
            <w:ind w:left="360"/>
            <w:tabs>
              <w:tab w:val="right" w:leader="dot" w:pos="9026"/>
            </w:tabs>
            <w:spacing w:before="120" w:after="60"/>
          </w:pPr>
          <w:r>
            <w:t>4.4 Definitional conservatism partly constructs the one-study headline</w:t>
          </w:r>
          <w:r>
            <w:tab/>
          </w:r>
          <w:r>
            <w:t>5</w:t>
          </w:r>
        </w:p>
        <w:p>
          <w:pPr>
            <w:pStyle w:val="11"/>
            <w:ind w:left="360"/>
            <w:tabs>
              <w:tab w:val="right" w:leader="dot" w:pos="9026"/>
            </w:tabs>
            <w:spacing w:before="120" w:after="60"/>
          </w:pPr>
          <w:r>
            <w:t>4.5 Partial protocol compliance and no formal quality appraisal</w:t>
          </w:r>
          <w:r>
            <w:tab/>
          </w:r>
          <w:r>
            <w:t>6</w:t>
          </w:r>
        </w:p>
        <w:p>
          <w:pPr>
            <w:pStyle w:val="11"/>
            <w:ind w:left="360"/>
            <w:tabs>
              <w:tab w:val="right" w:leader="dot" w:pos="9026"/>
            </w:tabs>
            <w:spacing w:before="120" w:after="60"/>
          </w:pPr>
          <w:r>
            <w:t>4.6 The theory-testing framing has a circularity problem</w:t>
          </w:r>
          <w:r>
            <w:tab/>
          </w:r>
          <w:r>
            <w:t>6</w:t>
          </w:r>
        </w:p>
        <w:p>
          <w:pPr>
            <w:pStyle w:val="11"/>
            <w:ind w:left="360"/>
            <w:tabs>
              <w:tab w:val="right" w:leader="dot" w:pos="9026"/>
            </w:tabs>
            <w:spacing w:before="120" w:after="60"/>
          </w:pPr>
          <w:r>
            <w:t>4.7 Presentation and reporting defects</w:t>
          </w:r>
          <w:r>
            <w:tab/>
          </w:r>
          <w:r>
            <w:t>6</w:t>
          </w:r>
        </w:p>
        <w:p>
          <w:pPr>
            <w:pStyle w:val="9"/>
            <w:tabs>
              <w:tab w:val="right" w:leader="dot" w:pos="9026"/>
            </w:tabs>
            <w:spacing w:before="120" w:after="60"/>
          </w:pPr>
          <w:r>
            <w:t>5. Minor and Editorial Issues</w:t>
          </w:r>
          <w:r>
            <w:tab/>
          </w:r>
          <w:r>
            <w:t>7</w:t>
          </w:r>
        </w:p>
        <w:p>
          <w:pPr>
            <w:pStyle w:val="9"/>
            <w:tabs>
              <w:tab w:val="right" w:leader="dot" w:pos="9026"/>
            </w:tabs>
            <w:spacing w:before="120" w:after="60"/>
          </w:pPr>
          <w:r>
            <w:t>6. Questions for the Authors</w:t>
          </w:r>
          <w:r>
            <w:tab/>
          </w:r>
          <w:r>
            <w:t>8</w:t>
          </w:r>
        </w:p>
        <w:p>
          <w:pPr>
            <w:pStyle w:val="9"/>
            <w:tabs>
              <w:tab w:val="right" w:leader="dot" w:pos="9026"/>
            </w:tabs>
            <w:spacing w:before="120" w:after="60"/>
          </w:pPr>
          <w:r>
            <w:t>7. Recommendation and Revision Priorities</w:t>
          </w:r>
          <w:r>
            <w:tab/>
          </w:r>
          <w:r>
            <w:t>9</w:t>
          </w:r>
        </w:p>
        <w:p>
          <w:r>
            <w:fldChar w:fldCharType="end"/>
          </w:r>
        </w:p>
      </w:sdtContent>
    </w:sdt>
    <w:p>
      <w:pPr>
        <w:spacing w:before="200" w:line="312"/>
        <w:sectPr>
          <w:footerReference w:type="default" r:id="rId6"/>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60" w:before="360" w:line="312"/>
        <w:jc w:val="center"/>
      </w:pPr>
      <w:bookmarkStart w:name="_Toc1" w:id="1"/>
      <w:r>
        <w:rPr>
          <w:rFonts w:ascii="Times New Roman" w:eastAsia="SimHei"/>
          <w:b/>
          <w:bCs/>
          <w:color w:val="0B1C2C"/>
          <w:sz w:val="32"/>
          <w:szCs w:val="32"/>
        </w:rPr>
        <w:t xml:space="preserve">Executive Summary</w:t>
      </w:r>
      <w:bookmarkEnd w:id="1"/>
    </w:p>
    <w:p>
      <w:pPr>
        <w:spacing w:after="120" w:before="0" w:line="312"/>
        <w:jc w:val="left"/>
      </w:pPr>
      <w:r>
        <w:rPr>
          <w:rFonts w:ascii="Times New Roman" w:eastAsia="SimSun"/>
          <w:b w:val="false"/>
          <w:bCs w:val="false"/>
          <w:i w:val="false"/>
          <w:iCs w:val="false"/>
          <w:color w:val="000000"/>
          <w:sz w:val="24"/>
          <w:szCs w:val="24"/>
        </w:rPr>
        <w:t xml:space="preserve">This report reviews the manuscript </w:t>
      </w:r>
      <w:r>
        <w:rPr>
          <w:rFonts w:ascii="Times New Roman" w:eastAsia="SimSun"/>
          <w:b w:val="false"/>
          <w:bCs w:val="false"/>
          <w:i/>
          <w:iCs/>
          <w:color w:val="000000"/>
          <w:sz w:val="24"/>
          <w:szCs w:val="24"/>
        </w:rPr>
        <w:t xml:space="preserve">“Digital Twins for Cyber-Resilient Power Grids: A Systematic Review and a Research Agenda for the AI-Powered Era.”</w:t>
      </w:r>
      <w:r>
        <w:rPr>
          <w:rFonts w:ascii="Times New Roman" w:eastAsia="SimSun"/>
          <w:b w:val="false"/>
          <w:bCs w:val="false"/>
          <w:i w:val="false"/>
          <w:iCs w:val="false"/>
          <w:color w:val="000000"/>
          <w:sz w:val="24"/>
          <w:szCs w:val="24"/>
        </w:rPr>
        <w:t xml:space="preserve"> The paper assembles a 100-study corpus (2020–2026; 83 studies coded at full text) on digital twins for power-grid cybersecurity and measures a central asymmetry: machine learning is used defensively in 70 of 83 full-text studies, while 35 (42.2%) engage any AI-enabled threat, 11 (13.3%) engage one substantively, and the twin itself is treated as an attack target in exactly one study — a vehicle-twin review rather than a grid study. The paper further reports a strong concentration at the operation lifecycle phase (66 of 83), thin explicit threat modelling (19 of 83), and it closes with a five-item research agenda in which every item is tied to the gap that justifies it and the validation that would confirm it.</w:t>
      </w:r>
    </w:p>
    <w:p>
      <w:pPr>
        <w:spacing w:after="120" w:before="0" w:line="312"/>
        <w:jc w:val="left"/>
      </w:pPr>
      <w:r>
        <w:rPr>
          <w:rFonts w:ascii="Times New Roman" w:eastAsia="SimSun"/>
          <w:b w:val="false"/>
          <w:bCs w:val="false"/>
          <w:i w:val="false"/>
          <w:iCs w:val="false"/>
          <w:color w:val="000000"/>
          <w:sz w:val="24"/>
          <w:szCs w:val="24"/>
        </w:rPr>
        <w:t xml:space="preserve">The manuscript's outstanding quality is its methodological candor. It reports unfavorable reliability statistics, flags its own post-hoc readings, discloses an adjudication rule that favors its own coder, and distinguishes carefully between what its data support and what they do not. The direction of the central finding is also well defended against the most obvious confound — retrieval bias — through four dedicated adversarial-AI search probes, a two-lexicon false-negative audit, and sensitivity analyses excluding reviews and restricting to journal articles. The adjudication process changed no headline field, which strengthens the claim that the asymmetry is not an artifact of tie-breaking rules.</w:t>
      </w:r>
    </w:p>
    <w:p>
      <w:pPr>
        <w:spacing w:after="120" w:before="0" w:line="312"/>
        <w:jc w:val="left"/>
      </w:pPr>
      <w:r>
        <w:rPr>
          <w:rFonts w:ascii="Times New Roman" w:eastAsia="SimSun"/>
          <w:b w:val="false"/>
          <w:bCs w:val="false"/>
          <w:i w:val="false"/>
          <w:iCs w:val="false"/>
          <w:color w:val="000000"/>
          <w:sz w:val="24"/>
          <w:szCs w:val="24"/>
        </w:rPr>
        <w:t xml:space="preserve">The exact magnitudes, however, are bounded by three problems the authors mostly acknowledge but do not fully resolve: a non-probabilistic, recency-weighted top-100 selection that weakens the systematic-review claim; only moderate inter-coder agreement on precisely the headline constructs (κ = 0.41 for any AI-threat engagement and 0.14 for substantive engagement); and a PRISMA flow diagram whose arithmetic leaves the roughly 700 probe records unaccounted for. The recommendation is </w:t>
      </w:r>
      <w:r>
        <w:rPr>
          <w:rFonts w:ascii="Times New Roman" w:eastAsia="SimSun"/>
          <w:b/>
          <w:bCs/>
          <w:i w:val="false"/>
          <w:iCs w:val="false"/>
          <w:color w:val="000000"/>
          <w:sz w:val="24"/>
          <w:szCs w:val="24"/>
        </w:rPr>
        <w:t xml:space="preserve">major revision</w:t>
      </w:r>
      <w:r>
        <w:rPr>
          <w:rFonts w:ascii="Times New Roman" w:eastAsia="SimSun"/>
          <w:b w:val="false"/>
          <w:bCs w:val="false"/>
          <w:i w:val="false"/>
          <w:iCs w:val="false"/>
          <w:color w:val="000000"/>
          <w:sz w:val="24"/>
          <w:szCs w:val="24"/>
        </w:rPr>
        <w:t xml:space="preserve">. The core contribution — a quantified, reliability-bounded measurement of the defensive-versus-attack-side asymmetry in grid digital-twin security — is novel and worth publishing, and the required fixes are tractable reporting corrections rather than new research. Section 7 of this report sets out six revision priorities in order.</w:t>
      </w:r>
    </w:p>
    <w:p>
      <w:pPr>
        <w:pStyle w:val="Heading1"/>
        <w:spacing w:after="160" w:before="360" w:line="312"/>
        <w:jc w:val="center"/>
      </w:pPr>
      <w:bookmarkStart w:name="_Toc2" w:id="2"/>
      <w:r>
        <w:rPr>
          <w:rFonts w:ascii="Times New Roman" w:eastAsia="SimHei"/>
          <w:b/>
          <w:bCs/>
          <w:color w:val="0B1C2C"/>
          <w:sz w:val="32"/>
          <w:szCs w:val="32"/>
        </w:rPr>
        <w:t xml:space="preserve">1. Manuscript Overview</w:t>
      </w:r>
      <w:bookmarkEnd w:id="2"/>
    </w:p>
    <w:p>
      <w:pPr>
        <w:spacing w:after="120" w:before="0" w:line="312"/>
        <w:jc w:val="left"/>
      </w:pPr>
      <w:r>
        <w:rPr>
          <w:rFonts w:ascii="Times New Roman" w:eastAsia="SimSun"/>
          <w:b w:val="false"/>
          <w:bCs w:val="false"/>
          <w:i w:val="false"/>
          <w:iCs w:val="false"/>
          <w:color w:val="000000"/>
          <w:sz w:val="24"/>
          <w:szCs w:val="24"/>
        </w:rPr>
        <w:t xml:space="preserve">The manuscript sits at the intersection of three threads — digital twins, power-grid cybersecurity, and adversarial AI. Its motivating observation is that the bidirectional synchronisation that makes a grid twin valuable also makes it an attack surface, and that AI has entered grid security defensively far faster than the literature has modelled AI, or the twin, as something an adversary attacks. The review is framed as theory-testing: the asymmetry is the hypothesis and the retained corpus is the test, with the closest prior work — Habeeb, Weli and Almaliki's 2026 review of dual-role digital twins, built on a 20-study corpus spanning manufacturing, healthcare, smart city and water domains — positioned as the theory whose grid-side instance the present paper probes.</w:t>
      </w:r>
    </w:p>
    <w:p>
      <w:pPr>
        <w:spacing w:after="120" w:before="0" w:line="312"/>
        <w:jc w:val="left"/>
      </w:pPr>
      <w:r>
        <w:rPr>
          <w:rFonts w:ascii="Times New Roman" w:eastAsia="SimSun"/>
          <w:b w:val="false"/>
          <w:bCs w:val="false"/>
          <w:i w:val="false"/>
          <w:iCs w:val="false"/>
          <w:color w:val="000000"/>
          <w:sz w:val="24"/>
          <w:szCs w:val="24"/>
        </w:rPr>
        <w:t xml:space="preserve">The corpus was assembled from twelve OpenAlex queries yielding 1,287 unique records, augmented by four adversarial-AI probes that raised the candidate pool to roughly 2,000; 492 records passed term-presence screening, and the final 100 were retained by a non-probabilistic ranking on relevance, citation count and recency. Eighty-three records were coded at full text across 46 fields by computer-assisted human reading, with the 17 abstract-only records treated as missing rather than zero. A second coder blind-coded a 20% sample, with agreement reported field by field — from κ = 0.90 for baseline comparison down to κ = 0.14 for named attack surfaces, and only </w:t>
      </w:r>
      <w:r>
        <w:rPr>
          <w:rFonts w:ascii="Times New Roman" w:eastAsia="SimSun"/>
          <w:b/>
          <w:bCs/>
          <w:i w:val="false"/>
          <w:iCs w:val="false"/>
          <w:color w:val="000000"/>
          <w:sz w:val="24"/>
          <w:szCs w:val="24"/>
        </w:rPr>
        <w:t xml:space="preserve">κ = 0.41</w:t>
      </w:r>
      <w:r>
        <w:rPr>
          <w:rFonts w:ascii="Times New Roman" w:eastAsia="SimSun"/>
          <w:b w:val="false"/>
          <w:bCs w:val="false"/>
          <w:i w:val="false"/>
          <w:iCs w:val="false"/>
          <w:color w:val="000000"/>
          <w:sz w:val="24"/>
          <w:szCs w:val="24"/>
        </w:rPr>
        <w:t xml:space="preserve"> on the headline AI-threat engagement field.</w:t>
      </w:r>
    </w:p>
    <w:p>
      <w:pPr>
        <w:spacing w:after="120" w:before="0" w:line="312"/>
        <w:jc w:val="left"/>
      </w:pPr>
      <w:r>
        <w:rPr>
          <w:rFonts w:ascii="Times New Roman" w:eastAsia="SimSun"/>
          <w:b w:val="false"/>
          <w:bCs w:val="false"/>
          <w:i w:val="false"/>
          <w:iCs w:val="false"/>
          <w:color w:val="000000"/>
          <w:sz w:val="24"/>
          <w:szCs w:val="24"/>
        </w:rPr>
        <w:t xml:space="preserve">The headline results are as follows. Across all 100 records the adjudicated stances are defensive 42, review 36, bridge 10, enabling 10 and adversarial 2; the twin is a defensive tool in 75 of 83 full-text studies and an explicit attack target in one. AI-threat engagement stands at 35 of 83 at any level and 11 of 83 substantive, with the eleven substantive studies dominated by review and bridge work (8 of 11). Lifecycle coverage concentrates at operation (66 of 83, with one design-phase study and none at commissioning), explicit threat models appear in 19 of 83, and released code in 3 of 83. A vocabulary mapping onto the five attack vectors of the prior review shows coverage of all five plus six additional terms, and the five-item agenda (twin as attack target, design-phase security, adaptive threat models, defending the learned components, and artifact release) closes the paper.</w:t>
      </w:r>
    </w:p>
    <w:p>
      <w:pPr>
        <w:pStyle w:val="Heading1"/>
        <w:spacing w:after="160" w:before="360" w:line="312"/>
        <w:jc w:val="center"/>
      </w:pPr>
      <w:bookmarkStart w:name="_Toc3" w:id="3"/>
      <w:r>
        <w:rPr>
          <w:rFonts w:ascii="Times New Roman" w:eastAsia="SimHei"/>
          <w:b/>
          <w:bCs/>
          <w:color w:val="0B1C2C"/>
          <w:sz w:val="32"/>
          <w:szCs w:val="32"/>
        </w:rPr>
        <w:t xml:space="preserve">2. Overall Assessment</w:t>
      </w:r>
      <w:bookmarkEnd w:id="3"/>
    </w:p>
    <w:p>
      <w:pPr>
        <w:spacing w:after="120" w:before="0" w:line="312"/>
        <w:jc w:val="left"/>
      </w:pPr>
      <w:r>
        <w:rPr>
          <w:rFonts w:ascii="Times New Roman" w:eastAsia="SimSun"/>
          <w:b w:val="false"/>
          <w:bCs w:val="false"/>
          <w:i w:val="false"/>
          <w:iCs w:val="false"/>
          <w:color w:val="000000"/>
          <w:sz w:val="24"/>
          <w:szCs w:val="24"/>
        </w:rPr>
        <w:t xml:space="preserve">In overall terms this is a strong and unusually honest piece of review methodology whose central finding this reviewer finds </w:t>
      </w:r>
      <w:r>
        <w:rPr>
          <w:rFonts w:ascii="Times New Roman" w:eastAsia="SimSun"/>
          <w:b/>
          <w:bCs/>
          <w:i w:val="false"/>
          <w:iCs w:val="false"/>
          <w:color w:val="000000"/>
          <w:sz w:val="24"/>
          <w:szCs w:val="24"/>
        </w:rPr>
        <w:t xml:space="preserve">credible in direction</w:t>
      </w:r>
      <w:r>
        <w:rPr>
          <w:rFonts w:ascii="Times New Roman" w:eastAsia="SimSun"/>
          <w:b w:val="false"/>
          <w:bCs w:val="false"/>
          <w:i w:val="false"/>
          <w:iCs w:val="false"/>
          <w:color w:val="000000"/>
          <w:sz w:val="24"/>
          <w:szCs w:val="24"/>
        </w:rPr>
        <w:t xml:space="preserve">. The asymmetry claim survives the checks a skeptical reader would demand: dedicated adversarial search probes, a two-lexicon false-negative audit, sensitivity analyses excluding reviews and restricting to journal articles, and an adjudication process that changed no headline field. The authors are candid where it matters — they state plainly that the substantive-engagement figure is fragile and that their lifecycle field is the least reliable one they carry. The framing of the asymmetry as “an asymmetry of emphasis rather than absence” is exactly the right level of care, and the decision to publish the corpus, the codebook and both coders' sheets is a genuine service to the community.</w:t>
      </w:r>
    </w:p>
    <w:p>
      <w:pPr>
        <w:spacing w:after="120" w:before="0" w:line="312"/>
        <w:jc w:val="left"/>
      </w:pPr>
      <w:r>
        <w:rPr>
          <w:rFonts w:ascii="Times New Roman" w:eastAsia="SimSun"/>
          <w:b w:val="false"/>
          <w:bCs w:val="false"/>
          <w:i w:val="false"/>
          <w:iCs w:val="false"/>
          <w:color w:val="000000"/>
          <w:sz w:val="24"/>
          <w:szCs w:val="24"/>
        </w:rPr>
        <w:t xml:space="preserve">The weaknesses concentrate at the selection stage, which is also the least transparent part of the pipeline. A top-100 cut ranked by relevance, citations and recency is a purposive sample, not a systematic-review eligibility decision, and its recency weighting — 76% of the corpus from 2025–26, with 45 studies from the still-incomplete calendar year 2026 — plausibly suppresses precisely the older attack-side literature that the headline measures. The flow diagram's arithmetic (1,287 − 795 = 492) leaves the roughly 700 probe records unaccounted for, and the authors concede this is “a gap in the record” even though the probes are the paper's principal defense against retrieval bias. Tables 1 and 2 summarise the assessment and the evidential status of each headline claim.</w:t>
      </w:r>
    </w:p>
    <w:p>
      <w:pPr>
        <w:keepNext/>
        <w:spacing w:after="100" w:before="160" w:line="312"/>
        <w:jc w:val="left"/>
      </w:pPr>
      <w:r>
        <w:rPr>
          <w:rFonts w:ascii="Times New Roman" w:eastAsia="SimHei"/>
          <w:b/>
          <w:bCs/>
          <w:color w:val="0B1C2C"/>
          <w:sz w:val="21"/>
          <w:szCs w:val="21"/>
        </w:rPr>
        <w:t xml:space="preserve">Table 1: Overall assessment by dimension</w:t>
      </w:r>
    </w:p>
    <w:tbl>
      <w:tblPr>
        <w:tblW w:type="pct" w:w="5000"/>
        <w:tblBorders>
          <w:top w:val="single" w:color="529286" w:sz="4"/>
          <w:left w:val="none" w:color="FFFFFF" w:sz="0"/>
          <w:bottom w:val="single" w:color="529286" w:sz="4"/>
          <w:right w:val="none" w:color="FFFFFF" w:sz="0"/>
          <w:insideH w:val="single" w:color="BECFCC" w:sz="1"/>
          <w:insideV w:val="none" w:color="FFFFFF" w:sz="0"/>
        </w:tblBorders>
      </w:tblPr>
      <w:tblGrid>
        <w:gridCol w:w="2109"/>
        <w:gridCol w:w="1230"/>
        <w:gridCol w:w="5449"/>
      </w:tblGrid>
      <w:tr>
        <w:trPr>
          <w:cantSplit/>
          <w:tblHeader/>
        </w:trPr>
        <w:tc>
          <w:tcPr>
            <w:tcW w:type="pct" w:w="1200"/>
            <w:shd w:fill="529286" w:val="clear"/>
            <w:tcMar>
              <w:top w:type="dxa" w:w="80"/>
              <w:left w:type="dxa" w:w="120"/>
              <w:bottom w:type="dxa" w:w="80"/>
              <w:right w:type="dxa" w:w="120"/>
            </w:tcMar>
          </w:tcPr>
          <w:p>
            <w:pPr>
              <w:spacing w:line="312"/>
              <w:jc w:val="left"/>
            </w:pPr>
            <w:r>
              <w:rPr>
                <w:rFonts w:ascii="Times New Roman" w:eastAsia="SimHei"/>
                <w:b/>
                <w:bCs/>
                <w:color w:val="FFFFFF"/>
                <w:sz w:val="21"/>
                <w:szCs w:val="21"/>
              </w:rPr>
              <w:t xml:space="preserve">Dimension</w:t>
            </w:r>
          </w:p>
        </w:tc>
        <w:tc>
          <w:tcPr>
            <w:tcW w:type="pct" w:w="700"/>
            <w:shd w:fill="529286" w:val="clear"/>
            <w:tcMar>
              <w:top w:type="dxa" w:w="80"/>
              <w:left w:type="dxa" w:w="120"/>
              <w:bottom w:type="dxa" w:w="80"/>
              <w:right w:type="dxa" w:w="120"/>
            </w:tcMar>
          </w:tcPr>
          <w:p>
            <w:pPr>
              <w:spacing w:line="312"/>
              <w:jc w:val="left"/>
            </w:pPr>
            <w:r>
              <w:rPr>
                <w:rFonts w:ascii="Times New Roman" w:eastAsia="SimHei"/>
                <w:b/>
                <w:bCs/>
                <w:color w:val="FFFFFF"/>
                <w:sz w:val="21"/>
                <w:szCs w:val="21"/>
              </w:rPr>
              <w:t xml:space="preserve">Rating</w:t>
            </w:r>
          </w:p>
        </w:tc>
        <w:tc>
          <w:tcPr>
            <w:tcW w:type="pct" w:w="3100"/>
            <w:shd w:fill="529286" w:val="clear"/>
            <w:tcMar>
              <w:top w:type="dxa" w:w="80"/>
              <w:left w:type="dxa" w:w="120"/>
              <w:bottom w:type="dxa" w:w="80"/>
              <w:right w:type="dxa" w:w="120"/>
            </w:tcMar>
          </w:tcPr>
          <w:p>
            <w:pPr>
              <w:spacing w:line="312"/>
              <w:jc w:val="left"/>
            </w:pPr>
            <w:r>
              <w:rPr>
                <w:rFonts w:ascii="Times New Roman" w:eastAsia="SimHei"/>
                <w:b/>
                <w:bCs/>
                <w:color w:val="FFFFFF"/>
                <w:sz w:val="21"/>
                <w:szCs w:val="21"/>
              </w:rPr>
              <w:t xml:space="preserve">Rationale</w:t>
            </w:r>
          </w:p>
        </w:tc>
      </w:tr>
      <w:tr>
        <w:trPr>
          <w:cantSplit/>
        </w:trPr>
        <w:tc>
          <w:tcPr>
            <w:tcW w:type="pct" w:w="1200"/>
            <w:tcMar>
              <w:top w:type="dxa" w:w="60"/>
              <w:left w:type="dxa" w:w="120"/>
              <w:bottom w:type="dxa" w:w="60"/>
              <w:right w:type="dxa" w:w="120"/>
            </w:tcMar>
          </w:tcPr>
          <w:p>
            <w:pPr>
              <w:spacing w:line="312"/>
              <w:jc w:val="left"/>
            </w:pPr>
            <w:r>
              <w:rPr>
                <w:rFonts w:ascii="Times New Roman" w:eastAsia="SimSun"/>
                <w:color w:val="000000"/>
                <w:sz w:val="21"/>
                <w:szCs w:val="21"/>
              </w:rPr>
              <w:t xml:space="preserve">Originality and contribution</w:t>
            </w:r>
          </w:p>
        </w:tc>
        <w:tc>
          <w:tcPr>
            <w:tcW w:type="pct" w:w="700"/>
            <w:tcMar>
              <w:top w:type="dxa" w:w="60"/>
              <w:left w:type="dxa" w:w="120"/>
              <w:bottom w:type="dxa" w:w="60"/>
              <w:right w:type="dxa" w:w="120"/>
            </w:tcMar>
          </w:tcPr>
          <w:p>
            <w:pPr>
              <w:spacing w:line="312"/>
              <w:jc w:val="left"/>
            </w:pPr>
            <w:r>
              <w:rPr>
                <w:rFonts w:ascii="Times New Roman" w:eastAsia="SimSun"/>
                <w:color w:val="000000"/>
                <w:sz w:val="21"/>
                <w:szCs w:val="21"/>
              </w:rPr>
              <w:t xml:space="preserve">Good</w:t>
            </w:r>
          </w:p>
        </w:tc>
        <w:tc>
          <w:tcPr>
            <w:tcW w:type="pct" w:w="3100"/>
            <w:tcMar>
              <w:top w:type="dxa" w:w="60"/>
              <w:left w:type="dxa" w:w="120"/>
              <w:bottom w:type="dxa" w:w="60"/>
              <w:right w:type="dxa" w:w="120"/>
            </w:tcMar>
          </w:tcPr>
          <w:p>
            <w:pPr>
              <w:spacing w:line="312"/>
              <w:jc w:val="left"/>
            </w:pPr>
            <w:r>
              <w:rPr>
                <w:rFonts w:ascii="Times New Roman" w:eastAsia="SimSun"/>
                <w:color w:val="000000"/>
                <w:sz w:val="21"/>
                <w:szCs w:val="21"/>
              </w:rPr>
              <w:t xml:space="preserve">First grid-scale quantification of the defensive/attack-side asymmetry, with a published corpus, a closed vocabulary and reported reliability</w:t>
            </w:r>
          </w:p>
        </w:tc>
      </w:tr>
      <w:tr>
        <w:trPr>
          <w:cantSplit/>
        </w:trPr>
        <w:tc>
          <w:tcPr>
            <w:tcW w:type="pct" w:w="1200"/>
            <w:tcMar>
              <w:top w:type="dxa" w:w="60"/>
              <w:left w:type="dxa" w:w="120"/>
              <w:bottom w:type="dxa" w:w="60"/>
              <w:right w:type="dxa" w:w="120"/>
            </w:tcMar>
          </w:tcPr>
          <w:p>
            <w:pPr>
              <w:spacing w:line="312"/>
              <w:jc w:val="left"/>
            </w:pPr>
            <w:r>
              <w:rPr>
                <w:rFonts w:ascii="Times New Roman" w:eastAsia="SimSun"/>
                <w:color w:val="000000"/>
                <w:sz w:val="21"/>
                <w:szCs w:val="21"/>
              </w:rPr>
              <w:t xml:space="preserve">Methodological rigour</w:t>
            </w:r>
          </w:p>
        </w:tc>
        <w:tc>
          <w:tcPr>
            <w:tcW w:type="pct" w:w="700"/>
            <w:tcMar>
              <w:top w:type="dxa" w:w="60"/>
              <w:left w:type="dxa" w:w="120"/>
              <w:bottom w:type="dxa" w:w="60"/>
              <w:right w:type="dxa" w:w="120"/>
            </w:tcMar>
          </w:tcPr>
          <w:p>
            <w:pPr>
              <w:spacing w:line="312"/>
              <w:jc w:val="left"/>
            </w:pPr>
            <w:r>
              <w:rPr>
                <w:rFonts w:ascii="Times New Roman" w:eastAsia="SimSun"/>
                <w:color w:val="000000"/>
                <w:sz w:val="21"/>
                <w:szCs w:val="21"/>
              </w:rPr>
              <w:t xml:space="preserve">Fair to good</w:t>
            </w:r>
          </w:p>
        </w:tc>
        <w:tc>
          <w:tcPr>
            <w:tcW w:type="pct" w:w="3100"/>
            <w:tcMar>
              <w:top w:type="dxa" w:w="60"/>
              <w:left w:type="dxa" w:w="120"/>
              <w:bottom w:type="dxa" w:w="60"/>
              <w:right w:type="dxa" w:w="120"/>
            </w:tcMar>
          </w:tcPr>
          <w:p>
            <w:pPr>
              <w:spacing w:line="312"/>
              <w:jc w:val="left"/>
            </w:pPr>
            <w:r>
              <w:rPr>
                <w:rFonts w:ascii="Times New Roman" w:eastAsia="SimSun"/>
                <w:color w:val="000000"/>
                <w:sz w:val="21"/>
                <w:szCs w:val="21"/>
              </w:rPr>
              <w:t xml:space="preserve">Strong extraction and reliability design; weakened by a non-probabilistic, recency-weighted selection and a single-database search</w:t>
            </w:r>
          </w:p>
        </w:tc>
      </w:tr>
      <w:tr>
        <w:trPr>
          <w:cantSplit/>
        </w:trPr>
        <w:tc>
          <w:tcPr>
            <w:tcW w:type="pct" w:w="1200"/>
            <w:tcMar>
              <w:top w:type="dxa" w:w="60"/>
              <w:left w:type="dxa" w:w="120"/>
              <w:bottom w:type="dxa" w:w="60"/>
              <w:right w:type="dxa" w:w="120"/>
            </w:tcMar>
          </w:tcPr>
          <w:p>
            <w:pPr>
              <w:spacing w:line="312"/>
              <w:jc w:val="left"/>
            </w:pPr>
            <w:r>
              <w:rPr>
                <w:rFonts w:ascii="Times New Roman" w:eastAsia="SimSun"/>
                <w:color w:val="000000"/>
                <w:sz w:val="21"/>
                <w:szCs w:val="21"/>
              </w:rPr>
              <w:t xml:space="preserve">Transparency and reproducibility</w:t>
            </w:r>
          </w:p>
        </w:tc>
        <w:tc>
          <w:tcPr>
            <w:tcW w:type="pct" w:w="700"/>
            <w:tcMar>
              <w:top w:type="dxa" w:w="60"/>
              <w:left w:type="dxa" w:w="120"/>
              <w:bottom w:type="dxa" w:w="60"/>
              <w:right w:type="dxa" w:w="120"/>
            </w:tcMar>
          </w:tcPr>
          <w:p>
            <w:pPr>
              <w:spacing w:line="312"/>
              <w:jc w:val="left"/>
            </w:pPr>
            <w:r>
              <w:rPr>
                <w:rFonts w:ascii="Times New Roman" w:eastAsia="SimSun"/>
                <w:color w:val="000000"/>
                <w:sz w:val="21"/>
                <w:szCs w:val="21"/>
              </w:rPr>
              <w:t xml:space="preserve">Excellent</w:t>
            </w:r>
          </w:p>
        </w:tc>
        <w:tc>
          <w:tcPr>
            <w:tcW w:type="pct" w:w="3100"/>
            <w:tcMar>
              <w:top w:type="dxa" w:w="60"/>
              <w:left w:type="dxa" w:w="120"/>
              <w:bottom w:type="dxa" w:w="60"/>
              <w:right w:type="dxa" w:w="120"/>
            </w:tcMar>
          </w:tcPr>
          <w:p>
            <w:pPr>
              <w:spacing w:line="312"/>
              <w:jc w:val="left"/>
            </w:pPr>
            <w:r>
              <w:rPr>
                <w:rFonts w:ascii="Times New Roman" w:eastAsia="SimSun"/>
                <w:color w:val="000000"/>
                <w:sz w:val="21"/>
                <w:szCs w:val="21"/>
              </w:rPr>
              <w:t xml:space="preserve">Raw codes released, codebook revisions logged, unfavorable statistics reported; probe-record accounting incomplete</w:t>
            </w:r>
          </w:p>
        </w:tc>
      </w:tr>
      <w:tr>
        <w:trPr>
          <w:cantSplit/>
        </w:trPr>
        <w:tc>
          <w:tcPr>
            <w:tcW w:type="pct" w:w="1200"/>
            <w:tcMar>
              <w:top w:type="dxa" w:w="60"/>
              <w:left w:type="dxa" w:w="120"/>
              <w:bottom w:type="dxa" w:w="60"/>
              <w:right w:type="dxa" w:w="120"/>
            </w:tcMar>
          </w:tcPr>
          <w:p>
            <w:pPr>
              <w:spacing w:line="312"/>
              <w:jc w:val="left"/>
            </w:pPr>
            <w:r>
              <w:rPr>
                <w:rFonts w:ascii="Times New Roman" w:eastAsia="SimSun"/>
                <w:color w:val="000000"/>
                <w:sz w:val="21"/>
                <w:szCs w:val="21"/>
              </w:rPr>
              <w:t xml:space="preserve">Reporting clarity</w:t>
            </w:r>
          </w:p>
        </w:tc>
        <w:tc>
          <w:tcPr>
            <w:tcW w:type="pct" w:w="700"/>
            <w:tcMar>
              <w:top w:type="dxa" w:w="60"/>
              <w:left w:type="dxa" w:w="120"/>
              <w:bottom w:type="dxa" w:w="60"/>
              <w:right w:type="dxa" w:w="120"/>
            </w:tcMar>
          </w:tcPr>
          <w:p>
            <w:pPr>
              <w:spacing w:line="312"/>
              <w:jc w:val="left"/>
            </w:pPr>
            <w:r>
              <w:rPr>
                <w:rFonts w:ascii="Times New Roman" w:eastAsia="SimSun"/>
                <w:color w:val="000000"/>
                <w:sz w:val="21"/>
                <w:szCs w:val="21"/>
              </w:rPr>
              <w:t xml:space="preserve">Fair</w:t>
            </w:r>
          </w:p>
        </w:tc>
        <w:tc>
          <w:tcPr>
            <w:tcW w:type="pct" w:w="3100"/>
            <w:tcMar>
              <w:top w:type="dxa" w:w="60"/>
              <w:left w:type="dxa" w:w="120"/>
              <w:bottom w:type="dxa" w:w="60"/>
              <w:right w:type="dxa" w:w="120"/>
            </w:tcMar>
          </w:tcPr>
          <w:p>
            <w:pPr>
              <w:spacing w:line="312"/>
              <w:jc w:val="left"/>
            </w:pPr>
            <w:r>
              <w:rPr>
                <w:rFonts w:ascii="Times New Roman" w:eastAsia="SimSun"/>
                <w:color w:val="000000"/>
                <w:sz w:val="21"/>
                <w:szCs w:val="21"/>
              </w:rPr>
              <w:t xml:space="preserve">Overlong abstract, duplicated sentence, unreconciled counts (62 vs 67 journal articles), undefined denominator (469)</w:t>
            </w:r>
          </w:p>
        </w:tc>
      </w:tr>
      <w:tr>
        <w:trPr>
          <w:cantSplit/>
        </w:trPr>
        <w:tc>
          <w:tcPr>
            <w:tcW w:type="pct" w:w="1200"/>
            <w:tcMar>
              <w:top w:type="dxa" w:w="60"/>
              <w:left w:type="dxa" w:w="120"/>
              <w:bottom w:type="dxa" w:w="60"/>
              <w:right w:type="dxa" w:w="120"/>
            </w:tcMar>
          </w:tcPr>
          <w:p>
            <w:pPr>
              <w:spacing w:line="312"/>
              <w:jc w:val="left"/>
            </w:pPr>
            <w:r>
              <w:rPr>
                <w:rFonts w:ascii="Times New Roman" w:eastAsia="SimSun"/>
                <w:color w:val="000000"/>
                <w:sz w:val="21"/>
                <w:szCs w:val="21"/>
              </w:rPr>
              <w:t xml:space="preserve">Claim calibration</w:t>
            </w:r>
          </w:p>
        </w:tc>
        <w:tc>
          <w:tcPr>
            <w:tcW w:type="pct" w:w="700"/>
            <w:tcMar>
              <w:top w:type="dxa" w:w="60"/>
              <w:left w:type="dxa" w:w="120"/>
              <w:bottom w:type="dxa" w:w="60"/>
              <w:right w:type="dxa" w:w="120"/>
            </w:tcMar>
          </w:tcPr>
          <w:p>
            <w:pPr>
              <w:spacing w:line="312"/>
              <w:jc w:val="left"/>
            </w:pPr>
            <w:r>
              <w:rPr>
                <w:rFonts w:ascii="Times New Roman" w:eastAsia="SimSun"/>
                <w:color w:val="000000"/>
                <w:sz w:val="21"/>
                <w:szCs w:val="21"/>
              </w:rPr>
              <w:t xml:space="preserve">Good</w:t>
            </w:r>
          </w:p>
        </w:tc>
        <w:tc>
          <w:tcPr>
            <w:tcW w:type="pct" w:w="3100"/>
            <w:tcMar>
              <w:top w:type="dxa" w:w="60"/>
              <w:left w:type="dxa" w:w="120"/>
              <w:bottom w:type="dxa" w:w="60"/>
              <w:right w:type="dxa" w:w="120"/>
            </w:tcMar>
          </w:tcPr>
          <w:p>
            <w:pPr>
              <w:spacing w:line="312"/>
              <w:jc w:val="left"/>
            </w:pPr>
            <w:r>
              <w:rPr>
                <w:rFonts w:ascii="Times New Roman" w:eastAsia="SimSun"/>
                <w:color w:val="000000"/>
                <w:sz w:val="21"/>
                <w:szCs w:val="21"/>
              </w:rPr>
              <w:t xml:space="preserve">Direction claims carefully hedged in the abstract and highlights; the Conclusion drops the vehicle-twin caveat the abstract carries</w:t>
            </w:r>
          </w:p>
        </w:tc>
      </w:tr>
      <w:tr>
        <w:trPr>
          <w:cantSplit/>
        </w:trPr>
        <w:tc>
          <w:tcPr>
            <w:tcW w:type="pct" w:w="1200"/>
            <w:tcMar>
              <w:top w:type="dxa" w:w="60"/>
              <w:left w:type="dxa" w:w="120"/>
              <w:bottom w:type="dxa" w:w="60"/>
              <w:right w:type="dxa" w:w="120"/>
            </w:tcMar>
          </w:tcPr>
          <w:p>
            <w:pPr>
              <w:spacing w:line="312"/>
              <w:jc w:val="left"/>
            </w:pPr>
            <w:r>
              <w:rPr>
                <w:rFonts w:ascii="Times New Roman" w:eastAsia="SimSun"/>
                <w:color w:val="000000"/>
                <w:sz w:val="21"/>
                <w:szCs w:val="21"/>
              </w:rPr>
              <w:t xml:space="preserve">Expected impact</w:t>
            </w:r>
          </w:p>
        </w:tc>
        <w:tc>
          <w:tcPr>
            <w:tcW w:type="pct" w:w="700"/>
            <w:tcMar>
              <w:top w:type="dxa" w:w="60"/>
              <w:left w:type="dxa" w:w="120"/>
              <w:bottom w:type="dxa" w:w="60"/>
              <w:right w:type="dxa" w:w="120"/>
            </w:tcMar>
          </w:tcPr>
          <w:p>
            <w:pPr>
              <w:spacing w:line="312"/>
              <w:jc w:val="left"/>
            </w:pPr>
            <w:r>
              <w:rPr>
                <w:rFonts w:ascii="Times New Roman" w:eastAsia="SimSun"/>
                <w:color w:val="000000"/>
                <w:sz w:val="21"/>
                <w:szCs w:val="21"/>
              </w:rPr>
              <w:t xml:space="preserve">Good</w:t>
            </w:r>
          </w:p>
        </w:tc>
        <w:tc>
          <w:tcPr>
            <w:tcW w:type="pct" w:w="3100"/>
            <w:tcMar>
              <w:top w:type="dxa" w:w="60"/>
              <w:left w:type="dxa" w:w="120"/>
              <w:bottom w:type="dxa" w:w="60"/>
              <w:right w:type="dxa" w:w="120"/>
            </w:tcMar>
          </w:tcPr>
          <w:p>
            <w:pPr>
              <w:spacing w:line="312"/>
              <w:jc w:val="left"/>
            </w:pPr>
            <w:r>
              <w:rPr>
                <w:rFonts w:ascii="Times New Roman" w:eastAsia="SimSun"/>
                <w:color w:val="000000"/>
                <w:sz w:val="21"/>
                <w:szCs w:val="21"/>
              </w:rPr>
              <w:t xml:space="preserve">The asymmetry measurement and agenda item P1 (twin as attack target) are actionable for the research community</w:t>
            </w:r>
          </w:p>
        </w:tc>
      </w:tr>
    </w:tbl>
    <w:p>
      <w:pPr>
        <w:spacing w:after="120" w:before="160" w:line="312"/>
        <w:jc w:val="left"/>
      </w:pPr>
      <w:r>
        <w:rPr>
          <w:rFonts w:ascii="Times New Roman" w:eastAsia="SimSun"/>
          <w:b w:val="false"/>
          <w:bCs w:val="false"/>
          <w:i w:val="false"/>
          <w:iCs w:val="false"/>
          <w:color w:val="000000"/>
          <w:sz w:val="24"/>
          <w:szCs w:val="24"/>
        </w:rPr>
        <w:t xml:space="preserve">Table 2 records, for each headline claim, the reported figure, the reliability evidence the manuscript attaches to it, and this reviewer's assessment of its evidential status. The pattern is consistent: the counts the paper most needs are the counts it can least rely on, and the authors largely say so themselves.</w:t>
      </w:r>
    </w:p>
    <w:p>
      <w:pPr>
        <w:keepNext/>
        <w:spacing w:after="100" w:before="160" w:line="312"/>
        <w:jc w:val="left"/>
      </w:pPr>
      <w:r>
        <w:rPr>
          <w:rFonts w:ascii="Times New Roman" w:eastAsia="SimHei"/>
          <w:b/>
          <w:bCs/>
          <w:color w:val="0B1C2C"/>
          <w:sz w:val="21"/>
          <w:szCs w:val="21"/>
        </w:rPr>
        <w:t xml:space="preserve">Table 2: Headline claims and their evidential status</w:t>
      </w:r>
    </w:p>
    <w:tbl>
      <w:tblPr>
        <w:tblW w:type="pct" w:w="5000"/>
        <w:tblBorders>
          <w:top w:val="single" w:color="529286" w:sz="4"/>
          <w:left w:val="none" w:color="FFFFFF" w:sz="0"/>
          <w:bottom w:val="single" w:color="529286" w:sz="4"/>
          <w:right w:val="none" w:color="FFFFFF" w:sz="0"/>
          <w:insideH w:val="single" w:color="BECFCC" w:sz="1"/>
          <w:insideV w:val="none" w:color="FFFFFF" w:sz="0"/>
        </w:tblBorders>
      </w:tblPr>
      <w:tblGrid>
        <w:gridCol w:w="1845"/>
        <w:gridCol w:w="1142"/>
        <w:gridCol w:w="2812"/>
        <w:gridCol w:w="2988"/>
      </w:tblGrid>
      <w:tr>
        <w:trPr>
          <w:cantSplit/>
          <w:tblHeader/>
        </w:trPr>
        <w:tc>
          <w:tcPr>
            <w:tcW w:type="pct" w:w="1050"/>
            <w:shd w:fill="529286" w:val="clear"/>
            <w:tcMar>
              <w:top w:type="dxa" w:w="80"/>
              <w:left w:type="dxa" w:w="120"/>
              <w:bottom w:type="dxa" w:w="80"/>
              <w:right w:type="dxa" w:w="120"/>
            </w:tcMar>
          </w:tcPr>
          <w:p>
            <w:pPr>
              <w:spacing w:line="312"/>
              <w:jc w:val="left"/>
            </w:pPr>
            <w:r>
              <w:rPr>
                <w:rFonts w:ascii="Times New Roman" w:eastAsia="SimHei"/>
                <w:b/>
                <w:bCs/>
                <w:color w:val="FFFFFF"/>
                <w:sz w:val="21"/>
                <w:szCs w:val="21"/>
              </w:rPr>
              <w:t xml:space="preserve">Claim</w:t>
            </w:r>
          </w:p>
        </w:tc>
        <w:tc>
          <w:tcPr>
            <w:tcW w:type="pct" w:w="650"/>
            <w:shd w:fill="529286" w:val="clear"/>
            <w:tcMar>
              <w:top w:type="dxa" w:w="80"/>
              <w:left w:type="dxa" w:w="120"/>
              <w:bottom w:type="dxa" w:w="80"/>
              <w:right w:type="dxa" w:w="120"/>
            </w:tcMar>
          </w:tcPr>
          <w:p>
            <w:pPr>
              <w:spacing w:line="312"/>
              <w:jc w:val="left"/>
            </w:pPr>
            <w:r>
              <w:rPr>
                <w:rFonts w:ascii="Times New Roman" w:eastAsia="SimHei"/>
                <w:b/>
                <w:bCs/>
                <w:color w:val="FFFFFF"/>
                <w:sz w:val="21"/>
                <w:szCs w:val="21"/>
              </w:rPr>
              <w:t xml:space="preserve">Reported figure</w:t>
            </w:r>
          </w:p>
        </w:tc>
        <w:tc>
          <w:tcPr>
            <w:tcW w:type="pct" w:w="1600"/>
            <w:shd w:fill="529286" w:val="clear"/>
            <w:tcMar>
              <w:top w:type="dxa" w:w="80"/>
              <w:left w:type="dxa" w:w="120"/>
              <w:bottom w:type="dxa" w:w="80"/>
              <w:right w:type="dxa" w:w="120"/>
            </w:tcMar>
          </w:tcPr>
          <w:p>
            <w:pPr>
              <w:spacing w:line="312"/>
              <w:jc w:val="left"/>
            </w:pPr>
            <w:r>
              <w:rPr>
                <w:rFonts w:ascii="Times New Roman" w:eastAsia="SimHei"/>
                <w:b/>
                <w:bCs/>
                <w:color w:val="FFFFFF"/>
                <w:sz w:val="21"/>
                <w:szCs w:val="21"/>
              </w:rPr>
              <w:t xml:space="preserve">Agreement / robustness</w:t>
            </w:r>
          </w:p>
        </w:tc>
        <w:tc>
          <w:tcPr>
            <w:tcW w:type="pct" w:w="1700"/>
            <w:shd w:fill="529286" w:val="clear"/>
            <w:tcMar>
              <w:top w:type="dxa" w:w="80"/>
              <w:left w:type="dxa" w:w="120"/>
              <w:bottom w:type="dxa" w:w="80"/>
              <w:right w:type="dxa" w:w="120"/>
            </w:tcMar>
          </w:tcPr>
          <w:p>
            <w:pPr>
              <w:spacing w:line="312"/>
              <w:jc w:val="left"/>
            </w:pPr>
            <w:r>
              <w:rPr>
                <w:rFonts w:ascii="Times New Roman" w:eastAsia="SimHei"/>
                <w:b/>
                <w:bCs/>
                <w:color w:val="FFFFFF"/>
                <w:sz w:val="21"/>
                <w:szCs w:val="21"/>
              </w:rPr>
              <w:t xml:space="preserve">Assessment</w:t>
            </w:r>
          </w:p>
        </w:tc>
      </w:tr>
      <w:tr>
        <w:trPr>
          <w:cantSplit/>
        </w:trPr>
        <w:tc>
          <w:tcPr>
            <w:tcW w:type="pct" w:w="1050"/>
            <w:tcMar>
              <w:top w:type="dxa" w:w="60"/>
              <w:left w:type="dxa" w:w="120"/>
              <w:bottom w:type="dxa" w:w="60"/>
              <w:right w:type="dxa" w:w="120"/>
            </w:tcMar>
          </w:tcPr>
          <w:p>
            <w:pPr>
              <w:spacing w:line="312"/>
              <w:jc w:val="left"/>
            </w:pPr>
            <w:r>
              <w:rPr>
                <w:rFonts w:ascii="Times New Roman" w:eastAsia="SimSun"/>
                <w:color w:val="000000"/>
                <w:sz w:val="21"/>
                <w:szCs w:val="21"/>
              </w:rPr>
              <w:t xml:space="preserve">Defensive use of machine learning</w:t>
            </w:r>
          </w:p>
        </w:tc>
        <w:tc>
          <w:tcPr>
            <w:tcW w:type="pct" w:w="650"/>
            <w:tcMar>
              <w:top w:type="dxa" w:w="60"/>
              <w:left w:type="dxa" w:w="120"/>
              <w:bottom w:type="dxa" w:w="60"/>
              <w:right w:type="dxa" w:w="120"/>
            </w:tcMar>
          </w:tcPr>
          <w:p>
            <w:pPr>
              <w:spacing w:line="312"/>
              <w:jc w:val="left"/>
            </w:pPr>
            <w:r>
              <w:rPr>
                <w:rFonts w:ascii="Times New Roman" w:eastAsia="SimSun"/>
                <w:color w:val="000000"/>
                <w:sz w:val="21"/>
                <w:szCs w:val="21"/>
              </w:rPr>
              <w:t xml:space="preserve">70 of 83</w:t>
            </w:r>
          </w:p>
        </w:tc>
        <w:tc>
          <w:tcPr>
            <w:tcW w:type="pct" w:w="1600"/>
            <w:tcMar>
              <w:top w:type="dxa" w:w="60"/>
              <w:left w:type="dxa" w:w="120"/>
              <w:bottom w:type="dxa" w:w="60"/>
              <w:right w:type="dxa" w:w="120"/>
            </w:tcMar>
          </w:tcPr>
          <w:p>
            <w:pPr>
              <w:spacing w:line="312"/>
              <w:jc w:val="left"/>
            </w:pPr>
            <w:r>
              <w:rPr>
                <w:rFonts w:ascii="Times New Roman" w:eastAsia="SimSun"/>
                <w:color w:val="000000"/>
                <w:sz w:val="21"/>
                <w:szCs w:val="21"/>
              </w:rPr>
              <w:t xml:space="preserve">ml_used: 85% agreement, κ = 0.57</w:t>
            </w:r>
          </w:p>
        </w:tc>
        <w:tc>
          <w:tcPr>
            <w:tcW w:type="pct" w:w="1700"/>
            <w:tcMar>
              <w:top w:type="dxa" w:w="60"/>
              <w:left w:type="dxa" w:w="120"/>
              <w:bottom w:type="dxa" w:w="60"/>
              <w:right w:type="dxa" w:w="120"/>
            </w:tcMar>
          </w:tcPr>
          <w:p>
            <w:pPr>
              <w:spacing w:line="312"/>
              <w:jc w:val="left"/>
            </w:pPr>
            <w:r>
              <w:rPr>
                <w:rFonts w:ascii="Times New Roman" w:eastAsia="SimSun"/>
                <w:color w:val="000000"/>
                <w:sz w:val="21"/>
                <w:szCs w:val="21"/>
              </w:rPr>
              <w:t xml:space="preserve">Solid</w:t>
            </w:r>
          </w:p>
        </w:tc>
      </w:tr>
      <w:tr>
        <w:trPr>
          <w:cantSplit/>
        </w:trPr>
        <w:tc>
          <w:tcPr>
            <w:tcW w:type="pct" w:w="1050"/>
            <w:tcMar>
              <w:top w:type="dxa" w:w="60"/>
              <w:left w:type="dxa" w:w="120"/>
              <w:bottom w:type="dxa" w:w="60"/>
              <w:right w:type="dxa" w:w="120"/>
            </w:tcMar>
          </w:tcPr>
          <w:p>
            <w:pPr>
              <w:spacing w:line="312"/>
              <w:jc w:val="left"/>
            </w:pPr>
            <w:r>
              <w:rPr>
                <w:rFonts w:ascii="Times New Roman" w:eastAsia="SimSun"/>
                <w:color w:val="000000"/>
                <w:sz w:val="21"/>
                <w:szCs w:val="21"/>
              </w:rPr>
              <w:t xml:space="preserve">Any AI-threat engagement</w:t>
            </w:r>
          </w:p>
        </w:tc>
        <w:tc>
          <w:tcPr>
            <w:tcW w:type="pct" w:w="650"/>
            <w:tcMar>
              <w:top w:type="dxa" w:w="60"/>
              <w:left w:type="dxa" w:w="120"/>
              <w:bottom w:type="dxa" w:w="60"/>
              <w:right w:type="dxa" w:w="120"/>
            </w:tcMar>
          </w:tcPr>
          <w:p>
            <w:pPr>
              <w:spacing w:line="312"/>
              <w:jc w:val="left"/>
            </w:pPr>
            <w:r>
              <w:rPr>
                <w:rFonts w:ascii="Times New Roman" w:eastAsia="SimSun"/>
                <w:color w:val="000000"/>
                <w:sz w:val="21"/>
                <w:szCs w:val="21"/>
              </w:rPr>
              <w:t xml:space="preserve">35 of 83</w:t>
            </w:r>
          </w:p>
        </w:tc>
        <w:tc>
          <w:tcPr>
            <w:tcW w:type="pct" w:w="1600"/>
            <w:tcMar>
              <w:top w:type="dxa" w:w="60"/>
              <w:left w:type="dxa" w:w="120"/>
              <w:bottom w:type="dxa" w:w="60"/>
              <w:right w:type="dxa" w:w="120"/>
            </w:tcMar>
          </w:tcPr>
          <w:p>
            <w:pPr>
              <w:spacing w:line="312"/>
              <w:jc w:val="left"/>
            </w:pPr>
            <w:r>
              <w:rPr>
                <w:rFonts w:ascii="Times New Roman" w:eastAsia="SimSun"/>
                <w:color w:val="000000"/>
                <w:sz w:val="21"/>
                <w:szCs w:val="21"/>
              </w:rPr>
              <w:t xml:space="preserve">ai_threat_overall κ = 0.41; 0.60 collapsed to any-vs-none</w:t>
            </w:r>
          </w:p>
        </w:tc>
        <w:tc>
          <w:tcPr>
            <w:tcW w:type="pct" w:w="1700"/>
            <w:tcMar>
              <w:top w:type="dxa" w:w="60"/>
              <w:left w:type="dxa" w:w="120"/>
              <w:bottom w:type="dxa" w:w="60"/>
              <w:right w:type="dxa" w:w="120"/>
            </w:tcMar>
          </w:tcPr>
          <w:p>
            <w:pPr>
              <w:spacing w:line="312"/>
              <w:jc w:val="left"/>
            </w:pPr>
            <w:r>
              <w:rPr>
                <w:rFonts w:ascii="Times New Roman" w:eastAsia="SimSun"/>
                <w:color w:val="000000"/>
                <w:sz w:val="21"/>
                <w:szCs w:val="21"/>
              </w:rPr>
              <w:t xml:space="preserve">Direction credible; magnitude uncertain</w:t>
            </w:r>
          </w:p>
        </w:tc>
      </w:tr>
      <w:tr>
        <w:trPr>
          <w:cantSplit/>
        </w:trPr>
        <w:tc>
          <w:tcPr>
            <w:tcW w:type="pct" w:w="1050"/>
            <w:tcMar>
              <w:top w:type="dxa" w:w="60"/>
              <w:left w:type="dxa" w:w="120"/>
              <w:bottom w:type="dxa" w:w="60"/>
              <w:right w:type="dxa" w:w="120"/>
            </w:tcMar>
          </w:tcPr>
          <w:p>
            <w:pPr>
              <w:spacing w:line="312"/>
              <w:jc w:val="left"/>
            </w:pPr>
            <w:r>
              <w:rPr>
                <w:rFonts w:ascii="Times New Roman" w:eastAsia="SimSun"/>
                <w:color w:val="000000"/>
                <w:sz w:val="21"/>
                <w:szCs w:val="21"/>
              </w:rPr>
              <w:t xml:space="preserve">Substantive engagement</w:t>
            </w:r>
          </w:p>
        </w:tc>
        <w:tc>
          <w:tcPr>
            <w:tcW w:type="pct" w:w="650"/>
            <w:tcMar>
              <w:top w:type="dxa" w:w="60"/>
              <w:left w:type="dxa" w:w="120"/>
              <w:bottom w:type="dxa" w:w="60"/>
              <w:right w:type="dxa" w:w="120"/>
            </w:tcMar>
          </w:tcPr>
          <w:p>
            <w:pPr>
              <w:spacing w:line="312"/>
              <w:jc w:val="left"/>
            </w:pPr>
            <w:r>
              <w:rPr>
                <w:rFonts w:ascii="Times New Roman" w:eastAsia="SimSun"/>
                <w:color w:val="000000"/>
                <w:sz w:val="21"/>
                <w:szCs w:val="21"/>
              </w:rPr>
              <w:t xml:space="preserve">11 of 83</w:t>
            </w:r>
          </w:p>
        </w:tc>
        <w:tc>
          <w:tcPr>
            <w:tcW w:type="pct" w:w="1600"/>
            <w:tcMar>
              <w:top w:type="dxa" w:w="60"/>
              <w:left w:type="dxa" w:w="120"/>
              <w:bottom w:type="dxa" w:w="60"/>
              <w:right w:type="dxa" w:w="120"/>
            </w:tcMar>
          </w:tcPr>
          <w:p>
            <w:pPr>
              <w:spacing w:line="312"/>
              <w:jc w:val="left"/>
            </w:pPr>
            <w:r>
              <w:rPr>
                <w:rFonts w:ascii="Times New Roman" w:eastAsia="SimSun"/>
                <w:color w:val="000000"/>
                <w:sz w:val="21"/>
                <w:szCs w:val="21"/>
              </w:rPr>
              <w:t xml:space="preserve">0.14 collapsed to substantive-vs-not; authors call it fragile</w:t>
            </w:r>
          </w:p>
        </w:tc>
        <w:tc>
          <w:tcPr>
            <w:tcW w:type="pct" w:w="1700"/>
            <w:tcMar>
              <w:top w:type="dxa" w:w="60"/>
              <w:left w:type="dxa" w:w="120"/>
              <w:bottom w:type="dxa" w:w="60"/>
              <w:right w:type="dxa" w:w="120"/>
            </w:tcMar>
          </w:tcPr>
          <w:p>
            <w:pPr>
              <w:spacing w:line="312"/>
              <w:jc w:val="left"/>
            </w:pPr>
            <w:r>
              <w:rPr>
                <w:rFonts w:ascii="Times New Roman" w:eastAsia="SimSun"/>
                <w:color w:val="000000"/>
                <w:sz w:val="21"/>
                <w:szCs w:val="21"/>
              </w:rPr>
              <w:t xml:space="preserve">Not quotable as a point estimate</w:t>
            </w:r>
          </w:p>
        </w:tc>
      </w:tr>
      <w:tr>
        <w:trPr>
          <w:cantSplit/>
        </w:trPr>
        <w:tc>
          <w:tcPr>
            <w:tcW w:type="pct" w:w="1050"/>
            <w:tcMar>
              <w:top w:type="dxa" w:w="60"/>
              <w:left w:type="dxa" w:w="120"/>
              <w:bottom w:type="dxa" w:w="60"/>
              <w:right w:type="dxa" w:w="120"/>
            </w:tcMar>
          </w:tcPr>
          <w:p>
            <w:pPr>
              <w:spacing w:line="312"/>
              <w:jc w:val="left"/>
            </w:pPr>
            <w:r>
              <w:rPr>
                <w:rFonts w:ascii="Times New Roman" w:eastAsia="SimSun"/>
                <w:color w:val="000000"/>
                <w:sz w:val="21"/>
                <w:szCs w:val="21"/>
              </w:rPr>
              <w:t xml:space="preserve">Twin as explicit attack target</w:t>
            </w:r>
          </w:p>
        </w:tc>
        <w:tc>
          <w:tcPr>
            <w:tcW w:type="pct" w:w="650"/>
            <w:tcMar>
              <w:top w:type="dxa" w:w="60"/>
              <w:left w:type="dxa" w:w="120"/>
              <w:bottom w:type="dxa" w:w="60"/>
              <w:right w:type="dxa" w:w="120"/>
            </w:tcMar>
          </w:tcPr>
          <w:p>
            <w:pPr>
              <w:spacing w:line="312"/>
              <w:jc w:val="left"/>
            </w:pPr>
            <w:r>
              <w:rPr>
                <w:rFonts w:ascii="Times New Roman" w:eastAsia="SimSun"/>
                <w:color w:val="000000"/>
                <w:sz w:val="21"/>
                <w:szCs w:val="21"/>
              </w:rPr>
              <w:t xml:space="preserve">1 of 83</w:t>
            </w:r>
          </w:p>
        </w:tc>
        <w:tc>
          <w:tcPr>
            <w:tcW w:type="pct" w:w="1600"/>
            <w:tcMar>
              <w:top w:type="dxa" w:w="60"/>
              <w:left w:type="dxa" w:w="120"/>
              <w:bottom w:type="dxa" w:w="60"/>
              <w:right w:type="dxa" w:w="120"/>
            </w:tcMar>
          </w:tcPr>
          <w:p>
            <w:pPr>
              <w:spacing w:line="312"/>
              <w:jc w:val="left"/>
            </w:pPr>
            <w:r>
              <w:rPr>
                <w:rFonts w:ascii="Times New Roman" w:eastAsia="SimSun"/>
                <w:color w:val="000000"/>
                <w:sz w:val="21"/>
                <w:szCs w:val="21"/>
              </w:rPr>
              <w:t xml:space="preserve">twin_role κ = 0.77, but conservative definitions</w:t>
            </w:r>
          </w:p>
        </w:tc>
        <w:tc>
          <w:tcPr>
            <w:tcW w:type="pct" w:w="1700"/>
            <w:tcMar>
              <w:top w:type="dxa" w:w="60"/>
              <w:left w:type="dxa" w:w="120"/>
              <w:bottom w:type="dxa" w:w="60"/>
              <w:right w:type="dxa" w:w="120"/>
            </w:tcMar>
          </w:tcPr>
          <w:p>
            <w:pPr>
              <w:spacing w:line="312"/>
              <w:jc w:val="left"/>
            </w:pPr>
            <w:r>
              <w:rPr>
                <w:rFonts w:ascii="Times New Roman" w:eastAsia="SimSun"/>
                <w:color w:val="000000"/>
                <w:sz w:val="21"/>
                <w:szCs w:val="21"/>
              </w:rPr>
              <w:t xml:space="preserve">Partly a coding-rule artifact; the one study concerns vehicle twins</w:t>
            </w:r>
          </w:p>
        </w:tc>
      </w:tr>
      <w:tr>
        <w:trPr>
          <w:cantSplit/>
        </w:trPr>
        <w:tc>
          <w:tcPr>
            <w:tcW w:type="pct" w:w="1050"/>
            <w:tcMar>
              <w:top w:type="dxa" w:w="60"/>
              <w:left w:type="dxa" w:w="120"/>
              <w:bottom w:type="dxa" w:w="60"/>
              <w:right w:type="dxa" w:w="120"/>
            </w:tcMar>
          </w:tcPr>
          <w:p>
            <w:pPr>
              <w:spacing w:line="312"/>
              <w:jc w:val="left"/>
            </w:pPr>
            <w:r>
              <w:rPr>
                <w:rFonts w:ascii="Times New Roman" w:eastAsia="SimSun"/>
                <w:color w:val="000000"/>
                <w:sz w:val="21"/>
                <w:szCs w:val="21"/>
              </w:rPr>
              <w:t xml:space="preserve">Operation-phase concentration</w:t>
            </w:r>
          </w:p>
        </w:tc>
        <w:tc>
          <w:tcPr>
            <w:tcW w:type="pct" w:w="650"/>
            <w:tcMar>
              <w:top w:type="dxa" w:w="60"/>
              <w:left w:type="dxa" w:w="120"/>
              <w:bottom w:type="dxa" w:w="60"/>
              <w:right w:type="dxa" w:w="120"/>
            </w:tcMar>
          </w:tcPr>
          <w:p>
            <w:pPr>
              <w:spacing w:line="312"/>
              <w:jc w:val="left"/>
            </w:pPr>
            <w:r>
              <w:rPr>
                <w:rFonts w:ascii="Times New Roman" w:eastAsia="SimSun"/>
                <w:color w:val="000000"/>
                <w:sz w:val="21"/>
                <w:szCs w:val="21"/>
              </w:rPr>
              <w:t xml:space="preserve">66 of 83</w:t>
            </w:r>
          </w:p>
        </w:tc>
        <w:tc>
          <w:tcPr>
            <w:tcW w:type="pct" w:w="1600"/>
            <w:tcMar>
              <w:top w:type="dxa" w:w="60"/>
              <w:left w:type="dxa" w:w="120"/>
              <w:bottom w:type="dxa" w:w="60"/>
              <w:right w:type="dxa" w:w="120"/>
            </w:tcMar>
          </w:tcPr>
          <w:p>
            <w:pPr>
              <w:spacing w:line="312"/>
              <w:jc w:val="left"/>
            </w:pPr>
            <w:r>
              <w:rPr>
                <w:rFonts w:ascii="Times New Roman" w:eastAsia="SimSun"/>
                <w:color w:val="000000"/>
                <w:sz w:val="21"/>
                <w:szCs w:val="21"/>
              </w:rPr>
              <w:t xml:space="preserve">lifecycle_stage κ = 0.32; coder-1 default bias documented</w:t>
            </w:r>
          </w:p>
        </w:tc>
        <w:tc>
          <w:tcPr>
            <w:tcW w:type="pct" w:w="1700"/>
            <w:tcMar>
              <w:top w:type="dxa" w:w="60"/>
              <w:left w:type="dxa" w:w="120"/>
              <w:bottom w:type="dxa" w:w="60"/>
              <w:right w:type="dxa" w:w="120"/>
            </w:tcMar>
          </w:tcPr>
          <w:p>
            <w:pPr>
              <w:spacing w:line="312"/>
              <w:jc w:val="left"/>
            </w:pPr>
            <w:r>
              <w:rPr>
                <w:rFonts w:ascii="Times New Roman" w:eastAsia="SimSun"/>
                <w:color w:val="000000"/>
                <w:sz w:val="21"/>
                <w:szCs w:val="21"/>
              </w:rPr>
              <w:t xml:space="preserve">Weakest headline; needs re-coding or an explicit bound</w:t>
            </w:r>
          </w:p>
        </w:tc>
      </w:tr>
      <w:tr>
        <w:trPr>
          <w:cantSplit/>
        </w:trPr>
        <w:tc>
          <w:tcPr>
            <w:tcW w:type="pct" w:w="1050"/>
            <w:tcMar>
              <w:top w:type="dxa" w:w="60"/>
              <w:left w:type="dxa" w:w="120"/>
              <w:bottom w:type="dxa" w:w="60"/>
              <w:right w:type="dxa" w:w="120"/>
            </w:tcMar>
          </w:tcPr>
          <w:p>
            <w:pPr>
              <w:spacing w:line="312"/>
              <w:jc w:val="left"/>
            </w:pPr>
            <w:r>
              <w:rPr>
                <w:rFonts w:ascii="Times New Roman" w:eastAsia="SimSun"/>
                <w:color w:val="000000"/>
                <w:sz w:val="21"/>
                <w:szCs w:val="21"/>
              </w:rPr>
              <w:t xml:space="preserve">Code and data release</w:t>
            </w:r>
          </w:p>
        </w:tc>
        <w:tc>
          <w:tcPr>
            <w:tcW w:type="pct" w:w="650"/>
            <w:tcMar>
              <w:top w:type="dxa" w:w="60"/>
              <w:left w:type="dxa" w:w="120"/>
              <w:bottom w:type="dxa" w:w="60"/>
              <w:right w:type="dxa" w:w="120"/>
            </w:tcMar>
          </w:tcPr>
          <w:p>
            <w:pPr>
              <w:spacing w:line="312"/>
              <w:jc w:val="left"/>
            </w:pPr>
            <w:r>
              <w:rPr>
                <w:rFonts w:ascii="Times New Roman" w:eastAsia="SimSun"/>
                <w:color w:val="000000"/>
                <w:sz w:val="21"/>
                <w:szCs w:val="21"/>
              </w:rPr>
              <w:t xml:space="preserve">3 and 16 of 83</w:t>
            </w:r>
          </w:p>
        </w:tc>
        <w:tc>
          <w:tcPr>
            <w:tcW w:type="pct" w:w="1600"/>
            <w:tcMar>
              <w:top w:type="dxa" w:w="60"/>
              <w:left w:type="dxa" w:w="120"/>
              <w:bottom w:type="dxa" w:w="60"/>
              <w:right w:type="dxa" w:w="120"/>
            </w:tcMar>
          </w:tcPr>
          <w:p>
            <w:pPr>
              <w:spacing w:line="312"/>
              <w:jc w:val="left"/>
            </w:pPr>
            <w:r>
              <w:rPr>
                <w:rFonts w:ascii="Times New Roman" w:eastAsia="SimSun"/>
                <w:color w:val="000000"/>
                <w:sz w:val="21"/>
                <w:szCs w:val="21"/>
              </w:rPr>
              <w:t xml:space="preserve">100% and 85% agreement (near-constant fields)</w:t>
            </w:r>
          </w:p>
        </w:tc>
        <w:tc>
          <w:tcPr>
            <w:tcW w:type="pct" w:w="1700"/>
            <w:tcMar>
              <w:top w:type="dxa" w:w="60"/>
              <w:left w:type="dxa" w:w="120"/>
              <w:bottom w:type="dxa" w:w="60"/>
              <w:right w:type="dxa" w:w="120"/>
            </w:tcMar>
          </w:tcPr>
          <w:p>
            <w:pPr>
              <w:spacing w:line="312"/>
              <w:jc w:val="left"/>
            </w:pPr>
            <w:r>
              <w:rPr>
                <w:rFonts w:ascii="Times New Roman" w:eastAsia="SimSun"/>
                <w:color w:val="000000"/>
                <w:sz w:val="21"/>
                <w:szCs w:val="21"/>
              </w:rPr>
              <w:t xml:space="preserve">Solid</w:t>
            </w:r>
          </w:p>
        </w:tc>
      </w:tr>
    </w:tbl>
    <w:p>
      <w:pPr>
        <w:pStyle w:val="Heading1"/>
        <w:spacing w:after="160" w:before="360" w:line="312"/>
        <w:jc w:val="center"/>
      </w:pPr>
      <w:bookmarkStart w:name="_Toc4" w:id="4"/>
      <w:r>
        <w:rPr>
          <w:rFonts w:ascii="Times New Roman" w:eastAsia="SimHei"/>
          <w:b/>
          <w:bCs/>
          <w:color w:val="0B1C2C"/>
          <w:sz w:val="32"/>
          <w:szCs w:val="32"/>
        </w:rPr>
        <w:t xml:space="preserve">3. Key Strengths</w:t>
      </w:r>
      <w:bookmarkEnd w:id="4"/>
    </w:p>
    <w:p>
      <w:pPr>
        <w:spacing w:after="120" w:before="0" w:line="312"/>
        <w:jc w:val="left"/>
      </w:pPr>
      <w:r>
        <w:rPr>
          <w:rFonts w:ascii="Times New Roman" w:eastAsia="SimSun"/>
          <w:b w:val="false"/>
          <w:bCs w:val="false"/>
          <w:i w:val="false"/>
          <w:iCs w:val="false"/>
          <w:color w:val="000000"/>
          <w:sz w:val="24"/>
          <w:szCs w:val="24"/>
        </w:rPr>
        <w:t xml:space="preserve">Six strengths stand out, listed here in rough order of importance to the manuscript's contribution. Each is substantive enough that its removal would materially weaken the paper.</w:t>
      </w:r>
    </w:p>
    <w:p>
      <w:pPr>
        <w:pStyle w:val="Heading2"/>
        <w:spacing w:after="120" w:before="240" w:line="312"/>
        <w:jc w:val="left"/>
      </w:pPr>
      <w:bookmarkStart w:name="_Toc5" w:id="5"/>
      <w:r>
        <w:rPr>
          <w:rFonts w:ascii="Times New Roman" w:eastAsia="SimHei"/>
          <w:b/>
          <w:bCs/>
          <w:color w:val="0B1C2C"/>
          <w:sz w:val="30"/>
          <w:szCs w:val="30"/>
        </w:rPr>
        <w:t xml:space="preserve">3.1 Unusual methodological transparency and calibrated self-criticism</w:t>
      </w:r>
      <w:bookmarkEnd w:id="5"/>
    </w:p>
    <w:p>
      <w:pPr>
        <w:spacing w:after="120" w:before="0" w:line="312"/>
        <w:jc w:val="left"/>
      </w:pPr>
      <w:r>
        <w:rPr>
          <w:rFonts w:ascii="Times New Roman" w:eastAsia="SimSun"/>
          <w:b w:val="false"/>
          <w:bCs w:val="false"/>
          <w:i w:val="false"/>
          <w:iCs w:val="false"/>
          <w:color w:val="000000"/>
          <w:sz w:val="24"/>
          <w:szCs w:val="24"/>
        </w:rPr>
        <w:t xml:space="preserve">The paper reports the numbers a weaker paper would bury: κ = 0.41 on the headline construct, 0.14 on substantive engagement, 0.32 on lifecycle; a coder style difference that “depresses κ without indicating a substantive disagreement”; an adjudication rule that favors coder 1 and is declared as “a real limitation”; and a post-hoc reading of the reliability table flagged as such. The abstract presents the fragile numbers alongside the flattering ones — “a result we report rather than hide” — and the claims are calibrated accordingly: the authors repeatedly distinguish what the data support (the 35/83 any-engagement figure) from what they do not (the 11/83 substantive figure, which the reliability analysis does not support). For a field in which systematic reviews routinely report only favorable agreement statistics, this is exemplary, and it should survive revision intact.</w:t>
      </w:r>
    </w:p>
    <w:p>
      <w:pPr>
        <w:pStyle w:val="Heading2"/>
        <w:spacing w:after="120" w:before="240" w:line="312"/>
        <w:jc w:val="left"/>
      </w:pPr>
      <w:bookmarkStart w:name="_Toc6" w:id="6"/>
      <w:r>
        <w:rPr>
          <w:rFonts w:ascii="Times New Roman" w:eastAsia="SimHei"/>
          <w:b/>
          <w:bCs/>
          <w:color w:val="0B1C2C"/>
          <w:sz w:val="30"/>
          <w:szCs w:val="30"/>
        </w:rPr>
        <w:t xml:space="preserve">3.2 The headline finding is actively defended against retrieval bias</w:t>
      </w:r>
      <w:bookmarkEnd w:id="6"/>
    </w:p>
    <w:p>
      <w:pPr>
        <w:spacing w:after="120" w:before="0" w:line="312"/>
        <w:jc w:val="left"/>
      </w:pPr>
      <w:r>
        <w:rPr>
          <w:rFonts w:ascii="Times New Roman" w:eastAsia="SimSun"/>
          <w:b w:val="false"/>
          <w:bCs w:val="false"/>
          <w:i w:val="false"/>
          <w:iCs w:val="false"/>
          <w:color w:val="000000"/>
          <w:sz w:val="24"/>
          <w:szCs w:val="24"/>
        </w:rPr>
        <w:t xml:space="preserve">The most obvious objection to an absence claim — that the attack-side literature exists but was never retrieved — is addressed directly rather than deflected. Four adversarial-AI probe queries widened the candidate pool from 1,287 to roughly 2,000 records; a two-lexicon false-negative audit re-examined all 48 records coded as non-engaging, with instructive false positives (gallium-nitride semiconductors matching “GAN”, Xenon-135 reactor physics matching “poisoning”) that independently justify human coding over keyword coding; and the strict lexicon's weak positive control (7 of 11 known positives recovered) is disclosed rather than suppressed, with the honest conclusion that “a pattern set cannot recognise wording it was not written for.” Sensitivity analyses excluding reviews (20/49 any engagement) and restricting to journal articles (26/62) leave the asymmetry intact, as does the adjudication, which moved no headline field. The direction of the central finding is therefore robust to the checks that matter most.</w:t>
      </w:r>
    </w:p>
    <w:p>
      <w:pPr>
        <w:pStyle w:val="Heading2"/>
        <w:spacing w:after="120" w:before="240" w:line="312"/>
        <w:jc w:val="left"/>
      </w:pPr>
      <w:bookmarkStart w:name="_Toc7" w:id="7"/>
      <w:r>
        <w:rPr>
          <w:rFonts w:ascii="Times New Roman" w:eastAsia="SimHei"/>
          <w:b/>
          <w:bCs/>
          <w:color w:val="0B1C2C"/>
          <w:sz w:val="30"/>
          <w:szCs w:val="30"/>
        </w:rPr>
        <w:t xml:space="preserve">3.3 Precise and generous positioning against the closest prior review</w:t>
      </w:r>
      <w:bookmarkEnd w:id="7"/>
    </w:p>
    <w:p>
      <w:pPr>
        <w:spacing w:after="120" w:before="0" w:line="312"/>
        <w:jc w:val="left"/>
      </w:pPr>
      <w:r>
        <w:rPr>
          <w:rFonts w:ascii="Times New Roman" w:eastAsia="SimSun"/>
          <w:b w:val="false"/>
          <w:bCs w:val="false"/>
          <w:i w:val="false"/>
          <w:iCs w:val="false"/>
          <w:color w:val="000000"/>
          <w:sz w:val="24"/>
          <w:szCs w:val="24"/>
        </w:rPr>
        <w:t xml:space="preserve">The paper neither overclaims novelty nor undercredits the prior work it builds on. It states plainly that the dual-role tension belongs to Habeeb, Weli and Almaliki, and positions itself as reporting “a lower bound on its grid manifestation, not a test of the full axis.” The mapping in the manuscript's Table 1 shows that the review's independently designed threat vocabulary covers all five of their attack vectors and adds six terms their query string could not return, and the authors are explicit that this demonstrates “coverage, not evidence that the vectors are dealt with empirically.” This scoping honesty — additive rather than competing — is exactly the right posture, and the vocabulary mapping is a small reusable contribution in its own right for subsequent surveys in this space.</w:t>
      </w:r>
    </w:p>
    <w:p>
      <w:pPr>
        <w:pStyle w:val="Heading2"/>
        <w:spacing w:after="120" w:before="240" w:line="312"/>
        <w:jc w:val="left"/>
      </w:pPr>
      <w:bookmarkStart w:name="_Toc8" w:id="8"/>
      <w:r>
        <w:rPr>
          <w:rFonts w:ascii="Times New Roman" w:eastAsia="SimHei"/>
          <w:b/>
          <w:bCs/>
          <w:color w:val="0B1C2C"/>
          <w:sz w:val="30"/>
          <w:szCs w:val="30"/>
        </w:rPr>
        <w:t xml:space="preserve">3.4 The quantitative reporting is internally consistent and independently checkable</w:t>
      </w:r>
      <w:bookmarkEnd w:id="8"/>
    </w:p>
    <w:p>
      <w:pPr>
        <w:spacing w:after="120" w:before="0" w:line="312"/>
        <w:jc w:val="left"/>
      </w:pPr>
      <w:r>
        <w:rPr>
          <w:rFonts w:ascii="Times New Roman" w:eastAsia="SimSun"/>
          <w:b w:val="false"/>
          <w:bCs w:val="false"/>
          <w:i w:val="false"/>
          <w:iCs w:val="false"/>
          <w:color w:val="000000"/>
          <w:sz w:val="24"/>
          <w:szCs w:val="24"/>
        </w:rPr>
        <w:t xml:space="preserve">This reviewer verified the manuscript's arithmetic extensively and found no internal inconsistencies. The corpus decompositions all sum to their denominators (stance: 42 + 36 + 10 + 10 + 2 = 100; twin role: 75 + 1 + 0 + 7 = 83; evaluation method: 33 + 28 + 10 + 5 + 5 + 2 = 83; publication years: 1 + 5 + 2 + 8 + 8 + 31 + 45 = 100). The per-vector engagement counts (adversarial ML 24/8, poisoning 19/7, evasion 9/1, LLM-specific 4/2, agentic 2/1) reconcile exactly with the eleven substantive studies listed in the manuscript's Table 4, the threat-by-lifecycle rows in its Figure 4 match the vocabulary totals in its Table 3, and both collapsed κ values (0.60 for any engagement, 0.14 for substantive) were independently reproduced from the disclosed 3 × 3 contingency table. Given 46 extracted fields over 100 records, this level of internal coherence indicates a genuinely careful extraction process behind the reported statistics.</w:t>
      </w:r>
    </w:p>
    <w:p>
      <w:pPr>
        <w:pStyle w:val="Heading2"/>
        <w:spacing w:after="120" w:before="240" w:line="312"/>
        <w:jc w:val="left"/>
      </w:pPr>
      <w:bookmarkStart w:name="_Toc9" w:id="9"/>
      <w:r>
        <w:rPr>
          <w:rFonts w:ascii="Times New Roman" w:eastAsia="SimHei"/>
          <w:b/>
          <w:bCs/>
          <w:color w:val="0B1C2C"/>
          <w:sz w:val="30"/>
          <w:szCs w:val="30"/>
        </w:rPr>
        <w:t xml:space="preserve">3.5 A research agenda that is genuinely testable</w:t>
      </w:r>
      <w:bookmarkEnd w:id="9"/>
    </w:p>
    <w:p>
      <w:pPr>
        <w:spacing w:after="120" w:before="0" w:line="312"/>
        <w:jc w:val="left"/>
      </w:pPr>
      <w:r>
        <w:rPr>
          <w:rFonts w:ascii="Times New Roman" w:eastAsia="SimSun"/>
          <w:b w:val="false"/>
          <w:bCs w:val="false"/>
          <w:i w:val="false"/>
          <w:iCs w:val="false"/>
          <w:color w:val="000000"/>
          <w:sz w:val="24"/>
          <w:szCs w:val="24"/>
        </w:rPr>
        <w:t xml:space="preserve">Each of the five agenda items names the gap that justifies it and the validation that would close it: P1 demands a reproducible twin-directed attack with a stated adaptive adversary because twin-as-target stands at 1/83; P2 moves security into design and commissioning because the corpus concentrates at operation; P3 requires stated attacker knowledge, capability and objective because only 19/83 studies commit to a threat model; P4 defends the learned components against poisoning and evasion; and P5 demands artifacts a third party can rerun without help. The agenda is therefore falsifiable rather than aspirational — a reader can, in principle, check in three years whether P1-style studies exist and whether they meet the stated validation criteria. The final caution attached to P5, that the review measures research attention rather than deployment security, is a thoughtful guard against over-reading the absence claim.</w:t>
      </w:r>
    </w:p>
    <w:p>
      <w:pPr>
        <w:pStyle w:val="Heading2"/>
        <w:spacing w:after="120" w:before="240" w:line="312"/>
        <w:jc w:val="left"/>
      </w:pPr>
      <w:bookmarkStart w:name="_Toc10" w:id="10"/>
      <w:r>
        <w:rPr>
          <w:rFonts w:ascii="Times New Roman" w:eastAsia="SimHei"/>
          <w:b/>
          <w:bCs/>
          <w:color w:val="0B1C2C"/>
          <w:sz w:val="30"/>
          <w:szCs w:val="30"/>
        </w:rPr>
        <w:t xml:space="preserve">3.6 Disciplined scope handling</w:t>
      </w:r>
      <w:bookmarkEnd w:id="10"/>
    </w:p>
    <w:p>
      <w:pPr>
        <w:spacing w:after="120" w:before="0" w:line="312"/>
        <w:jc w:val="left"/>
      </w:pPr>
      <w:r>
        <w:rPr>
          <w:rFonts w:ascii="Times New Roman" w:eastAsia="SimSun"/>
          <w:b w:val="false"/>
          <w:bCs w:val="false"/>
          <w:i w:val="false"/>
          <w:iCs w:val="false"/>
          <w:color w:val="000000"/>
          <w:sz w:val="24"/>
          <w:szCs w:val="24"/>
        </w:rPr>
        <w:t xml:space="preserve">The requirement that a study name a digital twin to enter the corpus is stated in the introduction, repeated in the abstract, and its consequence — an upper bound on how much attack-side research the corpus can contain — is made explicit rather than left for the reader to infer. Abstract-only records are treated as missing rather than zero; fields too near-constant for κ are reported as percentage agreement instead of being dropped silently; and the 17% full-text unobtainability rate is itself reported as a reproducibility finding, with the affected records listed by DOI. These are individually small decisions, but collectively they make the corpus considerably more trustworthy than a typical convenience-sample review, and they cost the authors nothing to keep.</w:t>
      </w:r>
    </w:p>
    <w:p>
      <w:pPr>
        <w:pStyle w:val="Heading1"/>
        <w:spacing w:after="160" w:before="360" w:line="312"/>
        <w:jc w:val="center"/>
      </w:pPr>
      <w:bookmarkStart w:name="_Toc11" w:id="11"/>
      <w:r>
        <w:rPr>
          <w:rFonts w:ascii="Times New Roman" w:eastAsia="SimHei"/>
          <w:b/>
          <w:bCs/>
          <w:color w:val="0B1C2C"/>
          <w:sz w:val="32"/>
          <w:szCs w:val="32"/>
        </w:rPr>
        <w:t xml:space="preserve">4. Key Weaknesses</w:t>
      </w:r>
      <w:bookmarkEnd w:id="11"/>
    </w:p>
    <w:p>
      <w:pPr>
        <w:spacing w:after="120" w:before="0" w:line="312"/>
        <w:jc w:val="left"/>
      </w:pPr>
      <w:r>
        <w:rPr>
          <w:rFonts w:ascii="Times New Roman" w:eastAsia="SimSun"/>
          <w:b w:val="false"/>
          <w:bCs w:val="false"/>
          <w:i w:val="false"/>
          <w:iCs w:val="false"/>
          <w:color w:val="000000"/>
          <w:sz w:val="24"/>
          <w:szCs w:val="24"/>
        </w:rPr>
        <w:t xml:space="preserve">Seven weaknesses are material to the manuscript's claims. The first two concern the selection and flow record; the next two concern reliability and definitions; the last three concern framing, protocol compliance and presentation. None of them, individually, is fatal — but the first three jointly bound how strongly the headline magnitudes can be stated, and the authors' own threats-to-validity section already concedes much of what follows.</w:t>
      </w:r>
    </w:p>
    <w:p>
      <w:pPr>
        <w:pStyle w:val="Heading2"/>
        <w:spacing w:after="120" w:before="240" w:line="312"/>
        <w:jc w:val="left"/>
      </w:pPr>
      <w:bookmarkStart w:name="_Toc12" w:id="12"/>
      <w:r>
        <w:rPr>
          <w:rFonts w:ascii="Times New Roman" w:eastAsia="SimHei"/>
          <w:b/>
          <w:bCs/>
          <w:color w:val="0B1C2C"/>
          <w:sz w:val="30"/>
          <w:szCs w:val="30"/>
        </w:rPr>
        <w:t xml:space="preserve">4.1 The top-100 selection rule weakens the systematic-review claim</w:t>
      </w:r>
      <w:bookmarkEnd w:id="12"/>
    </w:p>
    <w:p>
      <w:pPr>
        <w:spacing w:after="120" w:before="0" w:line="312"/>
        <w:jc w:val="left"/>
      </w:pPr>
      <w:r>
        <w:rPr>
          <w:rFonts w:ascii="Times New Roman" w:eastAsia="SimSun"/>
          <w:b w:val="false"/>
          <w:bCs w:val="false"/>
          <w:i w:val="false"/>
          <w:iCs w:val="false"/>
          <w:color w:val="000000"/>
          <w:sz w:val="24"/>
          <w:szCs w:val="24"/>
        </w:rPr>
        <w:t xml:space="preserve">The step from 492 eligible records to the retained 100 is a non-probabilistic ranking on OpenAlex relevance score, citation count and recency. That is a purposive sample, not a PRISMA eligibility criterion, and the manuscript concedes as much (“every prevalence figure in Section 5 is a statement about the retained 100 studies and should not be read as an estimate of the wider literature”) while still framing the work as a “PRISMA 2020-style” systematic review. The recency component is the substantive problem: 76% of the corpus is from 2025–26 and 45 studies are from the still-incomplete 2026, and the authors themselves note that “foundational attack-side work from 2020–2023 may be under-weighted.” Because the headline is an absence claim about attack-side engagement, a rule that systematically favors work published after the defensive-AI wave matured biases the sample in the direction of the finding — and the corpus's domination by fast-publication venues (MDPI 17, Elsevier 12, IEEE 8) is consistent with that skew. The exact ranking formula is not stated in the text, so the cut cannot be reproduced from the paper alone.</w:t>
      </w:r>
    </w:p>
    <w:p>
      <w:pPr>
        <w:pStyle w:val="Heading2"/>
        <w:spacing w:after="120" w:before="240" w:line="312"/>
        <w:jc w:val="left"/>
      </w:pPr>
      <w:bookmarkStart w:name="_Toc13" w:id="13"/>
      <w:r>
        <w:rPr>
          <w:rFonts w:ascii="Times New Roman" w:eastAsia="SimHei"/>
          <w:b/>
          <w:bCs/>
          <w:color w:val="0B1C2C"/>
          <w:sz w:val="30"/>
          <w:szCs w:val="30"/>
        </w:rPr>
        <w:t xml:space="preserve">4.2 The PRISMA flow does not account for the probe records</w:t>
      </w:r>
      <w:bookmarkEnd w:id="13"/>
    </w:p>
    <w:p>
      <w:pPr>
        <w:spacing w:after="120" w:before="0" w:line="312"/>
        <w:jc w:val="left"/>
      </w:pPr>
      <w:r>
        <w:rPr>
          <w:rFonts w:ascii="Times New Roman" w:eastAsia="SimSun"/>
          <w:b w:val="false"/>
          <w:bCs w:val="false"/>
          <w:i w:val="false"/>
          <w:iCs w:val="false"/>
          <w:color w:val="000000"/>
          <w:sz w:val="24"/>
          <w:szCs w:val="24"/>
        </w:rPr>
        <w:t xml:space="preserve">The flow arithmetic is consistent only if screening operated on the 1,287 core records: 1,287 − 795 = 492 exactly. The four adversarial-AI probes, which raised the pool to roughly 2,000 records, therefore appear nowhere in the screening counts. Either the probe records contributed nothing eligible — in which case the probe defense against retrieval bias is much weaker than the methodology section implies — or they were screened and the exclusion figure should be roughly 1,500 rather than 795. Manuscript Section 8.5 admits that “the released files do not yet separate probe-only membership in the final 100; this is a gap in the record,” and the 469 denominator quoted alongside the 24/469 screening-loss figure is never defined. Because the probes are the paper's principal defense against the retrieval-bias objection (the mirror image of Weakness 4.1), this is the single most important item to repair in revision: a reader currently cannot determine how many of the final 100 exist because of the probes.</w:t>
      </w:r>
    </w:p>
    <w:p>
      <w:pPr>
        <w:pStyle w:val="Heading2"/>
        <w:spacing w:after="120" w:before="240" w:line="312"/>
        <w:jc w:val="left"/>
      </w:pPr>
      <w:bookmarkStart w:name="_Toc14" w:id="14"/>
      <w:r>
        <w:rPr>
          <w:rFonts w:ascii="Times New Roman" w:eastAsia="SimHei"/>
          <w:b/>
          <w:bCs/>
          <w:color w:val="0B1C2C"/>
          <w:sz w:val="30"/>
          <w:szCs w:val="30"/>
        </w:rPr>
        <w:t xml:space="preserve">4.3 Headline fields carry moderate reliability, and the adjudication design amplifies it</w:t>
      </w:r>
      <w:bookmarkEnd w:id="14"/>
    </w:p>
    <w:p>
      <w:pPr>
        <w:spacing w:after="120" w:before="0" w:line="312"/>
        <w:jc w:val="left"/>
      </w:pPr>
      <w:r>
        <w:rPr>
          <w:rFonts w:ascii="Times New Roman" w:eastAsia="SimSun"/>
          <w:b w:val="false"/>
          <w:bCs w:val="false"/>
          <w:i w:val="false"/>
          <w:iCs w:val="false"/>
          <w:color w:val="000000"/>
          <w:sz w:val="24"/>
          <w:szCs w:val="24"/>
        </w:rPr>
        <w:t xml:space="preserve">The constructs the paper most needs are its least reliable: κ = 0.41 for overall AI-threat engagement, 0.39 for evasion, 0.14 for attack-surface naming, and 0.14 for the collapsed substantive-versus-not comparison — the last on 15/20 raw agreement, a rare-event artifact the authors correctly diagnose but cannot argue away. With a reliability sample of 20 studies, the standard error of κ is of order 0.2–0.3, so every point estimate in the reliability table is unstable, as the paper itself states. Two design choices compound the problem: coder 1 coded 80% of the corpus and prevails in adjudication ties; and coder 1's documented default-category style — assigning “operation,” “yes,” “high” — points in the direction of the lifecycle headline. That field, which the discussion calls “the result with the longest reach in the data,” thus combines the lowest interpretable agreement (κ = 0.32) with a known bias mechanism running in the finding's direction. The paper discloses all of this; the residual defect is that the abstract and conclusion still quote 66/83 as a headline rather than as a bound.</w:t>
      </w:r>
    </w:p>
    <w:p>
      <w:pPr>
        <w:pStyle w:val="Heading2"/>
        <w:spacing w:after="120" w:before="240" w:line="312"/>
        <w:jc w:val="left"/>
      </w:pPr>
      <w:bookmarkStart w:name="_Toc15" w:id="15"/>
      <w:r>
        <w:rPr>
          <w:rFonts w:ascii="Times New Roman" w:eastAsia="SimHei"/>
          <w:b/>
          <w:bCs/>
          <w:color w:val="0B1C2C"/>
          <w:sz w:val="30"/>
          <w:szCs w:val="30"/>
        </w:rPr>
        <w:t xml:space="preserve">4.4 Definitional conservatism partly constructs the one-study headline</w:t>
      </w:r>
      <w:bookmarkEnd w:id="15"/>
    </w:p>
    <w:p>
      <w:pPr>
        <w:spacing w:after="120" w:before="0" w:line="312"/>
        <w:jc w:val="left"/>
      </w:pPr>
      <w:r>
        <w:rPr>
          <w:rFonts w:ascii="Times New Roman" w:eastAsia="SimSun"/>
          <w:b w:val="false"/>
          <w:bCs w:val="false"/>
          <w:i w:val="false"/>
          <w:iCs w:val="false"/>
          <w:color w:val="000000"/>
          <w:sz w:val="24"/>
          <w:szCs w:val="24"/>
        </w:rPr>
        <w:t xml:space="preserve">A twin_role value of “both” is zero by definition — a paper must explicitly state the defensive/attack tension to score it — and “target” requires the twin to be “the adversary's objective rather than an asset to be protected.” These are defensible conservative coding rules, and the abstract honestly notes that under the looser asset-under-protection definition the count “is uncomputed.” But the practical effect is that the manuscript's most striking sentence — the twin is treated as an attack target “in exactly one study” — is partly a coding-rule artifact, and the single supporting study concerns vehicle twins, so the grid-specific count is effectively zero. The abstract and the Highlights carry the vehicle-twin caveat; the Conclusion drops it. The revision should either compute the looser definition or carry the qualifier consistently through every statement of the claim.</w:t>
      </w:r>
    </w:p>
    <w:p>
      <w:pPr>
        <w:pStyle w:val="Heading2"/>
        <w:spacing w:after="120" w:before="240" w:line="312"/>
        <w:jc w:val="left"/>
      </w:pPr>
      <w:bookmarkStart w:name="_Toc16" w:id="16"/>
      <w:r>
        <w:rPr>
          <w:rFonts w:ascii="Times New Roman" w:eastAsia="SimHei"/>
          <w:b/>
          <w:bCs/>
          <w:color w:val="0B1C2C"/>
          <w:sz w:val="30"/>
          <w:szCs w:val="30"/>
        </w:rPr>
        <w:t xml:space="preserve">4.5 Partial protocol compliance and no formal quality appraisal</w:t>
      </w:r>
      <w:bookmarkEnd w:id="16"/>
    </w:p>
    <w:p>
      <w:pPr>
        <w:spacing w:after="120" w:before="0" w:line="312"/>
        <w:jc w:val="left"/>
      </w:pPr>
      <w:r>
        <w:rPr>
          <w:rFonts w:ascii="Times New Roman" w:eastAsia="SimSun"/>
          <w:b w:val="false"/>
          <w:bCs w:val="false"/>
          <w:i w:val="false"/>
          <w:iCs w:val="false"/>
          <w:color w:val="000000"/>
          <w:sz w:val="24"/>
          <w:szCs w:val="24"/>
        </w:rPr>
        <w:t xml:space="preserve">By the authors' own inventory, PRISMA compliance is partial: one database (OpenAlex alone — no IEEE Xplore, Scopus or Web of Science, despite IEEE venues publishing much of the field's primary literature), no stated search date, no registered protocol, and five codebook revisions after the protocol was “fixed” (logged and dated, but still a researcher degree of freedom). No formal risk-of-bias or venue-quality appraisal was performed on a corpus containing theses, preprints, low-strictness venues named in the text (IRJMETS, GSC Online Press) and at least one anonymously authored record; the venue sensitivity analysis is a partial substitute, not an appraisal. One corpus DOI does not resolve and three records carry none; 18 of 54 venue labels disagreed with Crossref and were corrected in the registry's favor. Individually none of these is disqualifying; jointly they mean the review answers its protocol hypothesis less strongly than its structure implies.</w:t>
      </w:r>
    </w:p>
    <w:p>
      <w:pPr>
        <w:pStyle w:val="Heading2"/>
        <w:spacing w:after="120" w:before="240" w:line="312"/>
        <w:jc w:val="left"/>
      </w:pPr>
      <w:bookmarkStart w:name="_Toc17" w:id="17"/>
      <w:r>
        <w:rPr>
          <w:rFonts w:ascii="Times New Roman" w:eastAsia="SimHei"/>
          <w:b/>
          <w:bCs/>
          <w:color w:val="0B1C2C"/>
          <w:sz w:val="30"/>
          <w:szCs w:val="30"/>
        </w:rPr>
        <w:t xml:space="preserve">4.6 The theory-testing framing has a circularity problem</w:t>
      </w:r>
      <w:bookmarkEnd w:id="17"/>
    </w:p>
    <w:p>
      <w:pPr>
        <w:spacing w:after="120" w:before="0" w:line="312"/>
        <w:jc w:val="left"/>
      </w:pPr>
      <w:r>
        <w:rPr>
          <w:rFonts w:ascii="Times New Roman" w:eastAsia="SimSun"/>
          <w:b w:val="false"/>
          <w:bCs w:val="false"/>
          <w:i w:val="false"/>
          <w:iCs w:val="false"/>
          <w:color w:val="000000"/>
          <w:sz w:val="24"/>
          <w:szCs w:val="24"/>
        </w:rPr>
        <w:t xml:space="preserve">The manuscript describes itself as “a theory-testing systematic review”: the asymmetry is the hypothesis and the retained 100 studies are the test. But the hypothesis was formed from “early reading” of the same literature, and the test sample is a non-random, recency-weighted subset of that same population, so the test is not independent of the hypothesis's origin. The design cannot fail in the way a genuine test could — any corpus selected this way would tend to confirm the pattern that motivated its selection. This does not invalidate the descriptive contribution, which is real: quantifying the asymmetry in a defined, published corpus with reported reliability is valuable whether or not it “tests” anything. The framing should be softened to match what the design supports: a descriptive quantification with a bounded sample, not a hypothesis test.</w:t>
      </w:r>
    </w:p>
    <w:p>
      <w:pPr>
        <w:pStyle w:val="Heading2"/>
        <w:spacing w:after="120" w:before="240" w:line="312"/>
        <w:jc w:val="left"/>
      </w:pPr>
      <w:bookmarkStart w:name="_Toc18" w:id="18"/>
      <w:r>
        <w:rPr>
          <w:rFonts w:ascii="Times New Roman" w:eastAsia="SimHei"/>
          <w:b/>
          <w:bCs/>
          <w:color w:val="0B1C2C"/>
          <w:sz w:val="30"/>
          <w:szCs w:val="30"/>
        </w:rPr>
        <w:t xml:space="preserve">4.7 Presentation and reporting defects</w:t>
      </w:r>
      <w:bookmarkEnd w:id="18"/>
    </w:p>
    <w:p>
      <w:pPr>
        <w:spacing w:after="120" w:before="0" w:line="312"/>
        <w:jc w:val="left"/>
      </w:pPr>
      <w:r>
        <w:rPr>
          <w:rFonts w:ascii="Times New Roman" w:eastAsia="SimSun"/>
          <w:b w:val="false"/>
          <w:bCs w:val="false"/>
          <w:i w:val="false"/>
          <w:iCs w:val="false"/>
          <w:color w:val="000000"/>
          <w:sz w:val="24"/>
          <w:szCs w:val="24"/>
        </w:rPr>
        <w:t xml:space="preserve">Several defects will frustrate readers and erode trust in an otherwise careful paper. A duplicated sentence appears in the reliability results (“A statistical artefact of rare events with high overall agreement…”). The screening-loss comparison (24/469 versus 35/83) is quoted three times, each time with a warning that it is “not like-for-like” — a number that cannot be interpreted should not be quoted three times. The venue sensitivity is built on “62 journal articles” against the profile table's 67, with no reconciliation offered (presumably five journal articles were abstract-only). Dual near-synonymous vocabularies — poisoning (22 records) versus ai_poisoning (19), evasion (11) versus ai_evasion (9) — are used interchangeably across the threat tables and the agenda. The abstract exceeds 400 words and carries method statistics (“subject to n = 20”) that belong in the methods. There is an unexplained reference to “the 17% unobtainable rate and its direction.” Bracketed numerals serve double duty as reference citations and corpus record identifiers, so that the “[27]” of the quality-appraisal section is not the [27] of the reference list.</w:t>
      </w:r>
    </w:p>
    <w:p>
      <w:pPr>
        <w:spacing w:after="120" w:before="0" w:line="312"/>
        <w:jc w:val="left"/>
      </w:pPr>
      <w:r>
        <w:rPr>
          <w:rFonts w:ascii="Times New Roman" w:eastAsia="SimSun"/>
          <w:b w:val="false"/>
          <w:bCs w:val="false"/>
          <w:i w:val="false"/>
          <w:iCs w:val="false"/>
          <w:color w:val="000000"/>
          <w:sz w:val="24"/>
          <w:szCs w:val="24"/>
        </w:rPr>
        <w:t xml:space="preserve">Finally, the manuscript is visibly unfinished in places: placeholder author names, a generic institutional affiliation, an example-domain email address, and a CRediT authorship statement left incomplete. The reproducibility package is referenced repeatedly but no repository URL or DOI is given, so the reader cannot currently reach it. None of these affects the science, but together they signal a draft that has not yet had a final editorial pass, and they are cheap to fix.</w:t>
      </w:r>
    </w:p>
    <w:p>
      <w:pPr>
        <w:pStyle w:val="Heading1"/>
        <w:spacing w:after="160" w:before="360" w:line="312"/>
        <w:jc w:val="center"/>
      </w:pPr>
      <w:bookmarkStart w:name="_Toc19" w:id="19"/>
      <w:r>
        <w:rPr>
          <w:rFonts w:ascii="Times New Roman" w:eastAsia="SimHei"/>
          <w:b/>
          <w:bCs/>
          <w:color w:val="0B1C2C"/>
          <w:sz w:val="32"/>
          <w:szCs w:val="32"/>
        </w:rPr>
        <w:t xml:space="preserve">5. Minor and Editorial Issues</w:t>
      </w:r>
      <w:bookmarkEnd w:id="19"/>
    </w:p>
    <w:p>
      <w:pPr>
        <w:spacing w:after="120" w:before="0" w:line="312"/>
        <w:jc w:val="left"/>
      </w:pPr>
      <w:r>
        <w:rPr>
          <w:rFonts w:ascii="Times New Roman" w:eastAsia="SimSun"/>
          <w:b w:val="false"/>
          <w:bCs w:val="false"/>
          <w:i w:val="false"/>
          <w:iCs w:val="false"/>
          <w:color w:val="000000"/>
          <w:sz w:val="24"/>
          <w:szCs w:val="24"/>
        </w:rPr>
        <w:t xml:space="preserve">The following items are editorial or small reporting fixes. They are listed in the order in which they appear in the manuscript, and none requires new analysis.</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Shorten the abstract to roughly 250 words and move the reliability qualifications (“subject to n = 20” and the per-field κ list) into the methods, where they are already reported in full.</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Delete the duplicated sentence in the reliability results of manuscript Section 5.6 (“A statistical artefact of rare events with high overall agreement…”).</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Reconcile the 62 journal articles of the venue sensitivity with the 67 of the corpus profile, or state explicitly that the sensitivity is restricted to full-text journal articles.</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Define the 469 denominator used for the 24/469 abstract-level figure, or remove the figure; as printed it supports no inference.</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Explain what “and its direction” means for the 17% full-text unobtainability rate, or delete the phrase.</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Add the search date or date range to the search strategy; PRISMA 2020 expects it and the threats-to-validity section lists its absence as a limitation.</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Provide a repository URL or DOI for the reproducibility package in the Data availability statement.</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In the inter-coder agreement table, visually mark fields with κ below 0.4 so readers can see at a glance which headline counts are least stable.</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Report Wilson intervals for the remaining headline proportions (twin role, lifecycle stage, threat-model explicitness), not only for AI-threat engagement.</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Disambiguate bracketed numerals: use a distinct notation (for example “R16”) for corpus record identifiers so they cannot be confused with numbered references.</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Confirm in one sentence, where the codebook revisions are listed, that revisions R2–R6 were applied retrospectively to all 100 records.</w:t>
      </w:r>
    </w:p>
    <w:p>
      <w:pPr>
        <w:pStyle w:val="Heading1"/>
        <w:spacing w:after="160" w:before="360" w:line="312"/>
        <w:jc w:val="center"/>
      </w:pPr>
      <w:bookmarkStart w:name="_Toc20" w:id="20"/>
      <w:r>
        <w:rPr>
          <w:rFonts w:ascii="Times New Roman" w:eastAsia="SimHei"/>
          <w:b/>
          <w:bCs/>
          <w:color w:val="0B1C2C"/>
          <w:sz w:val="32"/>
          <w:szCs w:val="32"/>
        </w:rPr>
        <w:t xml:space="preserve">6. Questions for the Authors</w:t>
      </w:r>
      <w:bookmarkEnd w:id="20"/>
    </w:p>
    <w:p>
      <w:pPr>
        <w:spacing w:after="120" w:before="0" w:line="312"/>
        <w:jc w:val="left"/>
      </w:pPr>
      <w:r>
        <w:rPr>
          <w:rFonts w:ascii="Times New Roman" w:eastAsia="SimSun"/>
          <w:b w:val="false"/>
          <w:bCs w:val="false"/>
          <w:i w:val="false"/>
          <w:iCs w:val="false"/>
          <w:color w:val="000000"/>
          <w:sz w:val="24"/>
          <w:szCs w:val="24"/>
        </w:rPr>
        <w:t xml:space="preserve">The following questions are addressed to the authors. Questions 1 and 2 are the most important: they concern the integrity of the probe defense and the reproducibility of the selection rule, on which several of this review's criticisms turn.</w:t>
      </w:r>
    </w:p>
    <w:p>
      <w:pPr>
        <w:pStyle w:val="ListParagraph"/>
        <w:numPr>
          <w:ilvl w:val="0"/>
          <w:numId w:val="3"/>
        </w:numPr>
        <w:spacing w:after="100" w:line="312"/>
        <w:jc w:val="left"/>
      </w:pPr>
      <w:r>
        <w:rPr>
          <w:rFonts w:ascii="Times New Roman" w:eastAsia="SimSun"/>
          <w:b w:val="false"/>
          <w:bCs w:val="false"/>
          <w:i w:val="false"/>
          <w:iCs w:val="false"/>
          <w:color w:val="000000"/>
          <w:sz w:val="24"/>
          <w:szCs w:val="24"/>
        </w:rPr>
        <w:t xml:space="preserve">How many of the retained 100 studies were retrieved only by the four adversarial-AI probes? If the answer is zero or near zero, the probe defense against retrieval bias does not hold in its current form.</w:t>
      </w:r>
    </w:p>
    <w:p>
      <w:pPr>
        <w:pStyle w:val="ListParagraph"/>
        <w:numPr>
          <w:ilvl w:val="0"/>
          <w:numId w:val="3"/>
        </w:numPr>
        <w:spacing w:after="100" w:line="312"/>
        <w:jc w:val="left"/>
      </w:pPr>
      <w:r>
        <w:rPr>
          <w:rFonts w:ascii="Times New Roman" w:eastAsia="SimSun"/>
          <w:b w:val="false"/>
          <w:bCs w:val="false"/>
          <w:i w:val="false"/>
          <w:iCs w:val="false"/>
          <w:color w:val="000000"/>
          <w:sz w:val="24"/>
          <w:szCs w:val="24"/>
        </w:rPr>
        <w:t xml:space="preserve">What is the exact formula and weighting of the relevance–citation–recency ranking behind the 492-to-100 cut, and was it fixed before screening?</w:t>
      </w:r>
    </w:p>
    <w:p>
      <w:pPr>
        <w:pStyle w:val="ListParagraph"/>
        <w:numPr>
          <w:ilvl w:val="0"/>
          <w:numId w:val="3"/>
        </w:numPr>
        <w:spacing w:after="100" w:line="312"/>
        <w:jc w:val="left"/>
      </w:pPr>
      <w:r>
        <w:rPr>
          <w:rFonts w:ascii="Times New Roman" w:eastAsia="SimSun"/>
          <w:b w:val="false"/>
          <w:bCs w:val="false"/>
          <w:i w:val="false"/>
          <w:iCs w:val="false"/>
          <w:color w:val="000000"/>
          <w:sz w:val="24"/>
          <w:szCs w:val="24"/>
        </w:rPr>
        <w:t xml:space="preserve">Were the roughly 700 probe records screened under the same rule as the 1,287 core records? The flow arithmetic (1,287 − 795 = 492) suggests they were not; please reconcile the numbers.</w:t>
      </w:r>
    </w:p>
    <w:p>
      <w:pPr>
        <w:pStyle w:val="ListParagraph"/>
        <w:numPr>
          <w:ilvl w:val="0"/>
          <w:numId w:val="3"/>
        </w:numPr>
        <w:spacing w:after="100" w:line="312"/>
        <w:jc w:val="left"/>
      </w:pPr>
      <w:r>
        <w:rPr>
          <w:rFonts w:ascii="Times New Roman" w:eastAsia="SimSun"/>
          <w:b w:val="false"/>
          <w:bCs w:val="false"/>
          <w:i w:val="false"/>
          <w:iCs w:val="false"/>
          <w:color w:val="000000"/>
          <w:sz w:val="24"/>
          <w:szCs w:val="24"/>
        </w:rPr>
        <w:t xml:space="preserve">What population does the 469 denominator denote in the abstract-level screening figure?</w:t>
      </w:r>
    </w:p>
    <w:p>
      <w:pPr>
        <w:pStyle w:val="ListParagraph"/>
        <w:numPr>
          <w:ilvl w:val="0"/>
          <w:numId w:val="3"/>
        </w:numPr>
        <w:spacing w:after="100" w:line="312"/>
        <w:jc w:val="left"/>
      </w:pPr>
      <w:r>
        <w:rPr>
          <w:rFonts w:ascii="Times New Roman" w:eastAsia="SimSun"/>
          <w:b w:val="false"/>
          <w:bCs w:val="false"/>
          <w:i w:val="false"/>
          <w:iCs w:val="false"/>
          <w:color w:val="000000"/>
          <w:sz w:val="24"/>
          <w:szCs w:val="24"/>
        </w:rPr>
        <w:t xml:space="preserve">Does “62 journal articles” mean the full-text journal articles — that is, 67 minus the abstract-only ones? Please state the restriction explicitly.</w:t>
      </w:r>
    </w:p>
    <w:p>
      <w:pPr>
        <w:pStyle w:val="ListParagraph"/>
        <w:numPr>
          <w:ilvl w:val="0"/>
          <w:numId w:val="3"/>
        </w:numPr>
        <w:spacing w:after="100" w:line="312"/>
        <w:jc w:val="left"/>
      </w:pPr>
      <w:r>
        <w:rPr>
          <w:rFonts w:ascii="Times New Roman" w:eastAsia="SimSun"/>
          <w:b w:val="false"/>
          <w:bCs w:val="false"/>
          <w:i w:val="false"/>
          <w:iCs w:val="false"/>
          <w:color w:val="000000"/>
          <w:sz w:val="24"/>
          <w:szCs w:val="24"/>
        </w:rPr>
        <w:t xml:space="preserve">Given the documented default-category bias toward “operation,” how confident are you in 66/83 as a point estimate rather than an upper bound, and would a blinded re-coding of lifecycle_stage be feasible?</w:t>
      </w:r>
    </w:p>
    <w:p>
      <w:pPr>
        <w:pStyle w:val="ListParagraph"/>
        <w:numPr>
          <w:ilvl w:val="0"/>
          <w:numId w:val="3"/>
        </w:numPr>
        <w:spacing w:after="100" w:line="312"/>
        <w:jc w:val="left"/>
      </w:pPr>
      <w:r>
        <w:rPr>
          <w:rFonts w:ascii="Times New Roman" w:eastAsia="SimSun"/>
          <w:b w:val="false"/>
          <w:bCs w:val="false"/>
          <w:i w:val="false"/>
          <w:iCs w:val="false"/>
          <w:color w:val="000000"/>
          <w:sz w:val="24"/>
          <w:szCs w:val="24"/>
        </w:rPr>
        <w:t xml:space="preserve">Under the looser “asset under protection” definition that the abstract leaves uncomputed, how many studies would qualify as treating the twin as attacked? Please compute the figure.</w:t>
      </w:r>
    </w:p>
    <w:p>
      <w:pPr>
        <w:pStyle w:val="ListParagraph"/>
        <w:numPr>
          <w:ilvl w:val="0"/>
          <w:numId w:val="3"/>
        </w:numPr>
        <w:spacing w:after="100" w:line="312"/>
        <w:jc w:val="left"/>
      </w:pPr>
      <w:r>
        <w:rPr>
          <w:rFonts w:ascii="Times New Roman" w:eastAsia="SimSun"/>
          <w:b w:val="false"/>
          <w:bCs w:val="false"/>
          <w:i w:val="false"/>
          <w:iCs w:val="false"/>
          <w:color w:val="000000"/>
          <w:sz w:val="24"/>
          <w:szCs w:val="24"/>
        </w:rPr>
        <w:t xml:space="preserve">Were any of the 45 studies dated 2026 still in press or preprint at retrieval, and how were version changes handled during coding?</w:t>
      </w:r>
    </w:p>
    <w:p>
      <w:pPr>
        <w:pStyle w:val="Heading1"/>
        <w:spacing w:after="160" w:before="360" w:line="312"/>
        <w:jc w:val="center"/>
      </w:pPr>
      <w:bookmarkStart w:name="_Toc21" w:id="21"/>
      <w:r>
        <w:rPr>
          <w:rFonts w:ascii="Times New Roman" w:eastAsia="SimHei"/>
          <w:b/>
          <w:bCs/>
          <w:color w:val="0B1C2C"/>
          <w:sz w:val="32"/>
          <w:szCs w:val="32"/>
        </w:rPr>
        <w:t xml:space="preserve">7. Recommendation and Revision Priorities</w:t>
      </w:r>
      <w:bookmarkEnd w:id="21"/>
    </w:p>
    <w:p>
      <w:pPr>
        <w:spacing w:after="120" w:before="0" w:line="312"/>
        <w:jc w:val="left"/>
      </w:pPr>
      <w:r>
        <w:rPr>
          <w:rFonts w:ascii="Times New Roman" w:eastAsia="SimSun"/>
          <w:b w:val="false"/>
          <w:bCs w:val="false"/>
          <w:i w:val="false"/>
          <w:iCs w:val="false"/>
          <w:color w:val="000000"/>
          <w:sz w:val="24"/>
          <w:szCs w:val="24"/>
        </w:rPr>
        <w:t xml:space="preserve">Recommendation: </w:t>
      </w:r>
      <w:r>
        <w:rPr>
          <w:rFonts w:ascii="Times New Roman" w:eastAsia="SimSun"/>
          <w:b/>
          <w:bCs/>
          <w:i w:val="false"/>
          <w:iCs w:val="false"/>
          <w:color w:val="000000"/>
          <w:sz w:val="24"/>
          <w:szCs w:val="24"/>
        </w:rPr>
        <w:t xml:space="preserve">major revision</w:t>
      </w:r>
      <w:r>
        <w:rPr>
          <w:rFonts w:ascii="Times New Roman" w:eastAsia="SimSun"/>
          <w:b w:val="false"/>
          <w:bCs w:val="false"/>
          <w:i w:val="false"/>
          <w:iCs w:val="false"/>
          <w:color w:val="000000"/>
          <w:sz w:val="24"/>
          <w:szCs w:val="24"/>
        </w:rPr>
        <w:t xml:space="preserve">. The manuscript's core contribution — the first grid-scale, corpus-published, reliability-bounded quantification of the defensive-versus-attack-side asymmetry in digital-twin security — is worth publishing, and its transparency sets a standard the field should imitate. The required repairs are reporting and accounting corrections plus modest re-coding, not new research; the revision is tractable. Table 3 sets out the priorities in order, mapped to the weaknesses identified in Section 4 of this report.</w:t>
      </w:r>
    </w:p>
    <w:p>
      <w:pPr>
        <w:keepNext/>
        <w:spacing w:after="100" w:before="160" w:line="312"/>
        <w:jc w:val="left"/>
      </w:pPr>
      <w:r>
        <w:rPr>
          <w:rFonts w:ascii="Times New Roman" w:eastAsia="SimHei"/>
          <w:b/>
          <w:bCs/>
          <w:color w:val="0B1C2C"/>
          <w:sz w:val="21"/>
          <w:szCs w:val="21"/>
        </w:rPr>
        <w:t xml:space="preserve">Table 3: Revision priorities</w:t>
      </w:r>
    </w:p>
    <w:tbl>
      <w:tblPr>
        <w:tblW w:type="pct" w:w="5000"/>
        <w:tblBorders>
          <w:top w:val="single" w:color="529286" w:sz="4"/>
          <w:left w:val="none" w:color="FFFFFF" w:sz="0"/>
          <w:bottom w:val="single" w:color="529286" w:sz="4"/>
          <w:right w:val="none" w:color="FFFFFF" w:sz="0"/>
          <w:insideH w:val="single" w:color="BECFCC" w:sz="1"/>
          <w:insideV w:val="none" w:color="FFFFFF" w:sz="0"/>
        </w:tblBorders>
      </w:tblPr>
      <w:tblGrid>
        <w:gridCol w:w="967"/>
        <w:gridCol w:w="5888"/>
        <w:gridCol w:w="1933"/>
      </w:tblGrid>
      <w:tr>
        <w:trPr>
          <w:cantSplit/>
          <w:tblHeader/>
        </w:trPr>
        <w:tc>
          <w:tcPr>
            <w:tcW w:type="pct" w:w="550"/>
            <w:shd w:fill="529286" w:val="clear"/>
            <w:tcMar>
              <w:top w:type="dxa" w:w="80"/>
              <w:left w:type="dxa" w:w="120"/>
              <w:bottom w:type="dxa" w:w="80"/>
              <w:right w:type="dxa" w:w="120"/>
            </w:tcMar>
          </w:tcPr>
          <w:p>
            <w:pPr>
              <w:spacing w:line="312"/>
              <w:jc w:val="left"/>
            </w:pPr>
            <w:r>
              <w:rPr>
                <w:rFonts w:ascii="Times New Roman" w:eastAsia="SimHei"/>
                <w:b/>
                <w:bCs/>
                <w:color w:val="FFFFFF"/>
                <w:sz w:val="21"/>
                <w:szCs w:val="21"/>
              </w:rPr>
              <w:t xml:space="preserve">Priority</w:t>
            </w:r>
          </w:p>
        </w:tc>
        <w:tc>
          <w:tcPr>
            <w:tcW w:type="pct" w:w="3350"/>
            <w:shd w:fill="529286" w:val="clear"/>
            <w:tcMar>
              <w:top w:type="dxa" w:w="80"/>
              <w:left w:type="dxa" w:w="120"/>
              <w:bottom w:type="dxa" w:w="80"/>
              <w:right w:type="dxa" w:w="120"/>
            </w:tcMar>
          </w:tcPr>
          <w:p>
            <w:pPr>
              <w:spacing w:line="312"/>
              <w:jc w:val="left"/>
            </w:pPr>
            <w:r>
              <w:rPr>
                <w:rFonts w:ascii="Times New Roman" w:eastAsia="SimHei"/>
                <w:b/>
                <w:bCs/>
                <w:color w:val="FFFFFF"/>
                <w:sz w:val="21"/>
                <w:szCs w:val="21"/>
              </w:rPr>
              <w:t xml:space="preserve">Required action</w:t>
            </w:r>
          </w:p>
        </w:tc>
        <w:tc>
          <w:tcPr>
            <w:tcW w:type="pct" w:w="1100"/>
            <w:shd w:fill="529286" w:val="clear"/>
            <w:tcMar>
              <w:top w:type="dxa" w:w="80"/>
              <w:left w:type="dxa" w:w="120"/>
              <w:bottom w:type="dxa" w:w="80"/>
              <w:right w:type="dxa" w:w="120"/>
            </w:tcMar>
          </w:tcPr>
          <w:p>
            <w:pPr>
              <w:spacing w:line="312"/>
              <w:jc w:val="left"/>
            </w:pPr>
            <w:r>
              <w:rPr>
                <w:rFonts w:ascii="Times New Roman" w:eastAsia="SimHei"/>
                <w:b/>
                <w:bCs/>
                <w:color w:val="FFFFFF"/>
                <w:sz w:val="21"/>
                <w:szCs w:val="21"/>
              </w:rPr>
              <w:t xml:space="preserve">Addresses</w:t>
            </w:r>
          </w:p>
        </w:tc>
      </w:tr>
      <w:tr>
        <w:trPr>
          <w:cantSplit/>
        </w:trPr>
        <w:tc>
          <w:tcPr>
            <w:tcW w:type="pct" w:w="550"/>
            <w:tcMar>
              <w:top w:type="dxa" w:w="60"/>
              <w:left w:type="dxa" w:w="120"/>
              <w:bottom w:type="dxa" w:w="60"/>
              <w:right w:type="dxa" w:w="120"/>
            </w:tcMar>
          </w:tcPr>
          <w:p>
            <w:pPr>
              <w:spacing w:line="312"/>
              <w:jc w:val="left"/>
            </w:pPr>
            <w:r>
              <w:rPr>
                <w:rFonts w:ascii="Times New Roman" w:eastAsia="SimSun"/>
                <w:color w:val="000000"/>
                <w:sz w:val="21"/>
                <w:szCs w:val="21"/>
              </w:rPr>
              <w:t xml:space="preserve">1</w:t>
            </w:r>
          </w:p>
        </w:tc>
        <w:tc>
          <w:tcPr>
            <w:tcW w:type="pct" w:w="3350"/>
            <w:tcMar>
              <w:top w:type="dxa" w:w="60"/>
              <w:left w:type="dxa" w:w="120"/>
              <w:bottom w:type="dxa" w:w="60"/>
              <w:right w:type="dxa" w:w="120"/>
            </w:tcMar>
          </w:tcPr>
          <w:p>
            <w:pPr>
              <w:spacing w:line="312"/>
              <w:jc w:val="left"/>
            </w:pPr>
            <w:r>
              <w:rPr>
                <w:rFonts w:ascii="Times New Roman" w:eastAsia="SimSun"/>
                <w:color w:val="000000"/>
                <w:sz w:val="21"/>
                <w:szCs w:val="21"/>
              </w:rPr>
              <w:t xml:space="preserve">Reconcile the PRISMA flow with the probe records: state how many of the roughly 2,000 candidates were screened, how many of the final 100 are probe-only, and what the 469 denominator denotes</w:t>
            </w:r>
          </w:p>
        </w:tc>
        <w:tc>
          <w:tcPr>
            <w:tcW w:type="pct" w:w="1100"/>
            <w:tcMar>
              <w:top w:type="dxa" w:w="60"/>
              <w:left w:type="dxa" w:w="120"/>
              <w:bottom w:type="dxa" w:w="60"/>
              <w:right w:type="dxa" w:w="120"/>
            </w:tcMar>
          </w:tcPr>
          <w:p>
            <w:pPr>
              <w:spacing w:line="312"/>
              <w:jc w:val="left"/>
            </w:pPr>
            <w:r>
              <w:rPr>
                <w:rFonts w:ascii="Times New Roman" w:eastAsia="SimSun"/>
                <w:color w:val="000000"/>
                <w:sz w:val="21"/>
                <w:szCs w:val="21"/>
              </w:rPr>
              <w:t xml:space="preserve">Weakness 4.2</w:t>
            </w:r>
          </w:p>
        </w:tc>
      </w:tr>
      <w:tr>
        <w:trPr>
          <w:cantSplit/>
        </w:trPr>
        <w:tc>
          <w:tcPr>
            <w:tcW w:type="pct" w:w="550"/>
            <w:tcMar>
              <w:top w:type="dxa" w:w="60"/>
              <w:left w:type="dxa" w:w="120"/>
              <w:bottom w:type="dxa" w:w="60"/>
              <w:right w:type="dxa" w:w="120"/>
            </w:tcMar>
          </w:tcPr>
          <w:p>
            <w:pPr>
              <w:spacing w:line="312"/>
              <w:jc w:val="left"/>
            </w:pPr>
            <w:r>
              <w:rPr>
                <w:rFonts w:ascii="Times New Roman" w:eastAsia="SimSun"/>
                <w:color w:val="000000"/>
                <w:sz w:val="21"/>
                <w:szCs w:val="21"/>
              </w:rPr>
              <w:t xml:space="preserve">2</w:t>
            </w:r>
          </w:p>
        </w:tc>
        <w:tc>
          <w:tcPr>
            <w:tcW w:type="pct" w:w="3350"/>
            <w:tcMar>
              <w:top w:type="dxa" w:w="60"/>
              <w:left w:type="dxa" w:w="120"/>
              <w:bottom w:type="dxa" w:w="60"/>
              <w:right w:type="dxa" w:w="120"/>
            </w:tcMar>
          </w:tcPr>
          <w:p>
            <w:pPr>
              <w:spacing w:line="312"/>
              <w:jc w:val="left"/>
            </w:pPr>
            <w:r>
              <w:rPr>
                <w:rFonts w:ascii="Times New Roman" w:eastAsia="SimSun"/>
                <w:color w:val="000000"/>
                <w:sz w:val="21"/>
                <w:szCs w:val="21"/>
              </w:rPr>
              <w:t xml:space="preserve">State the search dates and the exact relevance–citation–recency ranking; add a robustness check under an alternative selection (for example, all eligible 2020–2024 records)</w:t>
            </w:r>
          </w:p>
        </w:tc>
        <w:tc>
          <w:tcPr>
            <w:tcW w:type="pct" w:w="1100"/>
            <w:tcMar>
              <w:top w:type="dxa" w:w="60"/>
              <w:left w:type="dxa" w:w="120"/>
              <w:bottom w:type="dxa" w:w="60"/>
              <w:right w:type="dxa" w:w="120"/>
            </w:tcMar>
          </w:tcPr>
          <w:p>
            <w:pPr>
              <w:spacing w:line="312"/>
              <w:jc w:val="left"/>
            </w:pPr>
            <w:r>
              <w:rPr>
                <w:rFonts w:ascii="Times New Roman" w:eastAsia="SimSun"/>
                <w:color w:val="000000"/>
                <w:sz w:val="21"/>
                <w:szCs w:val="21"/>
              </w:rPr>
              <w:t xml:space="preserve">Weakness 4.1</w:t>
            </w:r>
          </w:p>
        </w:tc>
      </w:tr>
      <w:tr>
        <w:trPr>
          <w:cantSplit/>
        </w:trPr>
        <w:tc>
          <w:tcPr>
            <w:tcW w:type="pct" w:w="550"/>
            <w:tcMar>
              <w:top w:type="dxa" w:w="60"/>
              <w:left w:type="dxa" w:w="120"/>
              <w:bottom w:type="dxa" w:w="60"/>
              <w:right w:type="dxa" w:w="120"/>
            </w:tcMar>
          </w:tcPr>
          <w:p>
            <w:pPr>
              <w:spacing w:line="312"/>
              <w:jc w:val="left"/>
            </w:pPr>
            <w:r>
              <w:rPr>
                <w:rFonts w:ascii="Times New Roman" w:eastAsia="SimSun"/>
                <w:color w:val="000000"/>
                <w:sz w:val="21"/>
                <w:szCs w:val="21"/>
              </w:rPr>
              <w:t xml:space="preserve">3</w:t>
            </w:r>
          </w:p>
        </w:tc>
        <w:tc>
          <w:tcPr>
            <w:tcW w:type="pct" w:w="3350"/>
            <w:tcMar>
              <w:top w:type="dxa" w:w="60"/>
              <w:left w:type="dxa" w:w="120"/>
              <w:bottom w:type="dxa" w:w="60"/>
              <w:right w:type="dxa" w:w="120"/>
            </w:tcMar>
          </w:tcPr>
          <w:p>
            <w:pPr>
              <w:spacing w:line="312"/>
              <w:jc w:val="left"/>
            </w:pPr>
            <w:r>
              <w:rPr>
                <w:rFonts w:ascii="Times New Roman" w:eastAsia="SimSun"/>
                <w:color w:val="000000"/>
                <w:sz w:val="21"/>
                <w:szCs w:val="21"/>
              </w:rPr>
              <w:t xml:space="preserve">Re-code or bound lifecycle_stage with a blinded second pass, and carry the κ = 0.32 caveat wherever 66/83 is quoted, including the abstract and conclusion</w:t>
            </w:r>
          </w:p>
        </w:tc>
        <w:tc>
          <w:tcPr>
            <w:tcW w:type="pct" w:w="1100"/>
            <w:tcMar>
              <w:top w:type="dxa" w:w="60"/>
              <w:left w:type="dxa" w:w="120"/>
              <w:bottom w:type="dxa" w:w="60"/>
              <w:right w:type="dxa" w:w="120"/>
            </w:tcMar>
          </w:tcPr>
          <w:p>
            <w:pPr>
              <w:spacing w:line="312"/>
              <w:jc w:val="left"/>
            </w:pPr>
            <w:r>
              <w:rPr>
                <w:rFonts w:ascii="Times New Roman" w:eastAsia="SimSun"/>
                <w:color w:val="000000"/>
                <w:sz w:val="21"/>
                <w:szCs w:val="21"/>
              </w:rPr>
              <w:t xml:space="preserve">Weakness 4.3</w:t>
            </w:r>
          </w:p>
        </w:tc>
      </w:tr>
      <w:tr>
        <w:trPr>
          <w:cantSplit/>
        </w:trPr>
        <w:tc>
          <w:tcPr>
            <w:tcW w:type="pct" w:w="550"/>
            <w:tcMar>
              <w:top w:type="dxa" w:w="60"/>
              <w:left w:type="dxa" w:w="120"/>
              <w:bottom w:type="dxa" w:w="60"/>
              <w:right w:type="dxa" w:w="120"/>
            </w:tcMar>
          </w:tcPr>
          <w:p>
            <w:pPr>
              <w:spacing w:line="312"/>
              <w:jc w:val="left"/>
            </w:pPr>
            <w:r>
              <w:rPr>
                <w:rFonts w:ascii="Times New Roman" w:eastAsia="SimSun"/>
                <w:color w:val="000000"/>
                <w:sz w:val="21"/>
                <w:szCs w:val="21"/>
              </w:rPr>
              <w:t xml:space="preserve">4</w:t>
            </w:r>
          </w:p>
        </w:tc>
        <w:tc>
          <w:tcPr>
            <w:tcW w:type="pct" w:w="3350"/>
            <w:tcMar>
              <w:top w:type="dxa" w:w="60"/>
              <w:left w:type="dxa" w:w="120"/>
              <w:bottom w:type="dxa" w:w="60"/>
              <w:right w:type="dxa" w:w="120"/>
            </w:tcMar>
          </w:tcPr>
          <w:p>
            <w:pPr>
              <w:spacing w:line="312"/>
              <w:jc w:val="left"/>
            </w:pPr>
            <w:r>
              <w:rPr>
                <w:rFonts w:ascii="Times New Roman" w:eastAsia="SimSun"/>
                <w:color w:val="000000"/>
                <w:sz w:val="21"/>
                <w:szCs w:val="21"/>
              </w:rPr>
              <w:t xml:space="preserve">Compute the looser “asset under protection” twin-as-target count, and carry the vehicle-twin qualifier in abstract, highlights and conclusion alike</w:t>
            </w:r>
          </w:p>
        </w:tc>
        <w:tc>
          <w:tcPr>
            <w:tcW w:type="pct" w:w="1100"/>
            <w:tcMar>
              <w:top w:type="dxa" w:w="60"/>
              <w:left w:type="dxa" w:w="120"/>
              <w:bottom w:type="dxa" w:w="60"/>
              <w:right w:type="dxa" w:w="120"/>
            </w:tcMar>
          </w:tcPr>
          <w:p>
            <w:pPr>
              <w:spacing w:line="312"/>
              <w:jc w:val="left"/>
            </w:pPr>
            <w:r>
              <w:rPr>
                <w:rFonts w:ascii="Times New Roman" w:eastAsia="SimSun"/>
                <w:color w:val="000000"/>
                <w:sz w:val="21"/>
                <w:szCs w:val="21"/>
              </w:rPr>
              <w:t xml:space="preserve">Weakness 4.4</w:t>
            </w:r>
          </w:p>
        </w:tc>
      </w:tr>
      <w:tr>
        <w:trPr>
          <w:cantSplit/>
        </w:trPr>
        <w:tc>
          <w:tcPr>
            <w:tcW w:type="pct" w:w="550"/>
            <w:tcMar>
              <w:top w:type="dxa" w:w="60"/>
              <w:left w:type="dxa" w:w="120"/>
              <w:bottom w:type="dxa" w:w="60"/>
              <w:right w:type="dxa" w:w="120"/>
            </w:tcMar>
          </w:tcPr>
          <w:p>
            <w:pPr>
              <w:spacing w:line="312"/>
              <w:jc w:val="left"/>
            </w:pPr>
            <w:r>
              <w:rPr>
                <w:rFonts w:ascii="Times New Roman" w:eastAsia="SimSun"/>
                <w:color w:val="000000"/>
                <w:sz w:val="21"/>
                <w:szCs w:val="21"/>
              </w:rPr>
              <w:t xml:space="preserve">5</w:t>
            </w:r>
          </w:p>
        </w:tc>
        <w:tc>
          <w:tcPr>
            <w:tcW w:type="pct" w:w="3350"/>
            <w:tcMar>
              <w:top w:type="dxa" w:w="60"/>
              <w:left w:type="dxa" w:w="120"/>
              <w:bottom w:type="dxa" w:w="60"/>
              <w:right w:type="dxa" w:w="120"/>
            </w:tcMar>
          </w:tcPr>
          <w:p>
            <w:pPr>
              <w:spacing w:line="312"/>
              <w:jc w:val="left"/>
            </w:pPr>
            <w:r>
              <w:rPr>
                <w:rFonts w:ascii="Times New Roman" w:eastAsia="SimSun"/>
                <w:color w:val="000000"/>
                <w:sz w:val="21"/>
                <w:szCs w:val="21"/>
              </w:rPr>
              <w:t xml:space="preserve">Reframe “PRISMA 2020-style” and “theory-testing” to what the design supports: a structured review of a purposive sample, reporting a descriptive quantification</w:t>
            </w:r>
          </w:p>
        </w:tc>
        <w:tc>
          <w:tcPr>
            <w:tcW w:type="pct" w:w="1100"/>
            <w:tcMar>
              <w:top w:type="dxa" w:w="60"/>
              <w:left w:type="dxa" w:w="120"/>
              <w:bottom w:type="dxa" w:w="60"/>
              <w:right w:type="dxa" w:w="120"/>
            </w:tcMar>
          </w:tcPr>
          <w:p>
            <w:pPr>
              <w:spacing w:line="312"/>
              <w:jc w:val="left"/>
            </w:pPr>
            <w:r>
              <w:rPr>
                <w:rFonts w:ascii="Times New Roman" w:eastAsia="SimSun"/>
                <w:color w:val="000000"/>
                <w:sz w:val="21"/>
                <w:szCs w:val="21"/>
              </w:rPr>
              <w:t xml:space="preserve">Weaknesses 4.5, 4.6</w:t>
            </w:r>
          </w:p>
        </w:tc>
      </w:tr>
      <w:tr>
        <w:trPr>
          <w:cantSplit/>
        </w:trPr>
        <w:tc>
          <w:tcPr>
            <w:tcW w:type="pct" w:w="550"/>
            <w:tcMar>
              <w:top w:type="dxa" w:w="60"/>
              <w:left w:type="dxa" w:w="120"/>
              <w:bottom w:type="dxa" w:w="60"/>
              <w:right w:type="dxa" w:w="120"/>
            </w:tcMar>
          </w:tcPr>
          <w:p>
            <w:pPr>
              <w:spacing w:line="312"/>
              <w:jc w:val="left"/>
            </w:pPr>
            <w:r>
              <w:rPr>
                <w:rFonts w:ascii="Times New Roman" w:eastAsia="SimSun"/>
                <w:color w:val="000000"/>
                <w:sz w:val="21"/>
                <w:szCs w:val="21"/>
              </w:rPr>
              <w:t xml:space="preserve">6</w:t>
            </w:r>
          </w:p>
        </w:tc>
        <w:tc>
          <w:tcPr>
            <w:tcW w:type="pct" w:w="3350"/>
            <w:tcMar>
              <w:top w:type="dxa" w:w="60"/>
              <w:left w:type="dxa" w:w="120"/>
              <w:bottom w:type="dxa" w:w="60"/>
              <w:right w:type="dxa" w:w="120"/>
            </w:tcMar>
          </w:tcPr>
          <w:p>
            <w:pPr>
              <w:spacing w:line="312"/>
              <w:jc w:val="left"/>
            </w:pPr>
            <w:r>
              <w:rPr>
                <w:rFonts w:ascii="Times New Roman" w:eastAsia="SimSun"/>
                <w:color w:val="000000"/>
                <w:sz w:val="21"/>
                <w:szCs w:val="21"/>
              </w:rPr>
              <w:t xml:space="preserve">Editorial pass: duplicated sentence, 62 vs 67 reconciliation, abstract length, dual vocabularies, corpus-ID notation, and a repository URL for the reproducibility package</w:t>
            </w:r>
          </w:p>
        </w:tc>
        <w:tc>
          <w:tcPr>
            <w:tcW w:type="pct" w:w="1100"/>
            <w:tcMar>
              <w:top w:type="dxa" w:w="60"/>
              <w:left w:type="dxa" w:w="120"/>
              <w:bottom w:type="dxa" w:w="60"/>
              <w:right w:type="dxa" w:w="120"/>
            </w:tcMar>
          </w:tcPr>
          <w:p>
            <w:pPr>
              <w:spacing w:line="312"/>
              <w:jc w:val="left"/>
            </w:pPr>
            <w:r>
              <w:rPr>
                <w:rFonts w:ascii="Times New Roman" w:eastAsia="SimSun"/>
                <w:color w:val="000000"/>
                <w:sz w:val="21"/>
                <w:szCs w:val="21"/>
              </w:rPr>
              <w:t xml:space="preserve">Weakness 4.7</w:t>
            </w:r>
          </w:p>
        </w:tc>
      </w:tr>
    </w:tbl>
    <w:p>
      <w:pPr>
        <w:spacing w:after="120" w:before="160" w:line="312"/>
        <w:jc w:val="left"/>
      </w:pPr>
      <w:r>
        <w:rPr>
          <w:rFonts w:ascii="Times New Roman" w:eastAsia="SimSun"/>
          <w:b w:val="false"/>
          <w:bCs w:val="false"/>
          <w:i w:val="false"/>
          <w:iCs w:val="false"/>
          <w:color w:val="000000"/>
          <w:sz w:val="24"/>
          <w:szCs w:val="24"/>
        </w:rPr>
        <w:t xml:space="preserve">Two closing observations. First, the authors' instinct to disclose rather than hide fragile numbers is the manuscript's greatest asset; the revision should extend that instinct to the selection stage, which is currently the least transparent part of the pipeline. Second, the most valuable single addition would be an answer to Question 1: if the adversarial probes did surface attack-side records that the ranking then discarded, the asymmetry story becomes more complicated — and more interesting — than the present draft allows, and the review will be stronger for having quantified it. The direction of the finding is credible; with the accounting repaired, its magnitude can become quotable too.</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12"/>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12"/>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312"/>
      <w:jc w:val="center"/>
    </w:pPr>
    <w:r>
      <w:rPr>
        <w:rFonts w:ascii="Times New Roman" w:eastAsia="SimSun"/>
        <w:color w:val="808080"/>
        <w:sz w:val="18"/>
        <w:szCs w:val="18"/>
      </w:rPr>
      <w:t xml:space="preserve">Peer Review Report — Digital Twins for Cyber-Resilient Power Grids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0B1C2C"/>
      <w:sz w:val="32"/>
      <w:szCs w:val="32"/>
    </w:rPr>
  </w:style>
  <w:style w:type="paragraph" w:styleId="Heading2">
    <w:name w:val="Heading 2"/>
    <w:basedOn w:val="Normal"/>
    <w:next w:val="Normal"/>
    <w:qFormat/>
    <w:pPr>
      <w:spacing w:after="120" w:before="240" w:line="312"/>
      <w:outlineLvl w:val="1"/>
    </w:pPr>
    <w:rPr>
      <w:rFonts w:ascii="Times New Roman" w:eastAsia="SimHei"/>
      <w:b/>
      <w:bCs/>
      <w:color w:val="0B1C2C"/>
      <w:sz w:val="30"/>
      <w:szCs w:val="30"/>
    </w:rPr>
  </w:style>
  <w:style w:type="paragraph" w:styleId="Heading3">
    <w:name w:val="Heading 3"/>
    <w:basedOn w:val="Normal"/>
    <w:next w:val="Normal"/>
    <w:qFormat/>
    <w:pPr>
      <w:spacing w:after="100" w:before="200" w:line="312"/>
      <w:outlineLvl w:val="2"/>
    </w:pPr>
    <w:rPr>
      <w:rFonts w:ascii="Times New Roman" w:eastAsia="SimHei"/>
      <w:b/>
      <w:bCs/>
      <w:color w:val="0B1C2C"/>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 Review Report - Digital Twins for Cyber-Resilient Power Grids</dc:title>
  <dc:creator>Peer Reviewer</dc:creator>
  <dc:description>Peer review of a systematic review manuscript on digital twins for power-grid cybersecurity</dc:description>
  <cp:lastModifiedBy>Un-named</cp:lastModifiedBy>
  <cp:revision>1</cp:revision>
  <dcterms:created xsi:type="dcterms:W3CDTF">2026-10-16T13:41:05.801Z</dcterms:created>
  <dcterms:modified xsi:type="dcterms:W3CDTF">2026-10-16T13:41:05.802Z</dcterms:modified>
</cp:coreProperties>
</file>

<file path=docProps/custom.xml><?xml version="1.0" encoding="utf-8"?>
<Properties xmlns="http://schemas.openxmlformats.org/officeDocument/2006/custom-properties" xmlns:vt="http://schemas.openxmlformats.org/officeDocument/2006/docPropsVTypes"/>
</file>