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448"/>
            </w:pPr>
          </w:p>
          <w:p>
            <w:pPr>
              <w:pBdr>
                <w:bottom w:val="single" w:color="529286" w:sz="6" w:space="8"/>
              </w:pBdr>
              <w:spacing w:after="500"/>
              <w:ind w:left="1200" w:right="800"/>
            </w:pPr>
            <w:r>
              <w:rPr>
                <w:rFonts w:ascii="Calibri" w:eastAsia="SimHei"/>
                <w:color w:val="529286"/>
                <w:spacing w:val="40"/>
                <w:sz w:val="18"/>
                <w:szCs w:val="18"/>
              </w:rPr>
              <w:t xml:space="preserve">M  A  N  U  S  C  R  I  P  T     R  E  -  R  E  V  I  E  W</w:t>
            </w:r>
          </w:p>
          <w:p>
            <w:pPr>
              <w:spacing w:after="300" w:line="920" w:lineRule="atLeast"/>
              <w:ind w:left="1200"/>
            </w:pPr>
            <w:r>
              <w:rPr>
                <w:rFonts w:ascii="Arial" w:eastAsia="SimHei"/>
                <w:b/>
                <w:bCs/>
                <w:color w:val="FFFFFF"/>
                <w:sz w:val="80"/>
                <w:szCs w:val="80"/>
              </w:rPr>
              <w:t xml:space="preserve">Peer Review Report</w:t>
            </w:r>
          </w:p>
          <w:p>
            <w:pPr>
              <w:spacing w:after="800"/>
              <w:ind w:left="1200"/>
            </w:pPr>
            <w:r>
              <w:rPr>
                <w:rFonts w:ascii="Arial" w:eastAsia="Microsoft YaHei"/>
                <w:color w:val="B0B8C0"/>
                <w:sz w:val="24"/>
                <w:szCs w:val="24"/>
              </w:rPr>
              <w:t xml:space="preserve">Second-round review of the revised manuscript</w:t>
            </w:r>
          </w:p>
          <w:p>
            <w:pPr>
              <w:pBdr>
                <w:left w:val="single" w:color="529286" w:sz="8" w:space="12"/>
              </w:pBdr>
              <w:spacing w:after="80"/>
              <w:ind w:left="1400"/>
            </w:pPr>
            <w:r>
              <w:rPr>
                <w:rFonts w:ascii="Arial" w:eastAsia="Microsoft YaHei"/>
                <w:color w:val="90989F"/>
                <w:sz w:val="24"/>
                <w:szCs w:val="24"/>
              </w:rPr>
              <w:t xml:space="preserve">Manuscript: Digital Twins for Cyber-Resilient Power Grids</w:t>
            </w:r>
          </w:p>
          <w:p>
            <w:pPr>
              <w:pBdr>
                <w:left w:val="single" w:color="529286" w:sz="8" w:space="12"/>
              </w:pBdr>
              <w:spacing w:after="80"/>
              <w:ind w:left="1400"/>
            </w:pPr>
            <w:r>
              <w:rPr>
                <w:rFonts w:ascii="Arial" w:eastAsia="Microsoft YaHei"/>
                <w:color w:val="90989F"/>
                <w:sz w:val="24"/>
                <w:szCs w:val="24"/>
              </w:rPr>
              <w:t xml:space="preserve">A Systematic Review and a Research Agenda for the AI-Powered Era</w:t>
            </w:r>
          </w:p>
          <w:p>
            <w:pPr>
              <w:pBdr>
                <w:left w:val="single" w:color="529286" w:sz="8" w:space="12"/>
              </w:pBdr>
              <w:spacing w:after="80"/>
              <w:ind w:left="1400"/>
            </w:pPr>
            <w:r>
              <w:rPr>
                <w:rFonts w:ascii="Arial" w:eastAsia="Microsoft YaHei"/>
                <w:color w:val="90989F"/>
                <w:sz w:val="24"/>
                <w:szCs w:val="24"/>
              </w:rPr>
              <w:t xml:space="preserve">Review round: Second (revised manuscript)</w:t>
            </w:r>
          </w:p>
          <w:p>
            <w:pPr>
              <w:pBdr>
                <w:left w:val="single" w:color="529286" w:sz="8" w:space="12"/>
              </w:pBdr>
              <w:spacing w:after="80"/>
              <w:ind w:left="1400"/>
            </w:pPr>
            <w:r>
              <w:rPr>
                <w:rFonts w:ascii="Arial" w:eastAsia="Microsoft YaHei"/>
                <w:color w:val="90989F"/>
                <w:sz w:val="24"/>
                <w:szCs w:val="24"/>
              </w:rPr>
              <w:t xml:space="preserve">Review completed: 16 October 2026</w:t>
            </w:r>
          </w:p>
          <w:p>
            <w:pPr>
              <w:pBdr>
                <w:left w:val="single" w:color="529286" w:sz="8" w:space="12"/>
              </w:pBdr>
              <w:spacing w:after="80"/>
              <w:ind w:left="1400"/>
            </w:pPr>
            <w:r>
              <w:rPr>
                <w:rFonts w:ascii="Arial" w:eastAsia="Microsoft YaHei"/>
                <w:color w:val="90989F"/>
                <w:sz w:val="24"/>
                <w:szCs w:val="24"/>
              </w:rPr>
              <w:t xml:space="preserve">Recommendation: Major revision (second round)</w:t>
            </w:r>
          </w:p>
          <w:p>
            <w:pPr>
              <w:spacing w:before="4448"/>
            </w:pPr>
          </w:p>
          <w:p>
            <w:pPr>
              <w:pBdr>
                <w:top w:val="single" w:color="529286" w:sz="2" w:space="8"/>
              </w:pBdr>
              <w:spacing w:before="200"/>
              <w:ind w:left="1200" w:right="800"/>
            </w:pPr>
            <w:r>
              <w:rPr>
                <w:rFonts w:ascii="Arial"/>
                <w:color w:val="687078"/>
                <w:sz w:val="16"/>
                <w:szCs w:val="16"/>
              </w:rPr>
              <w:t xml:space="preserve">Peer review report — round 2</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line="480" w:lineRule="atLeast"/>
        <w:jc w:val="center"/>
      </w:pPr>
      <w:r>
        <w:rPr>
          <w:rFonts w:ascii="Times New Roman" w:eastAsia="SimHei"/>
          <w:b/>
          <w:bCs/>
          <w:color w:val="0B1C2C"/>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p>
        <w:p>
          <w:pPr>
            <w:pStyle w:val="9"/>
            <w:tabs>
              <w:tab w:val="right" w:leader="dot" w:pos="9026"/>
            </w:tabs>
            <w:spacing w:before="120" w:after="60"/>
          </w:pPr>
          <w:r>
            <w:t>Executive Summary</w:t>
          </w:r>
          <w:r>
            <w:tab/>
          </w:r>
          <w:r>
            <w:t>1</w:t>
          </w:r>
        </w:p>
        <w:p>
          <w:pPr>
            <w:pStyle w:val="9"/>
            <w:tabs>
              <w:tab w:val="right" w:leader="dot" w:pos="9026"/>
            </w:tabs>
            <w:spacing w:before="120" w:after="60"/>
          </w:pPr>
          <w:r>
            <w:t>1. Manuscript Overview</w:t>
          </w:r>
          <w:r>
            <w:tab/>
          </w:r>
          <w:r>
            <w:t>2</w:t>
          </w:r>
        </w:p>
        <w:p>
          <w:pPr>
            <w:pStyle w:val="9"/>
            <w:tabs>
              <w:tab w:val="right" w:leader="dot" w:pos="9026"/>
            </w:tabs>
            <w:spacing w:before="120" w:after="60"/>
          </w:pPr>
          <w:r>
            <w:t>2. What the Revision Changes</w:t>
          </w:r>
          <w:r>
            <w:tab/>
          </w:r>
          <w:r>
            <w:t>2</w:t>
          </w:r>
        </w:p>
        <w:p>
          <w:pPr>
            <w:pStyle w:val="11"/>
            <w:ind w:left="360"/>
            <w:tabs>
              <w:tab w:val="right" w:leader="dot" w:pos="9026"/>
            </w:tabs>
            <w:spacing w:before="120" w:after="60"/>
          </w:pPr>
          <w:r>
            <w:t>2.1 Genuine improvements worth crediting</w:t>
          </w:r>
          <w:r>
            <w:tab/>
          </w:r>
          <w:r>
            <w:t>3</w:t>
          </w:r>
        </w:p>
        <w:p>
          <w:pPr>
            <w:pStyle w:val="11"/>
            <w:ind w:left="360"/>
            <w:tabs>
              <w:tab w:val="right" w:leader="dot" w:pos="9026"/>
            </w:tabs>
            <w:spacing w:before="120" w:after="60"/>
          </w:pPr>
          <w:r>
            <w:t>2.2 Defects introduced or propagated by the revision</w:t>
          </w:r>
          <w:r>
            <w:tab/>
          </w:r>
          <w:r>
            <w:t>3</w:t>
          </w:r>
        </w:p>
        <w:p>
          <w:pPr>
            <w:pStyle w:val="9"/>
            <w:tabs>
              <w:tab w:val="right" w:leader="dot" w:pos="9026"/>
            </w:tabs>
            <w:spacing w:before="120" w:after="60"/>
          </w:pPr>
          <w:r>
            <w:t>3. Overall Assessment</w:t>
          </w:r>
          <w:r>
            <w:tab/>
          </w:r>
          <w:r>
            <w:t>3</w:t>
          </w:r>
        </w:p>
        <w:p>
          <w:pPr>
            <w:pStyle w:val="9"/>
            <w:tabs>
              <w:tab w:val="right" w:leader="dot" w:pos="9026"/>
            </w:tabs>
            <w:spacing w:before="120" w:after="60"/>
          </w:pPr>
          <w:r>
            <w:t>4. Key Strengths</w:t>
          </w:r>
          <w:r>
            <w:tab/>
          </w:r>
          <w:r>
            <w:t>4</w:t>
          </w:r>
        </w:p>
        <w:p>
          <w:pPr>
            <w:pStyle w:val="11"/>
            <w:ind w:left="360"/>
            <w:tabs>
              <w:tab w:val="right" w:leader="dot" w:pos="9026"/>
            </w:tabs>
            <w:spacing w:before="120" w:after="60"/>
          </w:pPr>
          <w:r>
            <w:t>4.1 Unusual methodological transparency, now extended by the revision</w:t>
          </w:r>
          <w:r>
            <w:tab/>
          </w:r>
          <w:r>
            <w:t>4</w:t>
          </w:r>
        </w:p>
        <w:p>
          <w:pPr>
            <w:pStyle w:val="11"/>
            <w:ind w:left="360"/>
            <w:tabs>
              <w:tab w:val="right" w:leader="dot" w:pos="9026"/>
            </w:tabs>
            <w:spacing w:before="120" w:after="60"/>
          </w:pPr>
          <w:r>
            <w:t>4.2 The headline finding is actively defended against retrieval bias</w:t>
          </w:r>
          <w:r>
            <w:tab/>
          </w:r>
          <w:r>
            <w:t>5</w:t>
          </w:r>
        </w:p>
        <w:p>
          <w:pPr>
            <w:pStyle w:val="11"/>
            <w:ind w:left="360"/>
            <w:tabs>
              <w:tab w:val="right" w:leader="dot" w:pos="9026"/>
            </w:tabs>
            <w:spacing w:before="120" w:after="60"/>
          </w:pPr>
          <w:r>
            <w:t>4.3 Precise and generous positioning against the closest prior review</w:t>
          </w:r>
          <w:r>
            <w:tab/>
          </w:r>
          <w:r>
            <w:t>5</w:t>
          </w:r>
        </w:p>
        <w:p>
          <w:pPr>
            <w:pStyle w:val="11"/>
            <w:ind w:left="360"/>
            <w:tabs>
              <w:tab w:val="right" w:leader="dot" w:pos="9026"/>
            </w:tabs>
            <w:spacing w:before="120" w:after="60"/>
          </w:pPr>
          <w:r>
            <w:t>4.4 The quantitative reporting remains internally consistent and independently checkable</w:t>
          </w:r>
          <w:r>
            <w:tab/>
          </w:r>
          <w:r>
            <w:t>5</w:t>
          </w:r>
        </w:p>
        <w:p>
          <w:pPr>
            <w:pStyle w:val="11"/>
            <w:ind w:left="360"/>
            <w:tabs>
              <w:tab w:val="right" w:leader="dot" w:pos="9026"/>
            </w:tabs>
            <w:spacing w:before="120" w:after="60"/>
          </w:pPr>
          <w:r>
            <w:t>4.5 A research agenda that is genuinely testable</w:t>
          </w:r>
          <w:r>
            <w:tab/>
          </w:r>
          <w:r>
            <w:t>5</w:t>
          </w:r>
        </w:p>
        <w:p>
          <w:pPr>
            <w:pStyle w:val="11"/>
            <w:ind w:left="360"/>
            <w:tabs>
              <w:tab w:val="right" w:leader="dot" w:pos="9026"/>
            </w:tabs>
            <w:spacing w:before="120" w:after="60"/>
          </w:pPr>
          <w:r>
            <w:t>4.6 Disciplined scope handling, now with explicit denominator management</w:t>
          </w:r>
          <w:r>
            <w:tab/>
          </w:r>
          <w:r>
            <w:t>6</w:t>
          </w:r>
        </w:p>
        <w:p>
          <w:pPr>
            <w:pStyle w:val="9"/>
            <w:tabs>
              <w:tab w:val="right" w:leader="dot" w:pos="9026"/>
            </w:tabs>
            <w:spacing w:before="120" w:after="60"/>
          </w:pPr>
          <w:r>
            <w:t>5. Key Weaknesses</w:t>
          </w:r>
          <w:r>
            <w:tab/>
          </w:r>
          <w:r>
            <w:t>6</w:t>
          </w:r>
        </w:p>
        <w:p>
          <w:pPr>
            <w:pStyle w:val="11"/>
            <w:ind w:left="360"/>
            <w:tabs>
              <w:tab w:val="right" w:leader="dot" w:pos="9026"/>
            </w:tabs>
            <w:spacing w:before="120" w:after="60"/>
          </w:pPr>
          <w:r>
            <w:t>5.1 The non-probabilistic, recency-weighted selection still weakens the systematic-review claim</w:t>
          </w:r>
          <w:r>
            <w:tab/>
          </w:r>
          <w:r>
            <w:t>6</w:t>
          </w:r>
        </w:p>
        <w:p>
          <w:pPr>
            <w:pStyle w:val="11"/>
            <w:ind w:left="360"/>
            <w:tabs>
              <w:tab w:val="right" w:leader="dot" w:pos="9026"/>
            </w:tabs>
            <w:spacing w:before="120" w:after="60"/>
          </w:pPr>
          <w:r>
            <w:t>5.2 Probe accounting and the 469 denominator remain unreconciled</w:t>
          </w:r>
          <w:r>
            <w:tab/>
          </w:r>
          <w:r>
            <w:t>6</w:t>
          </w:r>
        </w:p>
        <w:p>
          <w:pPr>
            <w:pStyle w:val="11"/>
            <w:ind w:left="360"/>
            <w:tabs>
              <w:tab w:val="right" w:leader="dot" w:pos="9026"/>
            </w:tabs>
            <w:spacing w:before="120" w:after="60"/>
          </w:pPr>
          <w:r>
            <w:t>5.3 Headline fields still carry moderate reliability, and the adjudication design still amplifies it</w:t>
          </w:r>
          <w:r>
            <w:tab/>
          </w:r>
          <w:r>
            <w:t>7</w:t>
          </w:r>
        </w:p>
        <w:p>
          <w:pPr>
            <w:pStyle w:val="11"/>
            <w:ind w:left="360"/>
            <w:tabs>
              <w:tab w:val="right" w:leader="dot" w:pos="9026"/>
            </w:tabs>
            <w:spacing w:before="120" w:after="60"/>
          </w:pPr>
          <w:r>
            <w:t>5.4 The one-study twin-as-target headline remains partly definitional — and the revision removed an acknowledgment</w:t>
          </w:r>
          <w:r>
            <w:tab/>
          </w:r>
          <w:r>
            <w:t>7</w:t>
          </w:r>
        </w:p>
        <w:p>
          <w:pPr>
            <w:pStyle w:val="11"/>
            <w:ind w:left="360"/>
            <w:tabs>
              <w:tab w:val="right" w:leader="dot" w:pos="9026"/>
            </w:tabs>
            <w:spacing w:before="120" w:after="60"/>
          </w:pPr>
          <w:r>
            <w:t>5.5 Protocol compliance and the theory-testing framing are unchanged</w:t>
          </w:r>
          <w:r>
            <w:tab/>
          </w:r>
          <w:r>
            <w:t>7</w:t>
          </w:r>
        </w:p>
        <w:p>
          <w:pPr>
            <w:pStyle w:val="11"/>
            <w:ind w:left="360"/>
            <w:tabs>
              <w:tab w:val="right" w:leader="dot" w:pos="9026"/>
            </w:tabs>
            <w:spacing w:before="120" w:after="60"/>
          </w:pPr>
          <w:r>
            <w:t>5.6 The revision’s own editorial quality: new defects alongside unfixed old ones</w:t>
          </w:r>
          <w:r>
            <w:tab/>
          </w:r>
          <w:r>
            <w:t>7</w:t>
          </w:r>
        </w:p>
        <w:p>
          <w:pPr>
            <w:pStyle w:val="9"/>
            <w:tabs>
              <w:tab w:val="right" w:leader="dot" w:pos="9026"/>
            </w:tabs>
            <w:spacing w:before="120" w:after="60"/>
          </w:pPr>
          <w:r>
            <w:t>6. Minor and Editorial Issues</w:t>
          </w:r>
          <w:r>
            <w:tab/>
          </w:r>
          <w:r>
            <w:t>8</w:t>
          </w:r>
        </w:p>
        <w:p>
          <w:pPr>
            <w:pStyle w:val="9"/>
            <w:tabs>
              <w:tab w:val="right" w:leader="dot" w:pos="9026"/>
            </w:tabs>
            <w:spacing w:before="120" w:after="60"/>
          </w:pPr>
          <w:r>
            <w:t>7. Questions for the Authors</w:t>
          </w:r>
          <w:r>
            <w:tab/>
          </w:r>
          <w:r>
            <w:t>10</w:t>
          </w:r>
        </w:p>
        <w:p>
          <w:pPr>
            <w:pStyle w:val="9"/>
            <w:tabs>
              <w:tab w:val="right" w:leader="dot" w:pos="9026"/>
            </w:tabs>
            <w:spacing w:before="120" w:after="60"/>
          </w:pPr>
          <w:r>
            <w:t>8. Recommendation and Revision Priorities</w:t>
          </w:r>
          <w:r>
            <w:tab/>
          </w:r>
          <w:r>
            <w:t>11</w:t>
          </w:r>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12"/>
        <w:jc w:val="center"/>
      </w:pPr>
      <w:bookmarkStart w:name="_Toc1" w:id="1"/>
      <w:r>
        <w:rPr>
          <w:rFonts w:ascii="Times New Roman" w:eastAsia="SimHei"/>
          <w:b/>
          <w:bCs/>
          <w:color w:val="0B1C2C"/>
          <w:sz w:val="32"/>
          <w:szCs w:val="32"/>
        </w:rPr>
        <w:t xml:space="preserve">Executive Summary</w:t>
      </w:r>
      <w:bookmarkEnd w:id="1"/>
    </w:p>
    <w:p>
      <w:pPr>
        <w:spacing w:after="120" w:before="0" w:line="312"/>
        <w:jc w:val="left"/>
      </w:pPr>
      <w:r>
        <w:rPr>
          <w:rFonts w:ascii="Times New Roman" w:eastAsia="SimSun"/>
          <w:b w:val="false"/>
          <w:bCs w:val="false"/>
          <w:i w:val="false"/>
          <w:iCs w:val="false"/>
          <w:color w:val="000000"/>
          <w:sz w:val="24"/>
          <w:szCs w:val="24"/>
        </w:rPr>
        <w:t xml:space="preserve">This report is the second-round review of </w:t>
      </w:r>
      <w:r>
        <w:rPr>
          <w:rFonts w:ascii="Times New Roman" w:eastAsia="SimSun"/>
          <w:b w:val="false"/>
          <w:bCs w:val="false"/>
          <w:i/>
          <w:iCs/>
          <w:color w:val="000000"/>
          <w:sz w:val="24"/>
          <w:szCs w:val="24"/>
        </w:rPr>
        <w:t xml:space="preserve">“Digital Twins for Cyber-Resilient Power Grids: A Systematic Review and a Research Agenda for the AI-Powered Era.”</w:t>
      </w:r>
      <w:r>
        <w:rPr>
          <w:rFonts w:ascii="Times New Roman" w:eastAsia="SimSun"/>
          <w:b w:val="false"/>
          <w:bCs w:val="false"/>
          <w:i w:val="false"/>
          <w:iCs w:val="false"/>
          <w:color w:val="000000"/>
          <w:sz w:val="24"/>
          <w:szCs w:val="24"/>
        </w:rPr>
        <w:t xml:space="preserve"> The first round recommended major revision and set out six priorities: reconciliation of the PRISMA flow with the adversarial-AI probe records, disclosure of the selection rule, re-coding or bounding of the lifecycle field, computation of a looser twin-as-target definition, reframing of the systematic-review and theory-testing claims, and an editorial pass. The authors have returned a revised manuscript. Its scientific content — corpus, coding, results, discussion and agenda — is essentially unchanged; the revision operates almost entirely at the level of presentation.</w:t>
      </w:r>
    </w:p>
    <w:p>
      <w:pPr>
        <w:spacing w:after="120" w:before="0" w:line="312"/>
        <w:jc w:val="left"/>
      </w:pPr>
      <w:r>
        <w:rPr>
          <w:rFonts w:ascii="Times New Roman" w:eastAsia="SimSun"/>
          <w:b w:val="false"/>
          <w:bCs w:val="false"/>
          <w:i w:val="false"/>
          <w:iCs w:val="false"/>
          <w:color w:val="000000"/>
          <w:sz w:val="24"/>
          <w:szCs w:val="24"/>
        </w:rPr>
        <w:t xml:space="preserve">What the revision does, it partly does well. The abstract has been halved in length and freed of methods statistics; a new Section 5.1 (“Which denominator supports which claim”) binds each headline figure to its denominator in a dedicated table; a terminology note now separates the threat-vocabulary count for poisoning (22 records) from the AI-threat engagement field (19); the CRediT statement has been finalised; and the data-availability statement explains that the repository link is supplied at submission. The revised abstract also adds the calibration the first round most wanted to see: the headline counts “are bounds, not population estimates.”</w:t>
      </w:r>
    </w:p>
    <w:p>
      <w:pPr>
        <w:spacing w:after="120" w:before="0" w:line="312"/>
        <w:jc w:val="left"/>
      </w:pPr>
      <w:r>
        <w:rPr>
          <w:rFonts w:ascii="Times New Roman" w:eastAsia="SimSun"/>
          <w:b w:val="false"/>
          <w:bCs w:val="false"/>
          <w:i w:val="false"/>
          <w:iCs w:val="false"/>
          <w:color w:val="000000"/>
          <w:sz w:val="24"/>
          <w:szCs w:val="24"/>
        </w:rPr>
        <w:t xml:space="preserve">What the revision does not do is more consequential. Every substantive priority from round one remains open: the flow still screens only the 1,287 core-query records while the roughly 700 probe records remain unaccounted for; the 469 denominator is still undefined; the selection ranking is still unpublished and the search still undated; lifecycle_stage has not been re-coded or bounded; and the looser twin-as-target definition remains uncomputed — indeed, the revision removes the previous abstract’s acknowledgment that it was uncomputed. Meanwhile, the renumbering that followed the new Section 5.1 has propagated two new cross-reference errors, and the rewritten abstract contains a reliability sentence that conflates the 20-study agreement sample with the 83-study corpus counts. The duplicated sentence flagged explicitly in round one survives.</w:t>
      </w:r>
    </w:p>
    <w:p>
      <w:pPr>
        <w:spacing w:after="120" w:before="0" w:line="312"/>
        <w:jc w:val="left"/>
      </w:pPr>
      <w:r>
        <w:rPr>
          <w:rFonts w:ascii="Times New Roman" w:eastAsia="SimSun"/>
          <w:b w:val="false"/>
          <w:bCs w:val="false"/>
          <w:i w:val="false"/>
          <w:iCs w:val="false"/>
          <w:color w:val="000000"/>
          <w:sz w:val="24"/>
          <w:szCs w:val="24"/>
        </w:rPr>
        <w:t xml:space="preserve">The recommendation is therefore </w:t>
      </w:r>
      <w:r>
        <w:rPr>
          <w:rFonts w:ascii="Times New Roman" w:eastAsia="SimSun"/>
          <w:b/>
          <w:bCs/>
          <w:i w:val="false"/>
          <w:iCs w:val="false"/>
          <w:color w:val="000000"/>
          <w:sz w:val="24"/>
          <w:szCs w:val="24"/>
        </w:rPr>
        <w:t xml:space="preserve">major revision (second round)</w:t>
      </w:r>
      <w:r>
        <w:rPr>
          <w:rFonts w:ascii="Times New Roman" w:eastAsia="SimSun"/>
          <w:b w:val="false"/>
          <w:bCs w:val="false"/>
          <w:i w:val="false"/>
          <w:iCs w:val="false"/>
          <w:color w:val="000000"/>
          <w:sz w:val="24"/>
          <w:szCs w:val="24"/>
        </w:rPr>
        <w:t xml:space="preserve">. The core contribution — a quantified, reliability-bounded measurement of the defensive-versus-attack-side asymmetry in grid digital-twin security — remains novel, credible in direction, and worth publishing, and the presentation fixes that were made are real. But a second round that leaves all six substantive priorities untouched while introducing new defects in the abstract cannot be accepted yet. Section 8 of this report sets out six focused priorities; none requires new research, and several are repairs the authors’ own threats-to-validity section already concedes are needed.</w:t>
      </w:r>
    </w:p>
    <w:p>
      <w:pPr>
        <w:pStyle w:val="Heading1"/>
        <w:spacing w:after="160" w:before="360" w:line="312"/>
        <w:jc w:val="center"/>
      </w:pPr>
      <w:bookmarkStart w:name="_Toc2" w:id="2"/>
      <w:r>
        <w:rPr>
          <w:rFonts w:ascii="Times New Roman" w:eastAsia="SimHei"/>
          <w:b/>
          <w:bCs/>
          <w:color w:val="0B1C2C"/>
          <w:sz w:val="32"/>
          <w:szCs w:val="32"/>
        </w:rPr>
        <w:t xml:space="preserve">1. Manuscript Overview</w:t>
      </w:r>
      <w:bookmarkEnd w:id="2"/>
    </w:p>
    <w:p>
      <w:pPr>
        <w:spacing w:after="120" w:before="0" w:line="312"/>
        <w:jc w:val="left"/>
      </w:pPr>
      <w:r>
        <w:rPr>
          <w:rFonts w:ascii="Times New Roman" w:eastAsia="SimSun"/>
          <w:b w:val="false"/>
          <w:bCs w:val="false"/>
          <w:i w:val="false"/>
          <w:iCs w:val="false"/>
          <w:color w:val="000000"/>
          <w:sz w:val="24"/>
          <w:szCs w:val="24"/>
        </w:rPr>
        <w:t xml:space="preserve">The manuscript measures a single asymmetry across a screened corpus of digital-twin power-grid security studies: machine learning is adopted defensively far faster than AI-enabled threats — or the twin itself — are modelled as attack targets. The framing remains theory-testing: the asymmetry stated in the abstract is the hypothesis and the retained 100 studies are the test, with Habeeb, Weli and Almaliki’s 2026 review of dual-role digital twins positioned as the theory whose grid-side instance this paper bounds from below. Search and selection are unchanged from round one: twelve OpenAlex queries yielding 1,287 unique records, four adversarial-AI probes raising the candidate pool to roughly 2,000, 492 records eligible after term-presence screening, and a non-probabilistic top-100 cut on relevance, citation count and recency.</w:t>
      </w:r>
    </w:p>
    <w:p>
      <w:pPr>
        <w:spacing w:after="120" w:before="0" w:line="312"/>
        <w:jc w:val="left"/>
      </w:pPr>
      <w:r>
        <w:rPr>
          <w:rFonts w:ascii="Times New Roman" w:eastAsia="SimSun"/>
          <w:b w:val="false"/>
          <w:bCs w:val="false"/>
          <w:i w:val="false"/>
          <w:iCs w:val="false"/>
          <w:color w:val="000000"/>
          <w:sz w:val="24"/>
          <w:szCs w:val="24"/>
        </w:rPr>
        <w:t xml:space="preserve">Eighty-three records were coded at full text across 46 fields, with the 17 abstract-only records treated as missing rather than zero; a second coder blind-coded a 20% sample, with agreement ranging from κ = 0.90 (baseline comparison) down to κ = 0.14 (attack-surface naming) and κ = 0.41 on the headline AI-threat engagement field. The headline results are also unchanged: defensive machine-learning use in 70 of 83 full-text studies; any AI-threat engagement in 35 (42.2%); substantive engagement in 11 (13.3%); the twin as an explicit attack target in one study, a vehicle-twin review; lifecycle concentration at operation in 66 of 83; explicit threat models in 19 of 83; and released code in 3 of 83.</w:t>
      </w:r>
    </w:p>
    <w:p>
      <w:pPr>
        <w:spacing w:after="120" w:before="0" w:line="312"/>
        <w:jc w:val="left"/>
      </w:pPr>
      <w:r>
        <w:rPr>
          <w:rFonts w:ascii="Times New Roman" w:eastAsia="SimSun"/>
          <w:b w:val="false"/>
          <w:bCs w:val="false"/>
          <w:i w:val="false"/>
          <w:iCs w:val="false"/>
          <w:color w:val="000000"/>
          <w:sz w:val="24"/>
          <w:szCs w:val="24"/>
        </w:rPr>
        <w:t xml:space="preserve">The visible changes are structural rather than scientific. A new Section 5.1 and its Table 2 state which denominator supports which headline claim (retained corpus 100, full-text 83, abstract-only 17, ML-used 70, non-review 49, journal articles 62). The consequential renumbering shifts former Sections 5.1–5.8 to 5.2–5.9 and former Tables 2–6 to 3–7. The abstract has been rewritten from roughly 460 words to roughly 230, and a terminology note has been added at the head of Section 5.5. The Highlights, Conclusion, methods, results, discussion, agenda, threats-to-validity analysis and reference list are otherwise as in round one — a point this review verified by direct comparison of the two versions.</w:t>
      </w:r>
    </w:p>
    <w:p>
      <w:pPr>
        <w:pStyle w:val="Heading1"/>
        <w:spacing w:after="160" w:before="360" w:line="312"/>
        <w:jc w:val="center"/>
      </w:pPr>
      <w:bookmarkStart w:name="_Toc3" w:id="3"/>
      <w:r>
        <w:rPr>
          <w:rFonts w:ascii="Times New Roman" w:eastAsia="SimHei"/>
          <w:b/>
          <w:bCs/>
          <w:color w:val="0B1C2C"/>
          <w:sz w:val="32"/>
          <w:szCs w:val="32"/>
        </w:rPr>
        <w:t xml:space="preserve">2. What the Revision Changes</w:t>
      </w:r>
      <w:bookmarkEnd w:id="3"/>
    </w:p>
    <w:p>
      <w:pPr>
        <w:spacing w:after="120" w:before="0" w:line="312"/>
        <w:jc w:val="left"/>
      </w:pPr>
      <w:r>
        <w:rPr>
          <w:rFonts w:ascii="Times New Roman" w:eastAsia="SimSun"/>
          <w:b w:val="false"/>
          <w:bCs w:val="false"/>
          <w:i w:val="false"/>
          <w:iCs w:val="false"/>
          <w:color w:val="000000"/>
          <w:sz w:val="24"/>
          <w:szCs w:val="24"/>
        </w:rPr>
        <w:t xml:space="preserve">Round one closed with six revision priorities, distilled from seven weaknesses and eleven editorial items. This section reports, priority by priority, what the revised manuscript does in response. The comparison basis is the round-one manuscript as set against the present revision: where the two differ, the difference is quoted from or cited to the revised text; where they do not differ, the priority is marked unaddressed. Table 1 summarises the status of all six priorities, and the two subsections that follow discuss the categories that need commentary — the genuine improvements the revision makes, and the defects it introduces while making them.</w:t>
      </w:r>
    </w:p>
    <w:p>
      <w:pPr>
        <w:spacing w:after="120" w:before="0" w:line="312"/>
        <w:jc w:val="left"/>
      </w:pPr>
      <w:r>
        <w:rPr>
          <w:rFonts w:ascii="Times New Roman" w:eastAsia="SimSun"/>
          <w:b w:val="false"/>
          <w:bCs w:val="false"/>
          <w:i w:val="false"/>
          <w:iCs w:val="false"/>
          <w:color w:val="000000"/>
          <w:sz w:val="24"/>
          <w:szCs w:val="24"/>
        </w:rPr>
        <w:t xml:space="preserve">One preliminary observation frames everything below. The revision’s genuine additions — the denominators table, the terminology note, the shortened abstract, the finalised CRediT and data-availability statements — are all presentation-layer changes. No new analysis, re-coding, robustness check or accounting appears anywhere in the revised text. That is not inherently disqualifying: several round-one items were presentation items, and they have been acted on. But it means the distance between this manuscript and acceptance is unchanged in substance, and now has to be closed in a third round.</w:t>
      </w:r>
    </w:p>
    <w:p>
      <w:pPr>
        <w:keepNext/>
        <w:spacing w:after="100" w:before="160" w:line="312"/>
        <w:jc w:val="left"/>
      </w:pPr>
      <w:r>
        <w:rPr>
          <w:rFonts w:ascii="Times New Roman" w:eastAsia="SimHei"/>
          <w:b/>
          <w:bCs/>
          <w:color w:val="0B1C2C"/>
          <w:sz w:val="21"/>
          <w:szCs w:val="21"/>
        </w:rPr>
        <w:t xml:space="preserve">Table 1: Status of the round-one revision priorities in the revised manuscript</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2636"/>
        <w:gridCol w:w="1318"/>
        <w:gridCol w:w="4833"/>
      </w:tblGrid>
      <w:tr>
        <w:trPr>
          <w:cantSplit/>
          <w:tblHeader/>
        </w:trPr>
        <w:tc>
          <w:tcPr>
            <w:tcW w:type="pct" w:w="15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Round-one priority</w:t>
            </w:r>
          </w:p>
        </w:tc>
        <w:tc>
          <w:tcPr>
            <w:tcW w:type="pct" w:w="7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Status</w:t>
            </w:r>
          </w:p>
        </w:tc>
        <w:tc>
          <w:tcPr>
            <w:tcW w:type="pct" w:w="27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What the revision does</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1"/>
                <w:szCs w:val="21"/>
              </w:rPr>
              <w:t xml:space="preserve">1. Reconcile the PRISMA flow with the probe records; define the 469 denominator</w:t>
            </w:r>
          </w:p>
        </w:tc>
        <w:tc>
          <w:tcPr>
            <w:tcW w:type="pct" w:w="750"/>
            <w:tcMar>
              <w:top w:type="dxa" w:w="60"/>
              <w:left w:type="dxa" w:w="120"/>
              <w:bottom w:type="dxa" w:w="60"/>
              <w:right w:type="dxa" w:w="120"/>
            </w:tcMar>
          </w:tcPr>
          <w:p>
            <w:pPr>
              <w:spacing w:line="312"/>
              <w:jc w:val="left"/>
            </w:pPr>
            <w:r>
              <w:rPr>
                <w:rFonts w:ascii="Times New Roman" w:eastAsia="SimSun"/>
                <w:color w:val="000000"/>
                <w:sz w:val="21"/>
                <w:szCs w:val="21"/>
              </w:rPr>
              <w:t xml:space="preserve">Not addressed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The flow figure’s parenthetical note, the Section 4.3 disclosure and the Section 8.5 concession (“a gap in the record”) all predate this revision and reappear verbatim; no new accounting was added and 469 remains undefined</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1"/>
                <w:szCs w:val="21"/>
              </w:rPr>
              <w:t xml:space="preserve">2. State the search dates and the exact ranking formula; add a robustness check under an alternative selection</w:t>
            </w:r>
          </w:p>
        </w:tc>
        <w:tc>
          <w:tcPr>
            <w:tcW w:type="pct" w:w="750"/>
            <w:tcMar>
              <w:top w:type="dxa" w:w="60"/>
              <w:left w:type="dxa" w:w="120"/>
              <w:bottom w:type="dxa" w:w="60"/>
              <w:right w:type="dxa" w:w="120"/>
            </w:tcMar>
          </w:tcPr>
          <w:p>
            <w:pPr>
              <w:spacing w:line="312"/>
              <w:jc w:val="left"/>
            </w:pPr>
            <w:r>
              <w:rPr>
                <w:rFonts w:ascii="Times New Roman" w:eastAsia="SimSun"/>
                <w:color w:val="000000"/>
                <w:sz w:val="21"/>
                <w:szCs w:val="21"/>
              </w:rPr>
              <w:t xml:space="preserve">Not addressed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Sections 4.2–4.3 are unchanged; the threats-to-validity section still lists the absent search date; no alternative-selection analysis appears</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1"/>
                <w:szCs w:val="21"/>
              </w:rPr>
              <w:t xml:space="preserve">3. Re-code or bound lifecycle_stage; carry the κ = 0.32 caveat wherever 66/83 is quoted</w:t>
            </w:r>
          </w:p>
        </w:tc>
        <w:tc>
          <w:tcPr>
            <w:tcW w:type="pct" w:w="750"/>
            <w:tcMar>
              <w:top w:type="dxa" w:w="60"/>
              <w:left w:type="dxa" w:w="120"/>
              <w:bottom w:type="dxa" w:w="60"/>
              <w:right w:type="dxa" w:w="120"/>
            </w:tcMar>
          </w:tcPr>
          <w:p>
            <w:pPr>
              <w:spacing w:line="312"/>
              <w:jc w:val="left"/>
            </w:pPr>
            <w:r>
              <w:rPr>
                <w:rFonts w:ascii="Times New Roman" w:eastAsia="SimSun"/>
                <w:color w:val="000000"/>
                <w:sz w:val="21"/>
                <w:szCs w:val="21"/>
              </w:rPr>
              <w:t xml:space="preserve">Partially addressed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Caveat-carrying in the abstract and conclusion was already present in round one and is retained; the requested re-coding or explicit bounding was not performed</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1"/>
                <w:szCs w:val="21"/>
              </w:rPr>
              <w:t xml:space="preserve">4. Compute the looser twin-as-target count; carry the vehicle-twin qualifier consistently</w:t>
            </w:r>
          </w:p>
        </w:tc>
        <w:tc>
          <w:tcPr>
            <w:tcW w:type="pct" w:w="750"/>
            <w:tcMar>
              <w:top w:type="dxa" w:w="60"/>
              <w:left w:type="dxa" w:w="120"/>
              <w:bottom w:type="dxa" w:w="60"/>
              <w:right w:type="dxa" w:w="120"/>
            </w:tcMar>
          </w:tcPr>
          <w:p>
            <w:pPr>
              <w:spacing w:line="312"/>
              <w:jc w:val="left"/>
            </w:pPr>
            <w:r>
              <w:rPr>
                <w:rFonts w:ascii="Times New Roman" w:eastAsia="SimSun"/>
                <w:color w:val="000000"/>
                <w:sz w:val="21"/>
                <w:szCs w:val="21"/>
              </w:rPr>
              <w:t xml:space="preserve">Not addressed; one regression</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The qualifier remains in the abstract and highlights but still not in the Conclusion; the looser definition remains uncomputed, and the revised abstract drops the earlier “uncomputed” acknowledgment</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1"/>
                <w:szCs w:val="21"/>
              </w:rPr>
              <w:t xml:space="preserve">5. Reframe “PRISMA 2020-style” and “theory-testing” to what the design supports</w:t>
            </w:r>
          </w:p>
        </w:tc>
        <w:tc>
          <w:tcPr>
            <w:tcW w:type="pct" w:w="750"/>
            <w:tcMar>
              <w:top w:type="dxa" w:w="60"/>
              <w:left w:type="dxa" w:w="120"/>
              <w:bottom w:type="dxa" w:w="60"/>
              <w:right w:type="dxa" w:w="120"/>
            </w:tcMar>
          </w:tcPr>
          <w:p>
            <w:pPr>
              <w:spacing w:line="312"/>
              <w:jc w:val="left"/>
            </w:pPr>
            <w:r>
              <w:rPr>
                <w:rFonts w:ascii="Times New Roman" w:eastAsia="SimSun"/>
                <w:color w:val="000000"/>
                <w:sz w:val="21"/>
                <w:szCs w:val="21"/>
              </w:rPr>
              <w:t xml:space="preserve">Not addressed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Section 4.1 retains both framings; the revised abstract reopens with “Following PRISMA 2020 style”</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1"/>
                <w:szCs w:val="21"/>
              </w:rPr>
              <w:t xml:space="preserve">6. Editorial pass: duplicated sentence, 62 vs 67, abstract length, dual vocabularies, corpus-ID notation, repository URL</w:t>
            </w:r>
          </w:p>
        </w:tc>
        <w:tc>
          <w:tcPr>
            <w:tcW w:type="pct" w:w="750"/>
            <w:tcMar>
              <w:top w:type="dxa" w:w="60"/>
              <w:left w:type="dxa" w:w="120"/>
              <w:bottom w:type="dxa" w:w="60"/>
              <w:right w:type="dxa" w:w="120"/>
            </w:tcMar>
          </w:tcPr>
          <w:p>
            <w:pPr>
              <w:spacing w:line="312"/>
              <w:jc w:val="left"/>
            </w:pPr>
            <w:r>
              <w:rPr>
                <w:rFonts w:ascii="Times New Roman" w:eastAsia="SimSun"/>
                <w:color w:val="000000"/>
                <w:sz w:val="21"/>
                <w:szCs w:val="21"/>
              </w:rPr>
              <w:t xml:space="preserve">Partially addressed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Abstract halved with statistics moved to the methods; terminology note added; CRediT finalised; repository note added. The duplicated sentence survives; 62 vs 67 now appears in two tables without reconciliation; no URL is given</w:t>
            </w:r>
          </w:p>
        </w:tc>
      </w:tr>
    </w:tbl>
    <w:p>
      <w:pPr>
        <w:spacing w:after="120" w:before="160" w:line="312"/>
        <w:jc w:val="left"/>
      </w:pPr>
      <w:r>
        <w:rPr>
          <w:rFonts w:ascii="Times New Roman" w:eastAsia="SimSun"/>
          <w:b w:val="false"/>
          <w:bCs w:val="false"/>
          <w:i w:val="false"/>
          <w:iCs w:val="false"/>
          <w:color w:val="000000"/>
          <w:sz w:val="24"/>
          <w:szCs w:val="24"/>
        </w:rPr>
        <w:t xml:space="preserve">The pattern in Table 1 is stark: the revision addresses the presentation half of the round-one list and leaves the substantive half untouched. Priorities 1, 2 and 5 — probe accounting, selection transparency and reframing — received no changes at all. Priority 3’s caveat-carrying was already present in round one and is simply retained. Priority 4 is not only unaddressed but slightly regressed, because the revised abstract discloses less about the uncomputed looser definition than its predecessor did. Only priority 6, the editorial pass, shows genuine movement, and roughly half of it. The balance of this report therefore carries over five of its six weaknesses from round one and adds one new one concerning the revision’s own editorial quality.</w:t>
      </w:r>
    </w:p>
    <w:p>
      <w:pPr>
        <w:pStyle w:val="Heading2"/>
        <w:spacing w:after="120" w:before="240" w:line="312"/>
        <w:jc w:val="left"/>
      </w:pPr>
      <w:bookmarkStart w:name="_Toc4" w:id="4"/>
      <w:r>
        <w:rPr>
          <w:rFonts w:ascii="Times New Roman" w:eastAsia="SimHei"/>
          <w:b/>
          <w:bCs/>
          <w:color w:val="0B1C2C"/>
          <w:sz w:val="30"/>
          <w:szCs w:val="30"/>
        </w:rPr>
        <w:t xml:space="preserve">2.1 Genuine improvements worth crediting</w:t>
      </w:r>
      <w:bookmarkEnd w:id="4"/>
    </w:p>
    <w:p>
      <w:pPr>
        <w:spacing w:after="120" w:before="0" w:line="312"/>
        <w:jc w:val="left"/>
      </w:pPr>
      <w:r>
        <w:rPr>
          <w:rFonts w:ascii="Times New Roman" w:eastAsia="SimSun"/>
          <w:b w:val="false"/>
          <w:bCs w:val="false"/>
          <w:i w:val="false"/>
          <w:iCs w:val="false"/>
          <w:color w:val="000000"/>
          <w:sz w:val="24"/>
          <w:szCs w:val="24"/>
        </w:rPr>
        <w:t xml:space="preserve">The abstract rewrite is the largest single change and, on balance, an improvement. Round one asked for an abstract of roughly 250 words with the reliability qualifications moved to the methods, and the revision delivers almost exactly that. The opening states the review question more directly (“We review whether the security literature treats AI as a defensive tool faster than it models AI-enabled threats, or the twin itself, as an attack target”), the per-field κ list is gone, and the phrase round one most wanted to see — an explicit statement that the results “are bounds, not population estimates” — now closes the abstract’s measurement sentences. The new Section 5.1 is a small but genuinely useful addition: a table that binds each headline figure to its denominator (100, 83, 70, 49, 62) before any percentage is quoted, which is precisely the discipline round one asked for when it complained of denominator confusion. The terminology note at the head of Section 5.5 — separating the threat-vocabulary count poisoning (22 records) from the engagement field ai_poisoning (19) — closes another round-one complaint about dual vocabularies.</w:t>
      </w:r>
    </w:p>
    <w:p>
      <w:pPr>
        <w:spacing w:after="120" w:before="0" w:line="312"/>
        <w:jc w:val="left"/>
      </w:pPr>
      <w:r>
        <w:rPr>
          <w:rFonts w:ascii="Times New Roman" w:eastAsia="SimSun"/>
          <w:b w:val="false"/>
          <w:bCs w:val="false"/>
          <w:i w:val="false"/>
          <w:iCs w:val="false"/>
          <w:color w:val="000000"/>
          <w:sz w:val="24"/>
          <w:szCs w:val="24"/>
        </w:rPr>
        <w:t xml:space="preserve">Smaller completions round out the picture: the CRediT statement is finalised (the “(To be finalised.)” placeholder is gone), and the data-availability statement now explains that the repository link is supplied at submission rather than leaving the package’s location wholly unstated. These are small things individually, but together they show the authors read the round-one review closely and acted on the parts of it that could be acted on quickly. The revision instinct — respond with disclosure and structure rather than argument — is the right one, and the paper is better organised than it was. The problem is what the revision chose not to touch, and what it broke in passing; those are the subjects of Section 2.2 and Section 5 of this report.</w:t>
      </w:r>
    </w:p>
    <w:p>
      <w:pPr>
        <w:pStyle w:val="Heading2"/>
        <w:spacing w:after="120" w:before="240" w:line="312"/>
        <w:jc w:val="left"/>
      </w:pPr>
      <w:bookmarkStart w:name="_Toc5" w:id="5"/>
      <w:r>
        <w:rPr>
          <w:rFonts w:ascii="Times New Roman" w:eastAsia="SimHei"/>
          <w:b/>
          <w:bCs/>
          <w:color w:val="0B1C2C"/>
          <w:sz w:val="30"/>
          <w:szCs w:val="30"/>
        </w:rPr>
        <w:t xml:space="preserve">2.2 Defects introduced or propagated by the revision</w:t>
      </w:r>
      <w:bookmarkEnd w:id="5"/>
    </w:p>
    <w:p>
      <w:pPr>
        <w:spacing w:after="120" w:before="0" w:line="312"/>
        <w:jc w:val="left"/>
      </w:pPr>
      <w:r>
        <w:rPr>
          <w:rFonts w:ascii="Times New Roman" w:eastAsia="SimSun"/>
          <w:b w:val="false"/>
          <w:bCs w:val="false"/>
          <w:i w:val="false"/>
          <w:iCs w:val="false"/>
          <w:color w:val="000000"/>
          <w:sz w:val="24"/>
          <w:szCs w:val="24"/>
        </w:rPr>
        <w:t xml:space="preserve">The rewritten abstract contains one sentence that is, as printed, factually garbled: “Two coders agreed on 35/83 at κ = 0.60 for ‘any engagement’ and one of six at κ = 0.14 for ‘substantive’ engagement.” No agreement was measured over 83 studies; the κ values derive from the 20-study reliability sample (agreement 16/20 collapsed to any-versus-none, 15/20 collapsed to substantive-versus-not), and “one of six” refers to the single (2,2) cell among the six sample studies labelled substantive by at least one coder. A reader cannot reconstruct any of that from the sentence as written. The same abstract drops the percent signs from its three headline proportions (“42.2”, “13.3”, “57.8”), omits all mention of the four adversarial-AI probes — the paper’s principal defense against retrieval bias — and drops the previous abstract’s statement that under the looser “asset under protection” definition the twin-as-target count “is uncomputed,” replacing it with “at most one study under a strict codebook definition,” which is accurate but no longer tells the reader that the looser count was never calculated.</w:t>
      </w:r>
    </w:p>
    <w:p>
      <w:pPr>
        <w:spacing w:after="120" w:before="0" w:line="312"/>
        <w:jc w:val="left"/>
      </w:pPr>
      <w:r>
        <w:rPr>
          <w:rFonts w:ascii="Times New Roman" w:eastAsia="SimSun"/>
          <w:b w:val="false"/>
          <w:bCs w:val="false"/>
          <w:i w:val="false"/>
          <w:iCs w:val="false"/>
          <w:color w:val="000000"/>
          <w:sz w:val="24"/>
          <w:szCs w:val="24"/>
        </w:rPr>
        <w:t xml:space="preserve">The renumbering that followed the new Section 5.1 has left two cross-references pointing at the wrong sections. Section 4.3 still directs the reader to “the Section 5.4 figures” for the Wilson intervals, but in the revised numbering those figures live in Section 5.5. Section 6.4 cites “the abstract-versus-full-text comparison in Section 5.8”; the comparison is in Section 5.5, and Section 5.8 is the false-negative audit — an error present in round one (as “Section 5.7”) that the renumbering incremented rather than fixed. Two further items: the duplicated sentence in the reliability results (“A statistical artefact of rare events with high overall agreement (15/20), so the table counts should not be read as evidence of large substantive disagreement,” printed twice in succession) was flagged explicitly in round one and survives; and in the text layer of the revised PDF as supplied to this reviewer, the Figure 4 rows for insider and supply chain sum to 19 and 20 respectively, where Table 4 reports 20 and 19 — the authors should verify whether the figure rows are transposed (PDF text extraction can reorder figure elements, so this is a verification request rather than an assertion).</w:t>
      </w:r>
    </w:p>
    <w:p>
      <w:pPr>
        <w:pStyle w:val="Heading1"/>
        <w:spacing w:after="160" w:before="360" w:line="312"/>
        <w:jc w:val="center"/>
      </w:pPr>
      <w:bookmarkStart w:name="_Toc6" w:id="6"/>
      <w:r>
        <w:rPr>
          <w:rFonts w:ascii="Times New Roman" w:eastAsia="SimHei"/>
          <w:b/>
          <w:bCs/>
          <w:color w:val="0B1C2C"/>
          <w:sz w:val="32"/>
          <w:szCs w:val="32"/>
        </w:rPr>
        <w:t xml:space="preserve">3. Overall Assessment</w:t>
      </w:r>
      <w:bookmarkEnd w:id="6"/>
    </w:p>
    <w:p>
      <w:pPr>
        <w:spacing w:after="120" w:before="0" w:line="312"/>
        <w:jc w:val="left"/>
      </w:pPr>
      <w:r>
        <w:rPr>
          <w:rFonts w:ascii="Times New Roman" w:eastAsia="SimSun"/>
          <w:b w:val="false"/>
          <w:bCs w:val="false"/>
          <w:i w:val="false"/>
          <w:iCs w:val="false"/>
          <w:color w:val="000000"/>
          <w:sz w:val="24"/>
          <w:szCs w:val="24"/>
        </w:rPr>
        <w:t xml:space="preserve">On the science, this reviewer’s round-one judgement stands: the direction of the central asymmetry is </w:t>
      </w:r>
      <w:r>
        <w:rPr>
          <w:rFonts w:ascii="Times New Roman" w:eastAsia="SimSun"/>
          <w:b/>
          <w:bCs/>
          <w:i w:val="false"/>
          <w:iCs w:val="false"/>
          <w:color w:val="000000"/>
          <w:sz w:val="24"/>
          <w:szCs w:val="24"/>
        </w:rPr>
        <w:t xml:space="preserve">credible and actively defended</w:t>
      </w:r>
      <w:r>
        <w:rPr>
          <w:rFonts w:ascii="Times New Roman" w:eastAsia="SimSun"/>
          <w:b w:val="false"/>
          <w:bCs w:val="false"/>
          <w:i w:val="false"/>
          <w:iCs w:val="false"/>
          <w:color w:val="000000"/>
          <w:sz w:val="24"/>
          <w:szCs w:val="24"/>
        </w:rPr>
        <w:t xml:space="preserve">. The corpus adopts machine learning defensively in 70 of 83 full-text studies while 35 engage any AI-enabled threat and 11 engage one substantively; the twin is an explicit attack target in one study; coverage concentrates at the operation phase. The checks that matter — adversarial search probes, a two-lexicon false-negative audit with a disclosed positive control, sensitivity analyses excluding reviews and restricting to journal articles, and an adjudication that moved no headline field — are all intact, and the arithmetic remains internally consistent under independent recomputation (Section 4.4 of this report). The revised abstract’s “bounds, not population estimates” is the right frame for exactly these numbers, and the authors deserve credit for adopting it.</w:t>
      </w:r>
    </w:p>
    <w:p>
      <w:pPr>
        <w:spacing w:after="120" w:before="0" w:line="312"/>
        <w:jc w:val="left"/>
      </w:pPr>
      <w:r>
        <w:rPr>
          <w:rFonts w:ascii="Times New Roman" w:eastAsia="SimSun"/>
          <w:b w:val="false"/>
          <w:bCs w:val="false"/>
          <w:i w:val="false"/>
          <w:iCs w:val="false"/>
          <w:color w:val="000000"/>
          <w:sz w:val="24"/>
          <w:szCs w:val="24"/>
        </w:rPr>
        <w:t xml:space="preserve">The revision, however, concentrates entirely on presentation. Every finding-bearing component — search, selection, coding, reliability, results, discussion, agenda — is carried over verbatim from round one, along with the weaknesses round one attached to them. A second-round revision that adds a denominators table but no denominator reconciliation, that shortens the abstract but garbles its most technical sentence, and that renumbers sections without repairing the cross-references gives the impression of a manuscript managed to a deadline rather than to a standard. That said, the distance remaining is narrow and now precisely mapped: none of the six second-round priorities in Section 8 requires new research, at least three are repairs the authors’ own threats-to-validity section already concedes are needed, and the paper’s fundamental asset — a transparency standard the field should imitate — is undiminished. Tables 2 and 3 record the dimension ratings, with their movement from round one, and the evidential status of each headline claim.</w:t>
      </w:r>
    </w:p>
    <w:p>
      <w:pPr>
        <w:keepNext/>
        <w:spacing w:after="100" w:before="160" w:line="312"/>
        <w:jc w:val="left"/>
      </w:pPr>
      <w:r>
        <w:rPr>
          <w:rFonts w:ascii="Times New Roman" w:eastAsia="SimHei"/>
          <w:b/>
          <w:bCs/>
          <w:color w:val="0B1C2C"/>
          <w:sz w:val="21"/>
          <w:szCs w:val="21"/>
        </w:rPr>
        <w:t xml:space="preserve">Table 2: Overall assessment by dimension, with movement from round one</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1845"/>
        <w:gridCol w:w="1055"/>
        <w:gridCol w:w="1055"/>
        <w:gridCol w:w="4833"/>
      </w:tblGrid>
      <w:tr>
        <w:trPr>
          <w:cantSplit/>
          <w:tblHeader/>
        </w:trPr>
        <w:tc>
          <w:tcPr>
            <w:tcW w:type="pct" w:w="10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Dimension</w:t>
            </w:r>
          </w:p>
        </w:tc>
        <w:tc>
          <w:tcPr>
            <w:tcW w:type="pct" w:w="6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Round 1</w:t>
            </w:r>
          </w:p>
        </w:tc>
        <w:tc>
          <w:tcPr>
            <w:tcW w:type="pct" w:w="6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This round</w:t>
            </w:r>
          </w:p>
        </w:tc>
        <w:tc>
          <w:tcPr>
            <w:tcW w:type="pct" w:w="27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Rationale</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Originality and contribution</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Unchanged core: first grid-scale quantification of the defensive/attack-side asymmetry, with a published corpus, a closed vocabulary and reported reliability</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Methodological rigour</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Fair to good</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Fair to good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Selection and protocol weaknesses persist untouched; the revision adds no new analysis, re-coding or robustness check</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Transparency and reproducibility</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Excellent</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Excellent</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New denominators table and terminology note add value; probe-record accounting still incomplete and the package still unreachable at review time</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Reporting clarity</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Fair</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Fair to good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The overlong abstract is fixed; new defects (garbled reliability sentence, missing percent signs, two broken cross-references) offset the gain</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Claim calibration</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The bounds-not-estimates hedge is added to the abstract; the Conclusion still drops the vehicle-twin qualifier and the “uncomputed” note was lost in the rewrite</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Expected impact</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600"/>
            <w:tcMar>
              <w:top w:type="dxa" w:w="60"/>
              <w:left w:type="dxa" w:w="120"/>
              <w:bottom w:type="dxa" w:w="60"/>
              <w:right w:type="dxa" w:w="120"/>
            </w:tcMar>
          </w:tcPr>
          <w:p>
            <w:pPr>
              <w:spacing w:line="312"/>
              <w:jc w:val="left"/>
            </w:pPr>
            <w:r>
              <w:rPr>
                <w:rFonts w:ascii="Times New Roman" w:eastAsia="SimSun"/>
                <w:color w:val="000000"/>
                <w:sz w:val="21"/>
                <w:szCs w:val="21"/>
              </w:rPr>
              <w:t xml:space="preserve">Good</w:t>
            </w:r>
          </w:p>
        </w:tc>
        <w:tc>
          <w:tcPr>
            <w:tcW w:type="pct" w:w="2750"/>
            <w:tcMar>
              <w:top w:type="dxa" w:w="60"/>
              <w:left w:type="dxa" w:w="120"/>
              <w:bottom w:type="dxa" w:w="60"/>
              <w:right w:type="dxa" w:w="120"/>
            </w:tcMar>
          </w:tcPr>
          <w:p>
            <w:pPr>
              <w:spacing w:line="312"/>
              <w:jc w:val="left"/>
            </w:pPr>
            <w:r>
              <w:rPr>
                <w:rFonts w:ascii="Times New Roman" w:eastAsia="SimSun"/>
                <w:color w:val="000000"/>
                <w:sz w:val="21"/>
                <w:szCs w:val="21"/>
              </w:rPr>
              <w:t xml:space="preserve">Unchanged; the agenda remains the actionable core for the research community</w:t>
            </w:r>
          </w:p>
        </w:tc>
      </w:tr>
    </w:tbl>
    <w:p>
      <w:pPr>
        <w:spacing w:after="120" w:before="160" w:line="312"/>
        <w:jc w:val="left"/>
      </w:pPr>
      <w:r>
        <w:rPr>
          <w:rFonts w:ascii="Times New Roman" w:eastAsia="SimSun"/>
          <w:b w:val="false"/>
          <w:bCs w:val="false"/>
          <w:i w:val="false"/>
          <w:iCs w:val="false"/>
          <w:color w:val="000000"/>
          <w:sz w:val="24"/>
          <w:szCs w:val="24"/>
        </w:rPr>
        <w:t xml:space="preserve">Table 3 records, for each headline claim, the reported figure, the reliability evidence the manuscript attaches to it, and this reviewer’s assessment of its evidential status. As in round one, the counts the paper most needs are the counts it can least rely on — and, to the authors’ credit, the paper itself says so in most of the right places.</w:t>
      </w:r>
    </w:p>
    <w:p>
      <w:pPr>
        <w:keepNext/>
        <w:spacing w:after="100" w:before="160" w:line="312"/>
        <w:jc w:val="left"/>
      </w:pPr>
      <w:r>
        <w:rPr>
          <w:rFonts w:ascii="Times New Roman" w:eastAsia="SimHei"/>
          <w:b/>
          <w:bCs/>
          <w:color w:val="0B1C2C"/>
          <w:sz w:val="21"/>
          <w:szCs w:val="21"/>
        </w:rPr>
        <w:t xml:space="preserve">Table 3: Headline claims and their evidential status</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1845"/>
        <w:gridCol w:w="1142"/>
        <w:gridCol w:w="2812"/>
        <w:gridCol w:w="2988"/>
      </w:tblGrid>
      <w:tr>
        <w:trPr>
          <w:cantSplit/>
          <w:tblHeader/>
        </w:trPr>
        <w:tc>
          <w:tcPr>
            <w:tcW w:type="pct" w:w="10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Claim</w:t>
            </w:r>
          </w:p>
        </w:tc>
        <w:tc>
          <w:tcPr>
            <w:tcW w:type="pct" w:w="6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Reported figure</w:t>
            </w:r>
          </w:p>
        </w:tc>
        <w:tc>
          <w:tcPr>
            <w:tcW w:type="pct" w:w="16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Agreement / robustness</w:t>
            </w:r>
          </w:p>
        </w:tc>
        <w:tc>
          <w:tcPr>
            <w:tcW w:type="pct" w:w="17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Assessment</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Defensive use of machine learning</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70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ml_used: 85% agreement, κ = 0.57</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Solid</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Any AI-threat engagement</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35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ai_threat_overall κ = 0.41; 0.60 collapsed to any-vs-none</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Direction credible; magnitude uncertain</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Substantive engagement</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11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0.14 collapsed to substantive-vs-not; authors call it fragile</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Not quotable as a point estimate</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Twin as explicit attack target</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1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twin_role κ = 0.77, but conservative definitions</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Partly a coding-rule artifact; the one study concerns vehicle twins</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Operation-phase concentration</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66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lifecycle_stage κ = 0.32; coder-1 default bias documented</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Weakest headline; needs re-coding or an explicit bound</w:t>
            </w:r>
          </w:p>
        </w:tc>
      </w:tr>
      <w:tr>
        <w:trPr>
          <w:cantSplit/>
        </w:trPr>
        <w:tc>
          <w:tcPr>
            <w:tcW w:type="pct" w:w="1050"/>
            <w:tcMar>
              <w:top w:type="dxa" w:w="60"/>
              <w:left w:type="dxa" w:w="120"/>
              <w:bottom w:type="dxa" w:w="60"/>
              <w:right w:type="dxa" w:w="120"/>
            </w:tcMar>
          </w:tcPr>
          <w:p>
            <w:pPr>
              <w:spacing w:line="312"/>
              <w:jc w:val="left"/>
            </w:pPr>
            <w:r>
              <w:rPr>
                <w:rFonts w:ascii="Times New Roman" w:eastAsia="SimSun"/>
                <w:color w:val="000000"/>
                <w:sz w:val="21"/>
                <w:szCs w:val="21"/>
              </w:rPr>
              <w:t xml:space="preserve">Code and data release</w:t>
            </w:r>
          </w:p>
        </w:tc>
        <w:tc>
          <w:tcPr>
            <w:tcW w:type="pct" w:w="650"/>
            <w:tcMar>
              <w:top w:type="dxa" w:w="60"/>
              <w:left w:type="dxa" w:w="120"/>
              <w:bottom w:type="dxa" w:w="60"/>
              <w:right w:type="dxa" w:w="120"/>
            </w:tcMar>
          </w:tcPr>
          <w:p>
            <w:pPr>
              <w:spacing w:line="312"/>
              <w:jc w:val="left"/>
            </w:pPr>
            <w:r>
              <w:rPr>
                <w:rFonts w:ascii="Times New Roman" w:eastAsia="SimSun"/>
                <w:color w:val="000000"/>
                <w:sz w:val="21"/>
                <w:szCs w:val="21"/>
              </w:rPr>
              <w:t xml:space="preserve">3 and 16 of 83</w:t>
            </w:r>
          </w:p>
        </w:tc>
        <w:tc>
          <w:tcPr>
            <w:tcW w:type="pct" w:w="1600"/>
            <w:tcMar>
              <w:top w:type="dxa" w:w="60"/>
              <w:left w:type="dxa" w:w="120"/>
              <w:bottom w:type="dxa" w:w="60"/>
              <w:right w:type="dxa" w:w="120"/>
            </w:tcMar>
          </w:tcPr>
          <w:p>
            <w:pPr>
              <w:spacing w:line="312"/>
              <w:jc w:val="left"/>
            </w:pPr>
            <w:r>
              <w:rPr>
                <w:rFonts w:ascii="Times New Roman" w:eastAsia="SimSun"/>
                <w:color w:val="000000"/>
                <w:sz w:val="21"/>
                <w:szCs w:val="21"/>
              </w:rPr>
              <w:t xml:space="preserve">100% and 85% agreement (near-constant fields)</w:t>
            </w:r>
          </w:p>
        </w:tc>
        <w:tc>
          <w:tcPr>
            <w:tcW w:type="pct" w:w="1700"/>
            <w:tcMar>
              <w:top w:type="dxa" w:w="60"/>
              <w:left w:type="dxa" w:w="120"/>
              <w:bottom w:type="dxa" w:w="60"/>
              <w:right w:type="dxa" w:w="120"/>
            </w:tcMar>
          </w:tcPr>
          <w:p>
            <w:pPr>
              <w:spacing w:line="312"/>
              <w:jc w:val="left"/>
            </w:pPr>
            <w:r>
              <w:rPr>
                <w:rFonts w:ascii="Times New Roman" w:eastAsia="SimSun"/>
                <w:color w:val="000000"/>
                <w:sz w:val="21"/>
                <w:szCs w:val="21"/>
              </w:rPr>
              <w:t xml:space="preserve">Solid</w:t>
            </w:r>
          </w:p>
        </w:tc>
      </w:tr>
    </w:tbl>
    <w:p>
      <w:pPr>
        <w:pStyle w:val="Heading1"/>
        <w:spacing w:after="160" w:before="360" w:line="312"/>
        <w:jc w:val="center"/>
      </w:pPr>
      <w:bookmarkStart w:name="_Toc7" w:id="7"/>
      <w:r>
        <w:rPr>
          <w:rFonts w:ascii="Times New Roman" w:eastAsia="SimHei"/>
          <w:b/>
          <w:bCs/>
          <w:color w:val="0B1C2C"/>
          <w:sz w:val="32"/>
          <w:szCs w:val="32"/>
        </w:rPr>
        <w:t xml:space="preserve">4. Key Strengths</w:t>
      </w:r>
      <w:bookmarkEnd w:id="7"/>
    </w:p>
    <w:p>
      <w:pPr>
        <w:spacing w:after="120" w:before="0" w:line="312"/>
        <w:jc w:val="left"/>
      </w:pPr>
      <w:r>
        <w:rPr>
          <w:rFonts w:ascii="Times New Roman" w:eastAsia="SimSun"/>
          <w:b w:val="false"/>
          <w:bCs w:val="false"/>
          <w:i w:val="false"/>
          <w:iCs w:val="false"/>
          <w:color w:val="000000"/>
          <w:sz w:val="24"/>
          <w:szCs w:val="24"/>
        </w:rPr>
        <w:t xml:space="preserve">Six strengths stand out, listed in rough order of importance to the manuscript’s contribution. Five are carried over from round one because the underlying text is unchanged; the first is strengthened by the revision itself. Each is substantive enough that its removal would materially weaken the paper.</w:t>
      </w:r>
    </w:p>
    <w:p>
      <w:pPr>
        <w:pStyle w:val="Heading2"/>
        <w:spacing w:after="120" w:before="240" w:line="312"/>
        <w:jc w:val="left"/>
      </w:pPr>
      <w:bookmarkStart w:name="_Toc8" w:id="8"/>
      <w:r>
        <w:rPr>
          <w:rFonts w:ascii="Times New Roman" w:eastAsia="SimHei"/>
          <w:b/>
          <w:bCs/>
          <w:color w:val="0B1C2C"/>
          <w:sz w:val="30"/>
          <w:szCs w:val="30"/>
        </w:rPr>
        <w:t xml:space="preserve">4.1 Unusual methodological transparency, now extended by the revision</w:t>
      </w:r>
      <w:bookmarkEnd w:id="8"/>
    </w:p>
    <w:p>
      <w:pPr>
        <w:spacing w:after="120" w:before="0" w:line="312"/>
        <w:jc w:val="left"/>
      </w:pPr>
      <w:r>
        <w:rPr>
          <w:rFonts w:ascii="Times New Roman" w:eastAsia="SimSun"/>
          <w:b w:val="false"/>
          <w:bCs w:val="false"/>
          <w:i w:val="false"/>
          <w:iCs w:val="false"/>
          <w:color w:val="000000"/>
          <w:sz w:val="24"/>
          <w:szCs w:val="24"/>
        </w:rPr>
        <w:t xml:space="preserve">The paper still reports the numbers a weaker paper would bury: κ = 0.41 on the headline construct, 0.14 on substantive engagement, 0.32 on lifecycle; a declared coder-1 precedence in adjudication, described as “a real limitation”; a documented coder style difference that “depresses κ without indicating a substantive disagreement”; and a post-hoc reading of the reliability table flagged as such. The reliability section still draws the right inference from its own numbers — that “the headline supported by the data is the 35/83 any, not the 11/83 substantive, which is fragile.” Importantly, the revision extends rather than trims this instinct: the new Section 5.1 binds every headline figure to its denominator before quoting it, the terminology note makes the poisoning/ai_poisoning construct distinction explicit, and the abstract now states that the results “are bounds, not population estimates.” For a field in which systematic reviews routinely report only favorable agreement statistics, this remains exemplary.</w:t>
      </w:r>
    </w:p>
    <w:p>
      <w:pPr>
        <w:pStyle w:val="Heading2"/>
        <w:spacing w:after="120" w:before="240" w:line="312"/>
        <w:jc w:val="left"/>
      </w:pPr>
      <w:bookmarkStart w:name="_Toc9" w:id="9"/>
      <w:r>
        <w:rPr>
          <w:rFonts w:ascii="Times New Roman" w:eastAsia="SimHei"/>
          <w:b/>
          <w:bCs/>
          <w:color w:val="0B1C2C"/>
          <w:sz w:val="30"/>
          <w:szCs w:val="30"/>
        </w:rPr>
        <w:t xml:space="preserve">4.2 The headline finding is actively defended against retrieval bias</w:t>
      </w:r>
      <w:bookmarkEnd w:id="9"/>
    </w:p>
    <w:p>
      <w:pPr>
        <w:spacing w:after="120" w:before="0" w:line="312"/>
        <w:jc w:val="left"/>
      </w:pPr>
      <w:r>
        <w:rPr>
          <w:rFonts w:ascii="Times New Roman" w:eastAsia="SimSun"/>
          <w:b w:val="false"/>
          <w:bCs w:val="false"/>
          <w:i w:val="false"/>
          <w:iCs w:val="false"/>
          <w:color w:val="000000"/>
          <w:sz w:val="24"/>
          <w:szCs w:val="24"/>
        </w:rPr>
        <w:t xml:space="preserve">The most obvious objection to an absence claim — that the attack-side literature exists but was never retrieved — is addressed directly rather than deflected. Four adversarial-AI probe queries widened the candidate pool from 1,287 to roughly 2,000 records; a two-lexicon false-negative audit re-examined all 48 records coded as non-engaging, with instructive false positives (gallium-nitride semiconductors matching “GAN”, Xenon-135 reactor physics matching “poisoning”, an ARP-poisoning false friend) that independently justify human coding over keyword coding; and the strict lexicon’s weak positive control (7 of 11 known positives recovered) is disclosed rather than suppressed, with the honest conclusion that “a pattern set cannot recognise wording it was not written for.” Sensitivity analyses excluding reviews (20/49 any engagement) and restricting to journal articles (26/62) leave the asymmetry intact, as does the adjudication, which moved no headline field. The unresolved part of this defense — whether any of the final 100 exist because of the probes — is a disclosure gap the authors themselves concede (Weakness 5.2), not a defect in the defense’s design.</w:t>
      </w:r>
    </w:p>
    <w:p>
      <w:pPr>
        <w:pStyle w:val="Heading2"/>
        <w:spacing w:after="120" w:before="240" w:line="312"/>
        <w:jc w:val="left"/>
      </w:pPr>
      <w:bookmarkStart w:name="_Toc10" w:id="10"/>
      <w:r>
        <w:rPr>
          <w:rFonts w:ascii="Times New Roman" w:eastAsia="SimHei"/>
          <w:b/>
          <w:bCs/>
          <w:color w:val="0B1C2C"/>
          <w:sz w:val="30"/>
          <w:szCs w:val="30"/>
        </w:rPr>
        <w:t xml:space="preserve">4.3 Precise and generous positioning against the closest prior review</w:t>
      </w:r>
      <w:bookmarkEnd w:id="10"/>
    </w:p>
    <w:p>
      <w:pPr>
        <w:spacing w:after="120" w:before="0" w:line="312"/>
        <w:jc w:val="left"/>
      </w:pPr>
      <w:r>
        <w:rPr>
          <w:rFonts w:ascii="Times New Roman" w:eastAsia="SimSun"/>
          <w:b w:val="false"/>
          <w:bCs w:val="false"/>
          <w:i w:val="false"/>
          <w:iCs w:val="false"/>
          <w:color w:val="000000"/>
          <w:sz w:val="24"/>
          <w:szCs w:val="24"/>
        </w:rPr>
        <w:t xml:space="preserve">The paper neither overclaims novelty nor undercredits the prior work it builds on. It states plainly that the dual-role tension belongs to Habeeb, Weli and Almaliki, and positions itself as reporting “a lower bound on its grid manifestation, not a test of the full axis.” The mapping in the manuscript’s Table 1 shows that the review’s independently designed threat vocabulary covers all five of their attack vectors and adds terms their query string could not return, and the authors are explicit that this demonstrates “coverage, not evidence that the vectors are dealt with empirically.” This scoping honesty — additive rather than competing — is exactly the right posture, unchanged by the revision, and the vocabulary mapping remains a small reusable contribution for subsequent surveys in this space.</w:t>
      </w:r>
    </w:p>
    <w:p>
      <w:pPr>
        <w:pStyle w:val="Heading2"/>
        <w:spacing w:after="120" w:before="240" w:line="312"/>
        <w:jc w:val="left"/>
      </w:pPr>
      <w:bookmarkStart w:name="_Toc11" w:id="11"/>
      <w:r>
        <w:rPr>
          <w:rFonts w:ascii="Times New Roman" w:eastAsia="SimHei"/>
          <w:b/>
          <w:bCs/>
          <w:color w:val="0B1C2C"/>
          <w:sz w:val="30"/>
          <w:szCs w:val="30"/>
        </w:rPr>
        <w:t xml:space="preserve">4.4 The quantitative reporting remains internally consistent and independently checkable</w:t>
      </w:r>
      <w:bookmarkEnd w:id="11"/>
    </w:p>
    <w:p>
      <w:pPr>
        <w:spacing w:after="120" w:before="0" w:line="312"/>
        <w:jc w:val="left"/>
      </w:pPr>
      <w:r>
        <w:rPr>
          <w:rFonts w:ascii="Times New Roman" w:eastAsia="SimSun"/>
          <w:b w:val="false"/>
          <w:bCs w:val="false"/>
          <w:i w:val="false"/>
          <w:iCs w:val="false"/>
          <w:color w:val="000000"/>
          <w:sz w:val="24"/>
          <w:szCs w:val="24"/>
        </w:rPr>
        <w:t xml:space="preserve">This reviewer re-verified the revised manuscript’s arithmetic as in round one. The corpus decompositions all sum to their denominators (stance: 42 + 36 + 10 + 10 + 2 = 100; twin role: 75 + 1 + 0 + 7 = 83; lifecycle: 66 + 12 + 4 + 1 + 0 = 83; evaluation method: 33 + 28 + 10 + 5 + 5 + 2 = 83; publication years: 1 + 5 + 2 + 8 + 8 + 31 + 45 = 100). The three Wilson intervals quoted in Section 5.5 (32–53%, 8–22%, 47–68%) reproduce exactly from 35/83, 11/83 and 48/83. Both collapsed κ values (0.60 for any engagement, 0.14 for substantive) reproduce from the disclosed 3 × 3 contingency table. The eleven substantive studies listed in the manuscript’s Table 5 reconcile with the per-vector substantive counts (adversarial ML 8, poisoning 7, LLM-specific 2, agentic 1, evasion 1). The single item this round’s verification could not confirm is the Figure 4 insider/supply-chain row pairing noted in Section 2.2; everything else checks.</w:t>
      </w:r>
    </w:p>
    <w:p>
      <w:pPr>
        <w:pStyle w:val="Heading2"/>
        <w:spacing w:after="120" w:before="240" w:line="312"/>
        <w:jc w:val="left"/>
      </w:pPr>
      <w:bookmarkStart w:name="_Toc12" w:id="12"/>
      <w:r>
        <w:rPr>
          <w:rFonts w:ascii="Times New Roman" w:eastAsia="SimHei"/>
          <w:b/>
          <w:bCs/>
          <w:color w:val="0B1C2C"/>
          <w:sz w:val="30"/>
          <w:szCs w:val="30"/>
        </w:rPr>
        <w:t xml:space="preserve">4.5 A research agenda that is genuinely testable</w:t>
      </w:r>
      <w:bookmarkEnd w:id="12"/>
    </w:p>
    <w:p>
      <w:pPr>
        <w:spacing w:after="120" w:before="0" w:line="312"/>
        <w:jc w:val="left"/>
      </w:pPr>
      <w:r>
        <w:rPr>
          <w:rFonts w:ascii="Times New Roman" w:eastAsia="SimSun"/>
          <w:b w:val="false"/>
          <w:bCs w:val="false"/>
          <w:i w:val="false"/>
          <w:iCs w:val="false"/>
          <w:color w:val="000000"/>
          <w:sz w:val="24"/>
          <w:szCs w:val="24"/>
        </w:rPr>
        <w:t xml:space="preserve">Each of the five agenda items names the gap that justifies it and the validation that would close it: P1 demands a reproducible twin-directed attack with a stated adaptive adversary because twin-as-target stands at 1/83; P2 moves security into design and commissioning because the corpus concentrates at operation; P3 requires stated attacker knowledge, capability and objective because only 19/83 studies commit to a threat model; P4 defends the learned components against poisoning and evasion; and P5 demands artifacts a third party can rerun without help. The agenda is therefore falsifiable rather than aspirational — a reader can, in principle, check in three years whether P1-style studies exist and whether they meet the stated validation criteria. The closing caution attached to P5, that the review measures research attention rather than deployment security, remains a thoughtful guard against over-reading the absence claim.</w:t>
      </w:r>
    </w:p>
    <w:p>
      <w:pPr>
        <w:pStyle w:val="Heading2"/>
        <w:spacing w:after="120" w:before="240" w:line="312"/>
        <w:jc w:val="left"/>
      </w:pPr>
      <w:bookmarkStart w:name="_Toc13" w:id="13"/>
      <w:r>
        <w:rPr>
          <w:rFonts w:ascii="Times New Roman" w:eastAsia="SimHei"/>
          <w:b/>
          <w:bCs/>
          <w:color w:val="0B1C2C"/>
          <w:sz w:val="30"/>
          <w:szCs w:val="30"/>
        </w:rPr>
        <w:t xml:space="preserve">4.6 Disciplined scope handling, now with explicit denominator management</w:t>
      </w:r>
      <w:bookmarkEnd w:id="13"/>
    </w:p>
    <w:p>
      <w:pPr>
        <w:spacing w:after="120" w:before="0" w:line="312"/>
        <w:jc w:val="left"/>
      </w:pPr>
      <w:r>
        <w:rPr>
          <w:rFonts w:ascii="Times New Roman" w:eastAsia="SimSun"/>
          <w:b w:val="false"/>
          <w:bCs w:val="false"/>
          <w:i w:val="false"/>
          <w:iCs w:val="false"/>
          <w:color w:val="000000"/>
          <w:sz w:val="24"/>
          <w:szCs w:val="24"/>
        </w:rPr>
        <w:t xml:space="preserve">The requirement that a study name a digital twin to enter the corpus is stated in the introduction, repeated in the abstract, and its consequence — an upper bound on how much attack-side research the corpus can contain — is made explicit rather than left for the reader to infer. Abstract-only records are treated as missing rather than zero; fields too near-constant for κ are reported as percentage agreement instead of being dropped silently; and the 17% full-text unobtainability rate is itself reported as a reproducibility finding, with the affected records listed by DOI. The revision adds the piece round one asked for: Section 5.1’s table now states which denominator supports which claim before any figure is quoted. What is still missing — a one-sentence reconciliation of that table’s 62 journal articles with the profile table’s 67 — is recorded in Section 6 of this report.</w:t>
      </w:r>
    </w:p>
    <w:p>
      <w:pPr>
        <w:pStyle w:val="Heading1"/>
        <w:spacing w:after="160" w:before="360" w:line="312"/>
        <w:jc w:val="center"/>
      </w:pPr>
      <w:bookmarkStart w:name="_Toc14" w:id="14"/>
      <w:r>
        <w:rPr>
          <w:rFonts w:ascii="Times New Roman" w:eastAsia="SimHei"/>
          <w:b/>
          <w:bCs/>
          <w:color w:val="0B1C2C"/>
          <w:sz w:val="32"/>
          <w:szCs w:val="32"/>
        </w:rPr>
        <w:t xml:space="preserve">5. Key Weaknesses</w:t>
      </w:r>
      <w:bookmarkEnd w:id="14"/>
    </w:p>
    <w:p>
      <w:pPr>
        <w:spacing w:after="120" w:before="0" w:line="312"/>
        <w:jc w:val="left"/>
      </w:pPr>
      <w:r>
        <w:rPr>
          <w:rFonts w:ascii="Times New Roman" w:eastAsia="SimSun"/>
          <w:b w:val="false"/>
          <w:bCs w:val="false"/>
          <w:i w:val="false"/>
          <w:iCs w:val="false"/>
          <w:color w:val="000000"/>
          <w:sz w:val="24"/>
          <w:szCs w:val="24"/>
        </w:rPr>
        <w:t xml:space="preserve">Six weaknesses are material, and five of them are carried over from round one essentially unchanged — which is itself the central finding of this section. The first two concern the selection stage and the flow record; the next two concern reliability and definitions; the fifth concerns framing and protocol compliance; the sixth is new, and concerns the revision’s own editorial quality. As in round one, the authors’ threats-to-validity section already concedes much of what follows; the difference is that after two rounds the concession has still not turned into repair.</w:t>
      </w:r>
    </w:p>
    <w:p>
      <w:pPr>
        <w:pStyle w:val="Heading2"/>
        <w:spacing w:after="120" w:before="240" w:line="312"/>
        <w:jc w:val="left"/>
      </w:pPr>
      <w:bookmarkStart w:name="_Toc15" w:id="15"/>
      <w:r>
        <w:rPr>
          <w:rFonts w:ascii="Times New Roman" w:eastAsia="SimHei"/>
          <w:b/>
          <w:bCs/>
          <w:color w:val="0B1C2C"/>
          <w:sz w:val="30"/>
          <w:szCs w:val="30"/>
        </w:rPr>
        <w:t xml:space="preserve">5.1 The non-probabilistic, recency-weighted selection still weakens the systematic-review claim</w:t>
      </w:r>
      <w:bookmarkEnd w:id="15"/>
    </w:p>
    <w:p>
      <w:pPr>
        <w:spacing w:after="120" w:before="0" w:line="312"/>
        <w:jc w:val="left"/>
      </w:pPr>
      <w:r>
        <w:rPr>
          <w:rFonts w:ascii="Times New Roman" w:eastAsia="SimSun"/>
          <w:b w:val="false"/>
          <w:bCs w:val="false"/>
          <w:i w:val="false"/>
          <w:iCs w:val="false"/>
          <w:color w:val="000000"/>
          <w:sz w:val="24"/>
          <w:szCs w:val="24"/>
        </w:rPr>
        <w:t xml:space="preserve">The step from 492 eligible records to the retained 100 remains a ranking on OpenAlex relevance score, citation count and recency — a purposive sample, not a PRISMA eligibility criterion — and the ranking formula is still not stated in the text, so the cut still cannot be reproduced from the paper alone. The recency problem is unchanged in substance: 76% of the corpus is from 2025–26, 45 studies are from the still-incomplete 2026, and the authors’ own Section 8.5 notes that “foundational attack-side work from 2020–2023 may be under-weighted.” Because the headline is an absence claim about attack-side engagement, a rule that systematically favors work published after the defensive-AI wave matured biases the sample in the direction of the finding. The revised abstract’s hedge — “the results are bounds, not population estimates” — is the right sentence, and round one asked for exactly it; but a hedge is not a repair. What would count as repair is unchanged from round one: publish the formula, date the search, and add one robustness check under an alternative selection such as all eligible 2020–2024 records.</w:t>
      </w:r>
    </w:p>
    <w:p>
      <w:pPr>
        <w:pStyle w:val="Heading2"/>
        <w:spacing w:after="120" w:before="240" w:line="312"/>
        <w:jc w:val="left"/>
      </w:pPr>
      <w:bookmarkStart w:name="_Toc16" w:id="16"/>
      <w:r>
        <w:rPr>
          <w:rFonts w:ascii="Times New Roman" w:eastAsia="SimHei"/>
          <w:b/>
          <w:bCs/>
          <w:color w:val="0B1C2C"/>
          <w:sz w:val="30"/>
          <w:szCs w:val="30"/>
        </w:rPr>
        <w:t xml:space="preserve">5.2 Probe accounting and the 469 denominator remain unreconciled</w:t>
      </w:r>
      <w:bookmarkEnd w:id="16"/>
    </w:p>
    <w:p>
      <w:pPr>
        <w:spacing w:after="120" w:before="0" w:line="312"/>
        <w:jc w:val="left"/>
      </w:pPr>
      <w:r>
        <w:rPr>
          <w:rFonts w:ascii="Times New Roman" w:eastAsia="SimSun"/>
          <w:b w:val="false"/>
          <w:bCs w:val="false"/>
          <w:i w:val="false"/>
          <w:iCs w:val="false"/>
          <w:color w:val="000000"/>
          <w:sz w:val="24"/>
          <w:szCs w:val="24"/>
        </w:rPr>
        <w:t xml:space="preserve">The flow arithmetic still screens only the 1,287 core records (1,287 − 795 = 492); the roughly 700 probe records appear nowhere in the screening counts, so a reader still cannot determine how many of the final 100 exist because of the probes. Section 8.5 still concedes that “the released files do not yet separate probe-only membership in the final 100; this is a gap in the record” — meaning the paper’s principal defense against retrieval bias is still, by its own admission, unaudited. The 24/469 screening-loss figure is still quoted three times (Sections 5.5, 6.4 and 8.2), and the 469 is still undefined, so the figure still supports no inference. The revision makes one change here, and it runs the wrong way: the new abstract drops all mention of the probes, so the most visible sentence in the paper (“we screened 1,287 unique OpenAlex records”) now understates the search that actually produced the corpus. Round one called this the single most important repair in the paper; nothing in the revision moves it, and the abstract rewrite moved it backwards.</w:t>
      </w:r>
    </w:p>
    <w:p>
      <w:pPr>
        <w:pStyle w:val="Heading2"/>
        <w:spacing w:after="120" w:before="240" w:line="312"/>
        <w:jc w:val="left"/>
      </w:pPr>
      <w:bookmarkStart w:name="_Toc17" w:id="17"/>
      <w:r>
        <w:rPr>
          <w:rFonts w:ascii="Times New Roman" w:eastAsia="SimHei"/>
          <w:b/>
          <w:bCs/>
          <w:color w:val="0B1C2C"/>
          <w:sz w:val="30"/>
          <w:szCs w:val="30"/>
        </w:rPr>
        <w:t xml:space="preserve">5.3 Headline fields still carry moderate reliability, and the adjudication design still amplifies it</w:t>
      </w:r>
      <w:bookmarkEnd w:id="17"/>
    </w:p>
    <w:p>
      <w:pPr>
        <w:spacing w:after="120" w:before="0" w:line="312"/>
        <w:jc w:val="left"/>
      </w:pPr>
      <w:r>
        <w:rPr>
          <w:rFonts w:ascii="Times New Roman" w:eastAsia="SimSun"/>
          <w:b w:val="false"/>
          <w:bCs w:val="false"/>
          <w:i w:val="false"/>
          <w:iCs w:val="false"/>
          <w:color w:val="000000"/>
          <w:sz w:val="24"/>
          <w:szCs w:val="24"/>
        </w:rPr>
        <w:t xml:space="preserve">The constructs the paper most needs are still its least reliable: κ = 0.41 for overall AI-threat engagement, 0.39 for evasion, 0.14 for attack-surface naming, and 0.14 for the collapsed substantive-versus-not comparison — the last on 15/20 raw agreement, a rare-event artifact the authors correctly diagnose but cannot argue away. The reliability sample is still 20 studies, so the standard error of κ remains of order 0.2–0.3 and every point estimate in the table remains unstable. Coder 1 still coded 80% of the corpus, still prevails in adjudication ties, and still shows the documented default-category style — assigning “high, yes, operation, single” — that runs in the direction of the lifecycle headline; that field still combines the lowest interpretable agreement (κ = 0.32) with a known bias mechanism pointing toward the finding. The revision retains the caveats: the abstract and conclusion both carry κ = 0.32 next to 66/83, and the Highlights flag the substantive figure as “(fragile, post-hoc).” Round one credited exactly this. What has not happened, in either round, is the repair: no blinded re-coding of lifecycle_stage, no enlarged reliability sample, no bounding statement in place of the point estimate.</w:t>
      </w:r>
    </w:p>
    <w:p>
      <w:pPr>
        <w:pStyle w:val="Heading2"/>
        <w:spacing w:after="120" w:before="240" w:line="312"/>
        <w:jc w:val="left"/>
      </w:pPr>
      <w:bookmarkStart w:name="_Toc18" w:id="18"/>
      <w:r>
        <w:rPr>
          <w:rFonts w:ascii="Times New Roman" w:eastAsia="SimHei"/>
          <w:b/>
          <w:bCs/>
          <w:color w:val="0B1C2C"/>
          <w:sz w:val="30"/>
          <w:szCs w:val="30"/>
        </w:rPr>
        <w:t xml:space="preserve">5.4 The one-study twin-as-target headline remains partly definitional — and the revision removed an acknowledgment</w:t>
      </w:r>
      <w:bookmarkEnd w:id="18"/>
    </w:p>
    <w:p>
      <w:pPr>
        <w:spacing w:after="120" w:before="0" w:line="312"/>
        <w:jc w:val="left"/>
      </w:pPr>
      <w:r>
        <w:rPr>
          <w:rFonts w:ascii="Times New Roman" w:eastAsia="SimSun"/>
          <w:b w:val="false"/>
          <w:bCs w:val="false"/>
          <w:i w:val="false"/>
          <w:iCs w:val="false"/>
          <w:color w:val="000000"/>
          <w:sz w:val="24"/>
          <w:szCs w:val="24"/>
        </w:rPr>
        <w:t xml:space="preserve">A twin_role value of “both” is still zero by definition — a paper must explicitly state the defensive/attack tension to score it — and “target” still requires the twin to be “the adversary’s objective rather than an asset to be protected.” These are defensible conservative coding rules, and their practical effect is unchanged: the manuscript’s most striking sentence — the twin is an attack target “in exactly one study” — is partly a coding-rule artifact, and the single supporting study concerns vehicle twins, so the grid-specific count is effectively zero. Round one asked the authors either to compute the looser “asset under protection” count or to carry the qualifier consistently through every statement of the claim. The revision does neither, and goes one step backwards: the round-one abstract stated explicitly that “under a looser ‘asset under protection’ definition it is uncomputed,” while the revised abstract drops that sentence, leaving “at most one study under a strict codebook definition” without the disclosure that the looser count was never calculated. The Conclusion, the one location round one specifically named, still quotes “exactly one study” with no qualifier at all.</w:t>
      </w:r>
    </w:p>
    <w:p>
      <w:pPr>
        <w:pStyle w:val="Heading2"/>
        <w:spacing w:after="120" w:before="240" w:line="312"/>
        <w:jc w:val="left"/>
      </w:pPr>
      <w:bookmarkStart w:name="_Toc19" w:id="19"/>
      <w:r>
        <w:rPr>
          <w:rFonts w:ascii="Times New Roman" w:eastAsia="SimHei"/>
          <w:b/>
          <w:bCs/>
          <w:color w:val="0B1C2C"/>
          <w:sz w:val="30"/>
          <w:szCs w:val="30"/>
        </w:rPr>
        <w:t xml:space="preserve">5.5 Protocol compliance and the theory-testing framing are unchanged</w:t>
      </w:r>
      <w:bookmarkEnd w:id="19"/>
    </w:p>
    <w:p>
      <w:pPr>
        <w:spacing w:after="120" w:before="0" w:line="312"/>
        <w:jc w:val="left"/>
      </w:pPr>
      <w:r>
        <w:rPr>
          <w:rFonts w:ascii="Times New Roman" w:eastAsia="SimSun"/>
          <w:b w:val="false"/>
          <w:bCs w:val="false"/>
          <w:i w:val="false"/>
          <w:iCs w:val="false"/>
          <w:color w:val="000000"/>
          <w:sz w:val="24"/>
          <w:szCs w:val="24"/>
        </w:rPr>
        <w:t xml:space="preserve">By the authors’ own inventory, PRISMA compliance is still partial: one database (OpenAlex alone — no IEEE Xplore, Scopus or Web of Science, despite IEEE venues publishing much of the field’s primary literature), no stated search date, no registered protocol, and five codebook revisions after the protocol was “fixed” — logged and dated, but still a researcher degree of freedom. No formal risk-of-bias or venue-quality appraisal was performed on a corpus that includes theses, preprints, and venues the text itself names as low-strictness (IRJMETS, GSC Online Press), including at least one anonymously authored record. And the theory-testing framing still carries the circularity round one described: the hypothesis was formed from “early reading” of the same literature, and the test sample is a non-random, recency-weighted subset of that same population, so the design cannot fail in the way a genuine test could — any corpus selected this way would tend to confirm the pattern that motivated its selection. The descriptive contribution is real and valuable whether or not anything is “tested”; the framing still overstates what the design supports, and the round-one request to soften it was not taken up.</w:t>
      </w:r>
    </w:p>
    <w:p>
      <w:pPr>
        <w:pStyle w:val="Heading2"/>
        <w:spacing w:after="120" w:before="240" w:line="312"/>
        <w:jc w:val="left"/>
      </w:pPr>
      <w:bookmarkStart w:name="_Toc20" w:id="20"/>
      <w:r>
        <w:rPr>
          <w:rFonts w:ascii="Times New Roman" w:eastAsia="SimHei"/>
          <w:b/>
          <w:bCs/>
          <w:color w:val="0B1C2C"/>
          <w:sz w:val="30"/>
          <w:szCs w:val="30"/>
        </w:rPr>
        <w:t xml:space="preserve">5.6 The revision’s own editorial quality: new defects alongside unfixed old ones</w:t>
      </w:r>
      <w:bookmarkEnd w:id="20"/>
    </w:p>
    <w:p>
      <w:pPr>
        <w:spacing w:after="120" w:before="0" w:line="312"/>
        <w:jc w:val="left"/>
      </w:pPr>
      <w:r>
        <w:rPr>
          <w:rFonts w:ascii="Times New Roman" w:eastAsia="SimSun"/>
          <w:b w:val="false"/>
          <w:bCs w:val="false"/>
          <w:i w:val="false"/>
          <w:iCs w:val="false"/>
          <w:color w:val="000000"/>
          <w:sz w:val="24"/>
          <w:szCs w:val="24"/>
        </w:rPr>
        <w:t xml:space="preserve">The revision introduces or propagates five presentation defects while fixing others, and their location matters. The abstract’s reliability sentence is garbled (Section 2.2 of this report) — and it sits in the most visible part of the paper. The three headline proportions lose their percent signs. Two cross-references are wrong: Section 4.3 points to “the Section 5.4 figures” that now live in Section 5.5, and Section 6.4 points to “Section 5.8” for a comparison that lives in Section 5.5 — the latter an error that existed in round one and was incremented rather than corrected by the renumbering. The duplicated sentence in the reliability results survives an explicit round-one request for deletion. And the new denominators table (Table 2) lists “Journal articles 62” one section before the profile table (Table 3) lists “Journal article 67,” displaying the unreconciled pair twice without explaining that 62 is presumably the full-text subset. None of these is fatal, and all are cheap to fix — which is precisely why they should not survive a third round.</w:t>
      </w:r>
    </w:p>
    <w:p>
      <w:pPr>
        <w:pStyle w:val="Heading1"/>
        <w:spacing w:after="160" w:before="360" w:line="312"/>
        <w:jc w:val="center"/>
      </w:pPr>
      <w:bookmarkStart w:name="_Toc21" w:id="21"/>
      <w:r>
        <w:rPr>
          <w:rFonts w:ascii="Times New Roman" w:eastAsia="SimHei"/>
          <w:b/>
          <w:bCs/>
          <w:color w:val="0B1C2C"/>
          <w:sz w:val="32"/>
          <w:szCs w:val="32"/>
        </w:rPr>
        <w:t xml:space="preserve">6. Minor and Editorial Issues</w:t>
      </w:r>
      <w:bookmarkEnd w:id="21"/>
    </w:p>
    <w:p>
      <w:pPr>
        <w:spacing w:after="120" w:before="0" w:line="312"/>
        <w:jc w:val="left"/>
      </w:pPr>
      <w:r>
        <w:rPr>
          <w:rFonts w:ascii="Times New Roman" w:eastAsia="SimSun"/>
          <w:b w:val="false"/>
          <w:bCs w:val="false"/>
          <w:i w:val="false"/>
          <w:iCs w:val="false"/>
          <w:color w:val="000000"/>
          <w:sz w:val="24"/>
          <w:szCs w:val="24"/>
        </w:rPr>
        <w:t xml:space="preserve">The following items are editorial or small reporting fixes, listed in the order in which they appear in the revised manuscript. Items carried over from round one are marked as second requests; none requires new analysis.</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Rewrite the abstract’s reliability sentence. Suggested wording: “In a 20% blind sample, two coders agreed on any-versus-none engagement at κ = 0.60 (16/20) and on substantive-versus-not at κ = 0.14 (one shared substantive label of six); the corpus-level figures are therefore bounds, not population estimates.”</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Restore the percent signs in the abstract’s headline proportions: 42.2%, 13.3%, 57.8%.</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Restore the abstract’s mention of the four adversarial-AI probes; without it, “1,287 unique OpenAlex records” understates the search that produced the corpus.</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Correct the cross-reference in Section 4.3: “the Section 5.4 figures” should read “Section 5.5” under the revised numbering.</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Correct the cross-reference in Section 6.4: “the abstract-versus-full-text comparison in Section 5.8” should read “Section 5.5.”</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Verify Figure 4’s insider and supply-chain rows against Table 4 (20 and 19 records respectively); in the text layer supplied to this reviewer they read 19 and 20, suggesting a transposition.</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Delete the duplicated sentence in the reliability results of Section 5.7 (“A statistical artefact of rare events with high overall agreement (15/20)…”). Second request.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Reconcile the 62 journal articles of Table 2 with the 67 of Table 3 — presumably 67 minus the abstract-only journal articles — and state the restriction in one sentence. Second request.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Define the 469 denominator behind the 24/469 abstract-level figure, or remove the figure; as printed it supports no inference. Second request.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Consider restoring, in the abstract, a calibration the previous version carried: that the asymmetry is “one of emphasis rather than absence” (the phrase survives in Section 5.5 but no longer in the abstract).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Explain what “and its direction” means for the 17% full-text unobtainability rate, or delete the phrase. Second request.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Add the search date or date range to Section 4.2; the threats-to-validity section lists its absence as a limitation. Second request.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Provide the repository URL or DOI in the data-availability statement. Second request.</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Tables 6 and 7 (reliability and agenda) sit after the reference list while Tables 1–5 are inline; if this is float overflow rather than deliberate end-placement, fix the source so each table sits near its referencing section.</w:t>
      </w:r>
    </w:p>
    <w:p>
      <w:pPr>
        <w:pStyle w:val="ListParagraph"/>
        <w:numPr>
          <w:ilvl w:val="0"/>
          <w:numId w:val="2"/>
        </w:numPr>
        <w:spacing w:after="100" w:line="312"/>
        <w:jc w:val="left"/>
      </w:pPr>
      <w:r>
        <w:rPr>
          <w:rFonts w:ascii="Times New Roman" w:eastAsia="SimSun"/>
          <w:b w:val="false"/>
          <w:bCs w:val="false"/>
          <w:i w:val="false"/>
          <w:iCs w:val="false"/>
          <w:color w:val="000000"/>
          <w:sz w:val="24"/>
          <w:szCs w:val="24"/>
        </w:rPr>
        <w:t xml:space="preserve">The corpus-record identifier [27] in Section 8.7 still reads as a reference citation; Table 5’s caption disclaimer does not cover in-text uses. Consider a distinct notation (for example “R27”) for corpus record identifiers. Second request.</w:t>
      </w:r>
    </w:p>
    <w:p>
      <w:pPr>
        <w:pStyle w:val="Heading1"/>
        <w:spacing w:after="160" w:before="360" w:line="312"/>
        <w:jc w:val="center"/>
      </w:pPr>
      <w:bookmarkStart w:name="_Toc22" w:id="22"/>
      <w:r>
        <w:rPr>
          <w:rFonts w:ascii="Times New Roman" w:eastAsia="SimHei"/>
          <w:b/>
          <w:bCs/>
          <w:color w:val="0B1C2C"/>
          <w:sz w:val="32"/>
          <w:szCs w:val="32"/>
        </w:rPr>
        <w:t xml:space="preserve">7. Questions for the Authors</w:t>
      </w:r>
      <w:bookmarkEnd w:id="22"/>
    </w:p>
    <w:p>
      <w:pPr>
        <w:spacing w:after="120" w:before="0" w:line="312"/>
        <w:jc w:val="left"/>
      </w:pPr>
      <w:r>
        <w:rPr>
          <w:rFonts w:ascii="Times New Roman" w:eastAsia="SimSun"/>
          <w:b w:val="false"/>
          <w:bCs w:val="false"/>
          <w:i w:val="false"/>
          <w:iCs w:val="false"/>
          <w:color w:val="000000"/>
          <w:sz w:val="24"/>
          <w:szCs w:val="24"/>
        </w:rPr>
        <w:t xml:space="preserve">Questions 1–8 are carried over from round one, unchanged in substance because the manuscript’s substance is unchanged; questions 9 and 10 are new. Questions 1 and 9 are the most important: the first concerns the integrity of the probe defense, on which several of this review’s criticisms turn, and the second the accuracy of the revised abstract.</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How many of the retained 100 studies were retrieved only by the four adversarial-AI probes? If the answer is zero or near zero, the probe defense against retrieval bias does not hold in its current form.</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What is the exact formula and weighting of the relevance–citation–recency ranking behind the 492-to-100 cut, and was it fixed before screening?</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Were the roughly 700 probe records screened under the same rule as the 1,287 core records? The flow arithmetic (1,287 − 795 = 492) suggests they were not; please reconcile the numbers.</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What population does the 469 denominator denote in the abstract-level screening figure?</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Does “62 journal articles” mean the full-text journal articles — that is, 67 minus the abstract-only ones? Please state the restriction explicitly.</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Given the documented default-category bias toward “operation,” how confident are you in 66/83 as a point estimate rather than an upper bound, and would a blinded re-coding of lifecycle_stage be feasible?</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Under the looser “asset under protection” definition, how many studies would qualify as treating the twin as attacked? Please compute the figure.</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Were any of the 45 studies dated 2026 still in press or preprint at retrieval, and how were version changes handled during coding?</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What is the intended meaning of the abstract’s sentence “Two coders agreed on 35/83 at κ = 0.60 for ‘any engagement’ and one of six at κ = 0.14 for ‘substantive’ engagement”? The κ values derive from the 20-study sample; as written, the sentence cannot be parsed correctly.</w:t>
      </w:r>
    </w:p>
    <w:p>
      <w:pPr>
        <w:pStyle w:val="ListParagraph"/>
        <w:numPr>
          <w:ilvl w:val="0"/>
          <w:numId w:val="3"/>
        </w:numPr>
        <w:spacing w:after="100" w:line="312"/>
        <w:jc w:val="left"/>
      </w:pPr>
      <w:r>
        <w:rPr>
          <w:rFonts w:ascii="Times New Roman" w:eastAsia="SimSun"/>
          <w:b w:val="false"/>
          <w:bCs w:val="false"/>
          <w:i w:val="false"/>
          <w:iCs w:val="false"/>
          <w:color w:val="000000"/>
          <w:sz w:val="24"/>
          <w:szCs w:val="24"/>
        </w:rPr>
        <w:t xml:space="preserve">Was Figure 4 regenerated during the revision? If so, please confirm that the insider and supply-chain rows match Table 4.</w:t>
      </w:r>
    </w:p>
    <w:p>
      <w:pPr>
        <w:pStyle w:val="Heading1"/>
        <w:spacing w:after="160" w:before="360" w:line="312"/>
        <w:jc w:val="center"/>
      </w:pPr>
      <w:bookmarkStart w:name="_Toc23" w:id="23"/>
      <w:r>
        <w:rPr>
          <w:rFonts w:ascii="Times New Roman" w:eastAsia="SimHei"/>
          <w:b/>
          <w:bCs/>
          <w:color w:val="0B1C2C"/>
          <w:sz w:val="32"/>
          <w:szCs w:val="32"/>
        </w:rPr>
        <w:t xml:space="preserve">8. Recommendation and Revision Priorities</w:t>
      </w:r>
      <w:bookmarkEnd w:id="23"/>
    </w:p>
    <w:p>
      <w:pPr>
        <w:spacing w:after="120" w:before="0" w:line="312"/>
        <w:jc w:val="left"/>
      </w:pPr>
      <w:r>
        <w:rPr>
          <w:rFonts w:ascii="Times New Roman" w:eastAsia="SimSun"/>
          <w:b w:val="false"/>
          <w:bCs w:val="false"/>
          <w:i w:val="false"/>
          <w:iCs w:val="false"/>
          <w:color w:val="000000"/>
          <w:sz w:val="24"/>
          <w:szCs w:val="24"/>
        </w:rPr>
        <w:t xml:space="preserve">Recommendation: </w:t>
      </w:r>
      <w:r>
        <w:rPr>
          <w:rFonts w:ascii="Times New Roman" w:eastAsia="SimSun"/>
          <w:b/>
          <w:bCs/>
          <w:i w:val="false"/>
          <w:iCs w:val="false"/>
          <w:color w:val="000000"/>
          <w:sz w:val="24"/>
          <w:szCs w:val="24"/>
        </w:rPr>
        <w:t xml:space="preserve">major revision (second round)</w:t>
      </w:r>
      <w:r>
        <w:rPr>
          <w:rFonts w:ascii="Times New Roman" w:eastAsia="SimSun"/>
          <w:b w:val="false"/>
          <w:bCs w:val="false"/>
          <w:i w:val="false"/>
          <w:iCs w:val="false"/>
          <w:color w:val="000000"/>
          <w:sz w:val="24"/>
          <w:szCs w:val="24"/>
        </w:rPr>
        <w:t xml:space="preserve">. The manuscript’s core contribution — the first grid-scale, corpus-published, reliability-bounded quantification of the defensive-versus-attack-side asymmetry in digital-twin security — remains worth publishing, and its transparency still sets a standard the field should imitate. The revision’s presentation work is real and partially successful. But a second round that leaves all six substantive priorities from round one untouched, drops one calibration device from the abstract, and introduces a garbled sentence and two broken cross-references in the paper’s most visible sections cannot be accepted in its present form. The remaining repairs are tractable: none requires new research, most are reporting and accounting corrections, and at least three are items the authors’ own threats-to-validity section already concedes are needed. Table 4 sets out the priorities in order, mapped to the weaknesses identified in Section 5 of this report.</w:t>
      </w:r>
    </w:p>
    <w:p>
      <w:pPr>
        <w:keepNext/>
        <w:spacing w:after="100" w:before="160" w:line="312"/>
        <w:jc w:val="left"/>
      </w:pPr>
      <w:r>
        <w:rPr>
          <w:rFonts w:ascii="Times New Roman" w:eastAsia="SimHei"/>
          <w:b/>
          <w:bCs/>
          <w:color w:val="0B1C2C"/>
          <w:sz w:val="21"/>
          <w:szCs w:val="21"/>
        </w:rPr>
        <w:t xml:space="preserve">Table 4: Second-round revision priorities</w:t>
      </w:r>
    </w:p>
    <w:tbl>
      <w:tblPr>
        <w:tblW w:type="pct" w:w="5000"/>
        <w:tblBorders>
          <w:top w:val="single" w:color="529286" w:sz="4"/>
          <w:left w:val="none" w:color="FFFFFF" w:sz="0"/>
          <w:bottom w:val="single" w:color="529286" w:sz="4"/>
          <w:right w:val="none" w:color="FFFFFF" w:sz="0"/>
          <w:insideH w:val="single" w:color="BECFCC" w:sz="1"/>
          <w:insideV w:val="none" w:color="FFFFFF" w:sz="0"/>
        </w:tblBorders>
      </w:tblPr>
      <w:tblGrid>
        <w:gridCol w:w="967"/>
        <w:gridCol w:w="5888"/>
        <w:gridCol w:w="1933"/>
      </w:tblGrid>
      <w:tr>
        <w:trPr>
          <w:cantSplit/>
          <w:tblHeader/>
        </w:trPr>
        <w:tc>
          <w:tcPr>
            <w:tcW w:type="pct" w:w="5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Priority</w:t>
            </w:r>
          </w:p>
        </w:tc>
        <w:tc>
          <w:tcPr>
            <w:tcW w:type="pct" w:w="335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Required action</w:t>
            </w:r>
          </w:p>
        </w:tc>
        <w:tc>
          <w:tcPr>
            <w:tcW w:type="pct" w:w="1100"/>
            <w:shd w:fill="529286" w:val="clear"/>
            <w:tcMar>
              <w:top w:type="dxa" w:w="80"/>
              <w:left w:type="dxa" w:w="120"/>
              <w:bottom w:type="dxa" w:w="80"/>
              <w:right w:type="dxa" w:w="120"/>
            </w:tcMar>
          </w:tcPr>
          <w:p>
            <w:pPr>
              <w:spacing w:line="312"/>
              <w:jc w:val="left"/>
            </w:pPr>
            <w:r>
              <w:rPr>
                <w:rFonts w:ascii="Times New Roman" w:eastAsia="SimHei"/>
                <w:b/>
                <w:bCs/>
                <w:color w:val="FFFFFF"/>
                <w:sz w:val="21"/>
                <w:szCs w:val="21"/>
              </w:rPr>
              <w:t xml:space="preserve">Addresses</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1</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Reconcile the PRISMA flow with the probe records and define the 469 denominator: state how many of the roughly 2,000 candidates were screened, how many of the final 100 are probe-only, and what population 469 denotes</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5.2</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2</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State the search dates and the exact relevance–citation–recency ranking; add a robustness check under an alternative selection (for example, all eligible 2020–2024 records)</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Weaknesses 5.1, 5.5</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3</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Re-code or bound lifecycle_stage with a blinded second pass</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5.3</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4</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Compute the looser “asset under protection” twin-as-target count; carry the vehicle-twin qualifier in the Conclusion, and restore (or replace with the computed figure) the abstract’s “uncomputed” acknowledgment</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5.4</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5</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Repair the revision-introduced defects: rewrite the abstract’s reliability sentence, restore the percent signs and the probe mention, correct the two cross-references, and delete the duplicated sentence in Section 5.7 (second request)</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 5.6</w:t>
            </w:r>
          </w:p>
        </w:tc>
      </w:tr>
      <w:tr>
        <w:trPr>
          <w:cantSplit/>
        </w:trPr>
        <w:tc>
          <w:tcPr>
            <w:tcW w:type="pct" w:w="550"/>
            <w:tcMar>
              <w:top w:type="dxa" w:w="60"/>
              <w:left w:type="dxa" w:w="120"/>
              <w:bottom w:type="dxa" w:w="60"/>
              <w:right w:type="dxa" w:w="120"/>
            </w:tcMar>
          </w:tcPr>
          <w:p>
            <w:pPr>
              <w:spacing w:line="312"/>
              <w:jc w:val="left"/>
            </w:pPr>
            <w:r>
              <w:rPr>
                <w:rFonts w:ascii="Times New Roman" w:eastAsia="SimSun"/>
                <w:color w:val="000000"/>
                <w:sz w:val="21"/>
                <w:szCs w:val="21"/>
              </w:rPr>
              <w:t xml:space="preserve">6</w:t>
            </w:r>
          </w:p>
        </w:tc>
        <w:tc>
          <w:tcPr>
            <w:tcW w:type="pct" w:w="3350"/>
            <w:tcMar>
              <w:top w:type="dxa" w:w="60"/>
              <w:left w:type="dxa" w:w="120"/>
              <w:bottom w:type="dxa" w:w="60"/>
              <w:right w:type="dxa" w:w="120"/>
            </w:tcMar>
          </w:tcPr>
          <w:p>
            <w:pPr>
              <w:spacing w:line="312"/>
              <w:jc w:val="left"/>
            </w:pPr>
            <w:r>
              <w:rPr>
                <w:rFonts w:ascii="Times New Roman" w:eastAsia="SimSun"/>
                <w:color w:val="000000"/>
                <w:sz w:val="21"/>
                <w:szCs w:val="21"/>
              </w:rPr>
              <w:t xml:space="preserve">Complete the editorial residue: reconcile 62 vs 67, explain “and its direction”, add the search date, supply the repository link, disambiguate in-text corpus identifiers, and reposition Tables 6–7</w:t>
            </w:r>
          </w:p>
        </w:tc>
        <w:tc>
          <w:tcPr>
            <w:tcW w:type="pct" w:w="1100"/>
            <w:tcMar>
              <w:top w:type="dxa" w:w="60"/>
              <w:left w:type="dxa" w:w="120"/>
              <w:bottom w:type="dxa" w:w="60"/>
              <w:right w:type="dxa" w:w="120"/>
            </w:tcMar>
          </w:tcPr>
          <w:p>
            <w:pPr>
              <w:spacing w:line="312"/>
              <w:jc w:val="left"/>
            </w:pPr>
            <w:r>
              <w:rPr>
                <w:rFonts w:ascii="Times New Roman" w:eastAsia="SimSun"/>
                <w:color w:val="000000"/>
                <w:sz w:val="21"/>
                <w:szCs w:val="21"/>
              </w:rPr>
              <w:t xml:space="preserve">Weaknesses 5.6, 5.2</w:t>
            </w:r>
          </w:p>
        </w:tc>
      </w:tr>
    </w:tbl>
    <w:p>
      <w:pPr>
        <w:spacing w:after="120" w:before="160" w:line="312"/>
        <w:jc w:val="left"/>
      </w:pPr>
      <w:r>
        <w:rPr>
          <w:rFonts w:ascii="Times New Roman" w:eastAsia="SimSun"/>
          <w:b w:val="false"/>
          <w:bCs w:val="false"/>
          <w:i w:val="false"/>
          <w:iCs w:val="false"/>
          <w:color w:val="000000"/>
          <w:sz w:val="24"/>
          <w:szCs w:val="24"/>
        </w:rPr>
        <w:t xml:space="preserve">Two closing observations. First, the round-one review’s central request — extend the disclosure instinct to the selection stage — has been answered with more disclosure everywhere except the selection stage, which remains the least transparent part of the pipeline. The single most valuable addition the next revision could make is still the answer to Question 1: if the adversarial probes surfaced attack-side records that the ranking then discarded, the asymmetry story becomes more complicated and more interesting than the present draft allows, and the review will be stronger for having quantified it.</w:t>
      </w:r>
    </w:p>
    <w:p>
      <w:pPr>
        <w:spacing w:after="120" w:before="160" w:line="312"/>
        <w:jc w:val="left"/>
      </w:pPr>
      <w:r>
        <w:rPr>
          <w:rFonts w:ascii="Times New Roman" w:eastAsia="SimSun"/>
          <w:b w:val="false"/>
          <w:bCs w:val="false"/>
          <w:i w:val="false"/>
          <w:iCs w:val="false"/>
          <w:color w:val="000000"/>
          <w:sz w:val="24"/>
          <w:szCs w:val="24"/>
        </w:rPr>
        <w:t xml:space="preserve">Second, a process observation offered constructively: the defects this revision introduced — the abstract sentence, the percent signs, the cross-references — are all of the kind that a full-document read-through after renumbering would have caught. The remaining to-do list is short, precise and mostly mechanical; a careful editorial pass over the final PDF, not only over the changed sections, would close half of it in an afternoon. The direction of the finding is credible, and the authors’ instinct to disclose rather than hide fragile numbers remains the manuscript’s greatest asset; with the accounting repaired and the abstract corrected, the magnitude can become quotable too.</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12"/>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12"/>
      <w:jc w:val="center"/>
    </w:pPr>
    <w:r>
      <w:rPr>
        <w:rFonts w:ascii="Times New Roman" w:eastAsia="SimSun"/>
        <w:color w:val="808080"/>
        <w:sz w:val="18"/>
        <w:szCs w:val="18"/>
      </w:rPr>
      <w:t xml:space="preserve">Peer Review Report (Second Round) — Digital Twins for Cyber-Resilient Power Grids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B1C2C"/>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B1C2C"/>
      <w:sz w:val="30"/>
      <w:szCs w:val="30"/>
    </w:rPr>
  </w:style>
  <w:style w:type="paragraph" w:styleId="Heading3">
    <w:name w:val="Heading 3"/>
    <w:basedOn w:val="Normal"/>
    <w:next w:val="Normal"/>
    <w:qFormat/>
    <w:pPr>
      <w:spacing w:after="100" w:before="200" w:line="312"/>
      <w:outlineLvl w:val="2"/>
    </w:pPr>
    <w:rPr>
      <w:rFonts w:ascii="Times New Roman" w:eastAsia="SimHei"/>
      <w:b/>
      <w:bCs/>
      <w:color w:val="0B1C2C"/>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 Review Report (Second Round) - Digital Twins for Cyber-Resilient Power Grids</dc:title>
  <dc:creator>Peer Reviewer</dc:creator>
  <dc:description>Second-round peer review of the revised systematic review manuscript on digital twins for power-grid cybersecurity</dc:description>
  <cp:lastModifiedBy>Un-named</cp:lastModifiedBy>
  <cp:revision>1</cp:revision>
  <dcterms:created xsi:type="dcterms:W3CDTF">2026-10-16T14:31:52.216Z</dcterms:created>
  <dcterms:modified xsi:type="dcterms:W3CDTF">2026-10-16T14:31:52.216Z</dcterms:modified>
</cp:coreProperties>
</file>

<file path=docProps/custom.xml><?xml version="1.0" encoding="utf-8"?>
<Properties xmlns="http://schemas.openxmlformats.org/officeDocument/2006/custom-properties" xmlns:vt="http://schemas.openxmlformats.org/officeDocument/2006/docPropsVTypes"/>
</file>