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400" w:lineRule="atLeast"/>
        <w:jc w:val="center"/>
      </w:pPr>
      <w:r>
        <w:rPr>
          <w:rFonts w:ascii="Times New Roman" w:eastAsia="SimSun"/>
          <w:b/>
          <w:bCs/>
          <w:color w:val="000000"/>
          <w:sz w:val="32"/>
          <w:szCs w:val="32"/>
        </w:rPr>
        <w:t xml:space="preserve">IET Communications — Submission Checklist</w:t>
      </w:r>
    </w:p>
    <w:p>
      <w:pPr>
        <w:spacing w:after="140" w:before="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This checklist maps the files in this package to a submission of the manuscript “Is Wireless Security Ready for the AI Era?” to IET Communications (published by Wiley). Complete the actions in section 3 before uploading; nothing else in the package requires editing.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1. Journal and submission route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Journal: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IET Communications — journal home at https://ietresearch.onlinelibrary.wiley.com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Submission system: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ScholarOne Manuscripts — follow the “Submit an article” link on the journal home page (the journal's ScholarOne site has historically been at https://mc.manuscriptcentral.com/iet-com)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Article type: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Review Article (select the journal's review category)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Initial format: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many Wiley/IET titles accept free-format initial submissions; this manuscript uses a clean single-column layout with numbered corpus-ID citations, so confirm against the current Author Guidelines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2. File-by-file upload map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9"/>
        <w:gridCol w:w="2988"/>
        <w:gridCol w:w="3691"/>
      </w:tblGrid>
      <w:tr>
        <w:trPr>
          <w:cantSplit/>
          <w:tblHeader/>
        </w:trPr>
        <w:tc>
          <w:tcPr>
            <w:tcW w:type="pct" w:w="12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ScholarOne slot</w:t>
            </w:r>
          </w:p>
        </w:tc>
        <w:tc>
          <w:tcPr>
            <w:tcW w:type="pct" w:w="17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File in this package</w:t>
            </w:r>
          </w:p>
        </w:tc>
        <w:tc>
          <w:tcPr>
            <w:tcW w:type="pct" w:w="21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Notes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Main Document</w:t>
            </w:r>
          </w:p>
        </w:tc>
        <w:tc>
          <w:tcPr>
            <w:tcW w:type="pct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01_Manuscript_IET_Communications.docx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Editable file; the matching PDF is provided for reference and for systems that accept PDF at first submission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Cover Letter</w:t>
            </w:r>
          </w:p>
        </w:tc>
        <w:tc>
          <w:tcPr>
            <w:tcW w:type="pct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02_Cover_Letter_IET_Communications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Attach the file or paste its text into the cover-letter field, as the system allows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Declarations / Conflict of Interest</w:t>
            </w:r>
          </w:p>
        </w:tc>
        <w:tc>
          <w:tcPr>
            <w:tcW w:type="pct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03_Declarations_IET_Communications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CRediT roles, funding, conflicts, data availability, ethics, AI-use disclosure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Highlights (if the form has this slot)</w:t>
            </w:r>
          </w:p>
        </w:tc>
        <w:tc>
          <w:tcPr>
            <w:tcW w:type="pct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04_Highlights_IET_Communications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Five bullets of 85 characters or fewer each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Suggested Reviewers</w:t>
            </w:r>
          </w:p>
        </w:tc>
        <w:tc>
          <w:tcPr>
            <w:tcW w:type="pct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05_Suggested_Reviewers_IET_Communications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For reference — enter names and verified emails directly in the system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Supplementary Material</w:t>
            </w:r>
          </w:p>
        </w:tc>
        <w:tc>
          <w:tcPr>
            <w:tcW w:type="pct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07_Supplementary_ScholarOne_Upload.zip (assembled from the 07_Supplementary folder)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Classified corpus, bibliography, and analysis scripts; the mirror route in item 3 is the default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Figures (if requested separately)</w:t>
            </w:r>
          </w:p>
        </w:tc>
        <w:tc>
          <w:tcPr>
            <w:tcW w:type="pct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Figures/Figure_01–14 (300 dpi PNG)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All 14 figures are also embedded in the manuscript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3. Before you submit — actions for the authors</w:t>
      </w:r>
    </w:p>
    <w:p>
      <w:pPr>
        <w:pStyle w:val="ListParagraph"/>
        <w:numPr>
          <w:ilvl w:val="0"/>
          <w:numId w:val="2"/>
        </w:numPr>
        <w:spacing w:after="10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Enter author details in ScholarOne.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The title page carries the affiliation and ORCID iDs; mirror them in the submission metadata for both authors: Hussain Touhid Siddiquee (corresponding author; ORCID iD 0009-0002-8804-6195) and Md. Abul Malek Fahim (ORCID iD 0009-0009-4196-4328), both — Leading University, Sylhet, Bangladesh.</w:t>
      </w:r>
    </w:p>
    <w:p>
      <w:pPr>
        <w:pStyle w:val="ListParagraph"/>
        <w:numPr>
          <w:ilvl w:val="0"/>
          <w:numId w:val="2"/>
        </w:numPr>
        <w:spacing w:after="10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Link ORCID iDs.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Enter both ORCID iDs and link the corresponding author's iD (0009-0002-8804-6195) to the submitting account, as required for corresponding authors.</w:t>
      </w:r>
    </w:p>
    <w:p>
      <w:pPr>
        <w:pStyle w:val="ListParagraph"/>
        <w:numPr>
          <w:ilvl w:val="0"/>
          <w:numId w:val="2"/>
        </w:numPr>
        <w:spacing w:after="10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>Decide the supplementary route. The Data Availability statement points to the public research archive (https://github.com/touhidsiddiqueeraj-bit/Is-Wireless-Security-Ready-for-the-AI-Era-) and to the uploaded Supplementary Material. IET Communications operates single-blind peer review, so no anonymized mirror is needed — confirm the archive link is live before submitting. If you prefer to upload Supplementary Material directly, assemble the complete archive first: the 07_Supplementary folder provides the classified corpus, bibliography, and analysis scripts, while the screening log and retrieval records come from the full research archive.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after="10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Answer the AI-use question consistently.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If the form asks about AI-generated content, answer in line with the manuscript's disclosure: AI assistance was limited to candidate pooling, prose drafting, and copy-editing, with no screening, coding, counting, or verification decision delegated to AI.</w:t>
      </w:r>
    </w:p>
    <w:p>
      <w:pPr>
        <w:pStyle w:val="ListParagraph"/>
        <w:numPr>
          <w:ilvl w:val="0"/>
          <w:numId w:val="2"/>
        </w:numPr>
        <w:spacing w:after="10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Verify reviewer details.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Confirm each suggested reviewer's current email and affiliation from institutional pages before entering them, and exclude recent collaborators.</w:t>
      </w:r>
    </w:p>
    <w:p>
      <w:pPr>
        <w:pStyle w:val="ListParagraph"/>
        <w:numPr>
          <w:ilvl w:val="0"/>
          <w:numId w:val="2"/>
        </w:numPr>
        <w:spacing w:after="100" w:line="312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Check current guidelines.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 Confirm article-type definitions and any length or figure-format requirements in the journal's current Author Guidelines before final upload.</w:t>
      </w:r>
    </w:p>
    <w:p>
      <w:pPr>
        <w:pStyle w:val="Heading1"/>
        <w:keepNext/>
        <w:spacing w:after="140" w:before="320" w:line="312"/>
      </w:pPr>
      <w:r>
        <w:rPr>
          <w:rFonts w:ascii="Times New Roman" w:eastAsia="SimSun"/>
          <w:b/>
          <w:bCs/>
          <w:color w:val="000000"/>
          <w:sz w:val="28"/>
          <w:szCs w:val="28"/>
        </w:rPr>
        <w:t xml:space="preserve">4. Manuscript facts at a glance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36"/>
        <w:gridCol w:w="6152"/>
      </w:tblGrid>
      <w:tr>
        <w:trPr>
          <w:cantSplit/>
          <w:tblHeader/>
        </w:trPr>
        <w:tc>
          <w:tcPr>
            <w:tcW w:type="pct" w:w="15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Item</w:t>
            </w:r>
          </w:p>
        </w:tc>
        <w:tc>
          <w:tcPr>
            <w:tcW w:type="pct" w:w="35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Manuscript length</w:t>
            </w:r>
          </w:p>
        </w:tc>
        <w:tc>
          <w:tcPr>
            <w:tcW w:type="pct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41 pages, approx. 13,900 rendered words including references and appendix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Figures / tables</w:t>
            </w:r>
          </w:p>
        </w:tc>
        <w:tc>
          <w:tcPr>
            <w:tcW w:type="pct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14 figures (300 dpi PNG) and 15 numbered tables plus appendix Table A1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Citation style</w:t>
            </w:r>
          </w:p>
        </w:tc>
        <w:tc>
          <w:tcPr>
            <w:tcW w:type="pct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Corpus IDs (e.g. [T30]) keyed to the released classified dataset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Peer review model</w:t>
            </w:r>
          </w:p>
        </w:tc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Single-anonymized for most IET titles — author names remain on the manuscript; verify under the journal's policies</w:t>
            </w:r>
          </w:p>
        </w:tc>
      </w:tr>
    </w:tbl>
    <w:p>
      <w:pPr>
        <w:spacing w:after="40"/>
      </w:pP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 w:line="312"/>
    </w:pPr>
    <w:rPr>
      <w:rFonts w:ascii="Times New Roman" w:eastAsia="SimSu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2026-10-13T06:19:10.124Z</dcterms:created>
  <dcterms:modified xsi:type="dcterms:W3CDTF">2026-10-13T06:19:10.124Z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