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88"/>
      </w:pPr>
      <w:r>
        <w:rPr>
          <w:rFonts w:ascii="Times New Roman" w:eastAsia="SimSun"/>
          <w:b/>
          <w:bCs/>
          <w:color w:val="000000"/>
          <w:sz w:val="22"/>
          <w:szCs w:val="22"/>
        </w:rPr>
        <w:t xml:space="preserve">Hussain Touhid Siddiquee</w:t>
      </w:r>
    </w:p>
    <w:p>
      <w:pPr>
        <w:spacing w:after="100" w:line="288"/>
      </w:pPr>
      <w:r>
        <w:rPr>
          <w:rFonts w:ascii="Times New Roman" w:eastAsia="SimSun"/>
          <w:b w:val="false"/>
          <w:bCs w:val="false"/>
          <w:color w:val="000000"/>
          <w:sz w:val="22"/>
          <w:szCs w:val="22"/>
        </w:rPr>
        <w:t xml:space="preserve">Leading University, Sylhet, Bangladesh · touhidsiddiqueeraj@gmail.com</w:t>
      </w:r>
    </w:p>
    <w:p>
      <w:pPr>
        <w:spacing w:after="100" w:line="288"/>
        <w:jc w:val="right"/>
      </w:pPr>
      <w:r>
        <w:rPr>
          <w:rFonts w:ascii="Times New Roman" w:eastAsia="SimSun"/>
          <w:sz w:val="22"/>
          <w:szCs w:val="22"/>
        </w:rPr>
        <w:t xml:space="preserve">13 October 2026</w:t>
      </w:r>
    </w:p>
    <w:p>
      <w:pPr>
        <w:spacing w:after="40" w:line="288"/>
      </w:pPr>
      <w:r>
        <w:rPr>
          <w:rFonts w:ascii="Times New Roman" w:eastAsia="SimSun"/>
          <w:b w:val="false"/>
          <w:bCs w:val="false"/>
          <w:color w:val="000000"/>
          <w:sz w:val="22"/>
          <w:szCs w:val="22"/>
        </w:rPr>
        <w:t xml:space="preserve">The Editor-in-Chief</w:t>
      </w:r>
    </w:p>
    <w:p>
      <w:pPr>
        <w:spacing w:after="120" w:line="288"/>
      </w:pPr>
      <w:r>
        <w:rPr>
          <w:rFonts w:ascii="Times New Roman" w:eastAsia="SimSun"/>
          <w:b w:val="false"/>
          <w:bCs w:val="false"/>
          <w:color w:val="000000"/>
          <w:sz w:val="22"/>
          <w:szCs w:val="22"/>
        </w:rPr>
        <w:t xml:space="preserve">IET Communications</w:t>
      </w:r>
    </w:p>
    <w:p>
      <w:pPr>
        <w:spacing w:after="120" w:line="288"/>
      </w:pPr>
      <w:r>
        <w:rPr>
          <w:rFonts w:ascii="Times New Roman" w:eastAsia="SimSun"/>
          <w:b/>
          <w:bCs/>
          <w:sz w:val="22"/>
          <w:szCs w:val="22"/>
        </w:rPr>
        <w:t xml:space="preserve">Subject: Submission of a Review Article — “Is Wireless Security Ready for the AI Era?” (curated corpus of 130 studies, 2020–2026)</w:t>
      </w:r>
    </w:p>
    <w:p>
      <w:pPr>
        <w:spacing w:after="140" w:before="0" w:line="288"/>
        <w:jc w:val="left"/>
      </w:pPr>
      <w:r>
        <w:rPr>
          <w:rFonts w:ascii="Times New Roman" w:eastAsia="SimSun"/>
          <w:b w:val="false"/>
          <w:bCs w:val="false"/>
          <w:color w:val="000000"/>
          <w:sz w:val="22"/>
          <w:szCs w:val="22"/>
        </w:rPr>
        <w:t xml:space="preserve">Dear Editors,</w:t>
      </w:r>
    </w:p>
    <w:p>
      <w:pPr>
        <w:spacing w:after="100" w:before="0" w:line="288"/>
        <w:jc w:val="both"/>
      </w:pPr>
      <w:r>
        <w:rPr>
          <w:rFonts w:ascii="Times New Roman" w:eastAsia="SimSun"/>
          <w:b w:val="false"/>
          <w:bCs w:val="false"/>
          <w:color w:val="000000"/>
          <w:sz w:val="22"/>
          <w:szCs w:val="22"/>
        </w:rPr>
        <w:t xml:space="preserve">We are pleased to submit our manuscript “Is Wireless Security Ready for the AI Era? Evidence from a Curated Corpus of 130 Studies, 2020–2026” for consideration as a Review Article in IET Communications. The paper asks whether the published wireless-link security literature demonstrates that the radio link is ready for adversaries equipped with machine learning — a question at the journal's core coverage of wireless communications, communications security, and machine learning for communications.</w:t>
      </w:r>
    </w:p>
    <w:p>
      <w:pPr>
        <w:spacing w:after="100" w:before="0" w:line="288"/>
        <w:jc w:val="both"/>
      </w:pPr>
      <w:r>
        <w:rPr>
          <w:rFonts w:ascii="Times New Roman" w:eastAsia="SimSun"/>
          <w:b w:val="false"/>
          <w:bCs w:val="false"/>
          <w:color w:val="000000"/>
          <w:sz w:val="22"/>
          <w:szCs w:val="22"/>
        </w:rPr>
        <w:t xml:space="preserve">The review classifies a curated corpus of 130 studies (2020–2026): a 121-study core on machine learning for wireless-link security or attacks on it (84 defense, 30 threat, and 7 dual attack-plus-defense studies), plus a separate stratum of 9 post-quantum-cryptography contextual studies. Each study was coded on six fields by the first author and independently validated by the second author. Three descriptive patterns hold. First, validation splits by kind: 16 of 30 threat studies demonstrate attacks on testbeds or over the air, while simulation-only and standard-split evaluations carry much of the defense mass. Second, reproducibility is near-absent (4 verified artifact releases among 121 core studies, 3.3%, a lower bound) and standards alignment outside the post-quantum stratum is mention-level only (12 of 121 core rows, 9.9%). Third, real-time, update, and multi-agent-trust requirements are essentially unaddressed, with one to two papers each. Deep supervised learning leads the method mix (45 studies) over adversarial machine learning (40), and authentication and RF fingerprinting absorb 69 of 121 core studies (57.0%). The paper distills six structural research gaps and closes with a twelve-item reporting checklist.</w:t>
      </w:r>
    </w:p>
    <w:p>
      <w:pPr>
        <w:spacing w:after="100" w:before="0" w:line="288"/>
        <w:jc w:val="both"/>
      </w:pPr>
      <w:r>
        <w:rPr>
          <w:rFonts w:ascii="Times New Roman" w:eastAsia="SimSun"/>
          <w:b w:val="false"/>
          <w:bCs w:val="false"/>
          <w:color w:val="000000"/>
          <w:sz w:val="22"/>
          <w:szCs w:val="22"/>
        </w:rPr>
        <w:t xml:space="preserve">We believe the paper fits IET Communications' readership well: it maps where AI is applied across the wireless security literature, contrasts how attacks and defenses are validated, and analyzes how venue channels carry frontier work — all grounded in a released, per-study classified dataset that independent coders can audit, correct, or extend.</w:t>
      </w:r>
    </w:p>
    <w:p>
      <w:pPr>
        <w:spacing w:after="100" w:before="0" w:line="288"/>
        <w:jc w:val="both"/>
      </w:pPr>
      <w:r>
        <w:rPr>
          <w:rFonts w:ascii="Times New Roman" w:eastAsia="SimSun"/>
          <w:b w:val="false"/>
          <w:bCs w:val="false"/>
          <w:color w:val="000000"/>
          <w:sz w:val="22"/>
          <w:szCs w:val="22"/>
        </w:rPr>
        <w:t xml:space="preserve">We confirm that the manuscript is original, has not been published previously, and is not under consideration by any other journal; both authors have read and approved the submission; and no conflicts of interest exist and no specific funding was received. A data availability statement accompanies the manuscript (anonymized supplementary archive; a public repository will be named only upon acceptance). The manuscript also discloses the limited use of AI assistance for candidate pooling, prose drafting, and copy-editing — no screening, coding, counting, or verification decision was delegated to AI.</w:t>
      </w:r>
    </w:p>
    <w:p>
      <w:pPr>
        <w:spacing w:after="30" w:before="120" w:line="288"/>
        <w:jc w:val="right"/>
      </w:pPr>
      <w:r>
        <w:rPr>
          <w:rFonts w:ascii="Times New Roman" w:eastAsia="SimSun"/>
          <w:b w:val="false"/>
          <w:bCs w:val="false"/>
          <w:color w:val="000000"/>
          <w:sz w:val="22"/>
          <w:szCs w:val="22"/>
        </w:rPr>
        <w:t xml:space="preserve">Yours sincerely,</w:t>
      </w:r>
    </w:p>
    <w:p>
      <w:pPr>
        <w:spacing w:after="30" w:before="0" w:line="288"/>
        <w:jc w:val="right"/>
      </w:pPr>
      <w:r>
        <w:rPr>
          <w:rFonts w:ascii="Times New Roman" w:eastAsia="SimSun"/>
          <w:b w:val="false"/>
          <w:bCs w:val="false"/>
          <w:color w:val="000000"/>
          <w:sz w:val="22"/>
          <w:szCs w:val="22"/>
        </w:rPr>
        <w:t xml:space="preserve">Hussain Touhid Siddiquee</w:t>
      </w:r>
    </w:p>
    <w:p>
      <w:pPr>
        <w:spacing w:after="30" w:before="0" w:line="288"/>
        <w:jc w:val="right"/>
      </w:pPr>
      <w:r>
        <w:rPr>
          <w:rFonts w:ascii="Times New Roman" w:eastAsia="SimSun"/>
          <w:b w:val="false"/>
          <w:bCs w:val="false"/>
          <w:color w:val="000000"/>
          <w:sz w:val="22"/>
          <w:szCs w:val="22"/>
        </w:rPr>
        <w:t xml:space="preserve">Corresponding author, on behalf of both authors</w:t>
      </w:r>
    </w:p>
    <w:p>
      <w:pPr>
        <w:spacing w:after="0" w:before="0" w:line="288"/>
        <w:jc w:val="right"/>
      </w:pPr>
      <w:r>
        <w:rPr>
          <w:rFonts w:ascii="Times New Roman" w:eastAsia="SimSun"/>
          <w:b w:val="false"/>
          <w:bCs w:val="false"/>
          <w:color w:val="000000"/>
          <w:sz w:val="22"/>
          <w:szCs w:val="22"/>
        </w:rPr>
        <w:t xml:space="preserve">touhidsiddiqueeraj@gmail.com</w:t>
      </w:r>
    </w:p>
    <w:sectPr>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line="312"/>
    </w:pPr>
    <w:rPr>
      <w:rFonts w:ascii="Times New Roman" w:eastAsia="SimSu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2026-10-13T06:19:10.027Z</dcterms:created>
  <dcterms:modified xsi:type="dcterms:W3CDTF">2026-10-13T06:19:10.027Z</dcterms:modified>
</cp:coreProperties>
</file>

<file path=docProps/custom.xml><?xml version="1.0" encoding="utf-8"?>
<Properties xmlns="http://schemas.openxmlformats.org/officeDocument/2006/custom-properties" xmlns:vt="http://schemas.openxmlformats.org/officeDocument/2006/docPropsVTypes"/>
</file>