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400" w:lineRule="atLeast"/>
        <w:jc w:val="center"/>
      </w:pPr>
      <w:r>
        <w:rPr>
          <w:rFonts w:ascii="Times New Roman" w:eastAsia="SimSun"/>
          <w:b/>
          <w:bCs/>
          <w:color w:val="000000"/>
          <w:sz w:val="32"/>
          <w:szCs w:val="32"/>
        </w:rPr>
        <w:t xml:space="preserve">Declarations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85"/>
        <w:gridCol w:w="6503"/>
      </w:tblGrid>
      <w:tr>
        <w:trPr>
          <w:cantSplit/>
          <w:tblHeader/>
        </w:trPr>
        <w:tc>
          <w:tcPr>
            <w:tcW w:type="pct" w:w="13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Item</w:t>
            </w:r>
          </w:p>
        </w:tc>
        <w:tc>
          <w:tcPr>
            <w:tcW w:type="pct" w:w="37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Manuscript title</w:t>
            </w:r>
          </w:p>
        </w:tc>
        <w:tc>
          <w:tcPr>
            <w:tcW w:type="pct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Is Wireless Security Ready for the AI Era? Evidence from a Curated Corpus of 130 Studies, 2020–2026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Article type</w:t>
            </w:r>
          </w:p>
        </w:tc>
        <w:tc>
          <w:tcPr>
            <w:tcW w:type="pct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Review Article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Journal</w:t>
            </w:r>
          </w:p>
        </w:tc>
        <w:tc>
          <w:tcPr>
            <w:tcW w:type="pct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IET Communications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Authors</w:t>
            </w:r>
          </w:p>
        </w:tc>
        <w:tc>
          <w:tcPr>
            <w:tcW w:type="pct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Hussain Touhid Siddiquee (ORCID iD 0009-0002-8804-6195); Md. Abul Malek Fahim (ORCID iD 0009-0009-4196-4328)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Affiliation</w:t>
            </w:r>
          </w:p>
        </w:tc>
        <w:tc>
          <w:tcPr>
            <w:tcW w:type="pct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Leading University, Sylhet, Bangladesh (both authors)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Corresponding author</w:t>
            </w:r>
          </w:p>
        </w:tc>
        <w:tc>
          <w:tcPr>
            <w:tcW w:type="pct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Hussain Touhid Siddiquee — touhidsiddiqueeraj@gmail.com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Date</w:t>
            </w:r>
          </w:p>
        </w:tc>
        <w:tc>
          <w:tcPr>
            <w:tcW w:type="pct" w:w="3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line="264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13 October 2026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40" w:before="320" w:line="312"/>
      </w:pPr>
      <w:r>
        <w:rPr>
          <w:rFonts w:ascii="Times New Roman" w:eastAsia="SimSun"/>
          <w:b/>
          <w:bCs/>
          <w:color w:val="000000"/>
          <w:sz w:val="28"/>
          <w:szCs w:val="28"/>
        </w:rPr>
        <w:t xml:space="preserve">Funding</w:t>
      </w:r>
    </w:p>
    <w:p>
      <w:pPr>
        <w:spacing w:after="140" w:before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No specific funding was received for this work.</w:t>
      </w:r>
    </w:p>
    <w:p>
      <w:pPr>
        <w:pStyle w:val="Heading1"/>
        <w:keepNext/>
        <w:spacing w:after="140" w:before="320" w:line="312"/>
      </w:pPr>
      <w:r>
        <w:rPr>
          <w:rFonts w:ascii="Times New Roman" w:eastAsia="SimSun"/>
          <w:b/>
          <w:bCs/>
          <w:color w:val="000000"/>
          <w:sz w:val="28"/>
          <w:szCs w:val="28"/>
        </w:rPr>
        <w:t xml:space="preserve">Conflicts of interest</w:t>
      </w:r>
    </w:p>
    <w:p>
      <w:pPr>
        <w:spacing w:after="140" w:before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The authors declare no conflicts of interest.</w:t>
      </w:r>
    </w:p>
    <w:p>
      <w:pPr>
        <w:pStyle w:val="Heading1"/>
        <w:keepNext/>
        <w:spacing w:after="140" w:before="320" w:line="312"/>
      </w:pPr>
      <w:r>
        <w:rPr>
          <w:rFonts w:ascii="Times New Roman" w:eastAsia="SimSun"/>
          <w:b/>
          <w:bCs/>
          <w:color w:val="000000"/>
          <w:sz w:val="28"/>
          <w:szCs w:val="28"/>
        </w:rPr>
        <w:t xml:space="preserve">Author contributions</w:t>
      </w:r>
    </w:p>
    <w:p>
      <w:pPr>
        <w:spacing w:after="140" w:before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Hussain Touhid Siddiquee (correspondence: touhidsiddiqueeraj@gmail.com) performed 100% title/abstract screening, full-text eligibility review, charting, coding, formal analysis, and drafting; Md. Abul Malek Fahim independently reviewed and validated the coding decisions and all derived results, and both authors are in agreement with the reported findings; two independent verifiers performed corrective verification checks on a 22-record sample. Both authors read and approved the submitted manuscript.</w:t>
      </w:r>
    </w:p>
    <w:p>
      <w:pPr>
        <w:pStyle w:val="Heading1"/>
        <w:keepNext/>
        <w:spacing w:after="140" w:before="320" w:line="312"/>
      </w:pPr>
      <w:r>
        <w:rPr>
          <w:rFonts w:ascii="Times New Roman" w:eastAsia="SimSun"/>
          <w:b/>
          <w:bCs/>
          <w:color w:val="000000"/>
          <w:sz w:val="28"/>
          <w:szCs w:val="28"/>
        </w:rPr>
        <w:t xml:space="preserve">CRediT authorship contribution statement</w:t>
      </w:r>
    </w:p>
    <w:p>
      <w:pPr>
        <w:spacing w:after="140" w:before="0" w:line="312"/>
        <w:jc w:val="left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Hussain Touhid Siddiquee: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Conceptualization, Methodology, Investigation, Data curation, Formal analysis, Software, Visualization, Writing – original draft, Writing – review &amp; editing.</w:t>
      </w:r>
    </w:p>
    <w:p>
      <w:pPr>
        <w:spacing w:after="140" w:before="0" w:line="312"/>
        <w:jc w:val="left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Md. Abul Malek Fahim: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Validation, Investigation, Writing – review &amp; editing.</w:t>
      </w:r>
    </w:p>
    <w:p>
      <w:pPr>
        <w:spacing w:after="200" w:before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Roles follow the Contributor Roles Taxonomy (CRediT). The validation role reflects an independent review of coding decisions and derived outputs; it is not a blind second coding, and no agreement statistic is claimed.</w:t>
      </w:r>
    </w:p>
    <w:p>
      <w:pPr>
        <w:pStyle w:val="Heading1"/>
        <w:keepNext/>
        <w:spacing w:after="140" w:before="320" w:line="312"/>
      </w:pPr>
      <w:r>
        <w:rPr>
          <w:rFonts w:ascii="Times New Roman" w:eastAsia="SimSun"/>
          <w:b/>
          <w:bCs/>
          <w:color w:val="000000"/>
          <w:sz w:val="28"/>
          <w:szCs w:val="28"/>
        </w:rPr>
        <w:t xml:space="preserve">Data availability</w:t>
      </w:r>
    </w:p>
    <w:p>
      <w:pPr>
        <w:spacing w:after="140" w:before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The classified corpus (dataset_papers.csv), screening log, retrieval records, and analysis scripts accompany this submission as an anonymized supplementary archive (mirrored on an anonymized hosting service for review); a public repository will be named only upon acceptance.</w:t>
      </w:r>
    </w:p>
    <w:p>
      <w:pPr>
        <w:pStyle w:val="Heading1"/>
        <w:keepNext/>
        <w:spacing w:after="140" w:before="320" w:line="312"/>
      </w:pPr>
      <w:r>
        <w:rPr>
          <w:rFonts w:ascii="Times New Roman" w:eastAsia="SimSun"/>
          <w:b/>
          <w:bCs/>
          <w:color w:val="000000"/>
          <w:sz w:val="28"/>
          <w:szCs w:val="28"/>
        </w:rPr>
        <w:t xml:space="preserve">Code availability</w:t>
      </w:r>
    </w:p>
    <w:p>
      <w:pPr>
        <w:spacing w:after="140" w:before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Coding and figure-generation scripts are included in the supplementary archive and rerun from the released dataset; check_consistency.py gates export.</w:t>
      </w:r>
    </w:p>
    <w:p>
      <w:pPr>
        <w:pStyle w:val="Heading1"/>
        <w:keepNext/>
        <w:spacing w:after="140" w:before="320" w:line="312"/>
      </w:pPr>
      <w:r>
        <w:rPr>
          <w:rFonts w:ascii="Times New Roman" w:eastAsia="SimSun"/>
          <w:b/>
          <w:bCs/>
          <w:color w:val="000000"/>
          <w:sz w:val="28"/>
          <w:szCs w:val="28"/>
        </w:rPr>
        <w:t xml:space="preserve">Ethics approval and consent to participate</w:t>
      </w:r>
    </w:p>
    <w:p>
      <w:pPr>
        <w:spacing w:after="140" w:before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Not applicable. The study is a review of published literature and involved no human participants or animals.</w:t>
      </w:r>
    </w:p>
    <w:p>
      <w:pPr>
        <w:pStyle w:val="Heading1"/>
        <w:keepNext/>
        <w:spacing w:after="140" w:before="320" w:line="312"/>
      </w:pPr>
      <w:r>
        <w:rPr>
          <w:rFonts w:ascii="Times New Roman" w:eastAsia="SimSun"/>
          <w:b/>
          <w:bCs/>
          <w:color w:val="000000"/>
          <w:sz w:val="28"/>
          <w:szCs w:val="28"/>
        </w:rPr>
        <w:t xml:space="preserve">Use of artificial intelligence</w:t>
      </w:r>
    </w:p>
    <w:p>
      <w:pPr>
        <w:spacing w:after="140" w:before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AI assistance was limited to candidate pooling, prose drafting, and copy-editing; no screening, coding, counting, or verification decision was delegated to AI, and all counts were computed programmatically from the released dataset under human control (first-author coding; second-author validation; independent verifier sample; no blind κ claimed). Every record carries a resolvable identifier verified against Crossref, arXiv, ACM, or USENIX; no identifier was fabricated or shared. The authors take full responsibility for the content.</w:t>
      </w:r>
    </w:p>
    <w:p>
      <w:pPr>
        <w:pStyle w:val="Heading1"/>
        <w:keepNext/>
        <w:spacing w:after="140" w:before="320" w:line="312"/>
      </w:pPr>
      <w:r>
        <w:rPr>
          <w:rFonts w:ascii="Times New Roman" w:eastAsia="SimSun"/>
          <w:b/>
          <w:bCs/>
          <w:color w:val="000000"/>
          <w:sz w:val="28"/>
          <w:szCs w:val="28"/>
        </w:rPr>
        <w:t xml:space="preserve">Acknowledgements</w:t>
      </w:r>
    </w:p>
    <w:p>
      <w:pPr>
        <w:spacing w:after="140" w:before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None.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 w:line="312"/>
    </w:pPr>
    <w:rPr>
      <w:rFonts w:ascii="Times New Roman" w:eastAsia="SimSu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2026-10-13T06:19:10.066Z</dcterms:created>
  <dcterms:modified xsi:type="dcterms:W3CDTF">2026-10-13T06:19:10.066Z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