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360"/>
        <w:jc w:val="left"/>
      </w:pPr>
      <w:r>
        <w:rPr>
          <w:rFonts w:ascii="Times New Roman" w:eastAsia="Times New Roman"/>
          <w:b/>
          <w:bCs/>
          <w:color w:val="000000"/>
          <w:sz w:val="30"/>
          <w:szCs w:val="30"/>
        </w:rPr>
        <w:t xml:space="preserve">Submission Checklist — International Transactions on Electrical Energy Systems</w:t>
      </w:r>
    </w:p>
    <w:p>
      <w:pPr>
        <w:spacing w:after="60" w:line="312"/>
        <w:jc w:val="left"/>
      </w:pPr>
      <w:r>
        <w:rPr>
          <w:rFonts w:ascii="Times New Roman" w:eastAsia="Times New Roman"/>
          <w:b/>
          <w:bCs/>
          <w:color w:val="000000"/>
          <w:sz w:val="24"/>
          <w:szCs w:val="24"/>
        </w:rPr>
        <w:t xml:space="preserve">Manuscript: </w:t>
      </w:r>
      <w:r>
        <w:rPr>
          <w:rFonts w:ascii="Times New Roman" w:eastAsia="Times New Roman"/>
          <w:i/>
          <w:iCs/>
          <w:color w:val="000000"/>
          <w:sz w:val="21"/>
          <w:szCs w:val="21"/>
        </w:rPr>
        <w:t xml:space="preserve">Multi-Horizon Failure-Risk Models for Battery Failure Prediction: How Much Cross-Chemistry Transfer Is a State-of-Health Shortcut?</w:t>
      </w:r>
    </w:p>
    <w:p>
      <w:pPr>
        <w:spacing w:after="220" w:line="312"/>
        <w:jc w:val="left"/>
      </w:pPr>
      <w:r>
        <w:rPr>
          <w:rFonts w:ascii="Times New Roman" w:eastAsia="Times New Roman"/>
          <w:color w:val="595959"/>
          <w:sz w:val="21"/>
          <w:szCs w:val="21"/>
        </w:rPr>
        <w:t xml:space="preserve">Corresponding author: Hussain Touhid Siddiquee, Leading University, Sylhet, Bangladesh · Generated 2026-10-30</w:t>
      </w:r>
    </w:p>
    <w:p>
      <w:pPr>
        <w:spacing w:after="160" w:line="312"/>
        <w:jc w:val="left"/>
      </w:pPr>
      <w:r>
        <w:rPr>
          <w:rFonts w:ascii="Times New Roman" w:eastAsia="Times New Roman"/>
          <w:color w:val="000000"/>
          <w:sz w:val="24"/>
          <w:szCs w:val="24"/>
        </w:rPr>
        <w:t xml:space="preserve">Venue facts verified 2026-10-30: Wiley fully open-access journal (ex-Hindawi, now on the Research Exchange portal); Scopus/Web of Science/DOAJ indexed; SJR 2025 Q2 in all three categories (Energy Engineering &amp; Power Technology, Modeling &amp; Simulation, Electrical &amp; Electronic Engineering); CiteScore 7.1; continuous publication; APC USD 2,175 with a full Research4Life Group A waiver for Bangladesh; no page limit; anonymous peer review.</w:t>
      </w:r>
    </w:p>
    <w:p>
      <w:pPr>
        <w:pStyle w:val="Heading2"/>
        <w:spacing w:after="120" w:before="240" w:line="312"/>
      </w:pPr>
      <w:r>
        <w:rPr>
          <w:rFonts w:ascii="Times New Roman" w:eastAsia="Times New Roman"/>
          <w:b/>
          <w:bCs/>
          <w:color w:val="000000"/>
          <w:sz w:val="25"/>
          <w:szCs w:val="25"/>
        </w:rPr>
        <w:t xml:space="preserve">Pre-upload checks and portal steps</w:t>
      </w:r>
    </w:p>
    <w:p>
      <w:pPr>
        <w:keepNext/>
        <w:spacing w:after="80" w:before="120" w:line="312"/>
      </w:pPr>
      <w:r>
        <w:rPr>
          <w:rFonts w:ascii="Times New Roman" w:eastAsia="Times New Roman"/>
          <w:b/>
          <w:bCs/>
          <w:color w:val="595959"/>
          <w:sz w:val="21"/>
          <w:szCs w:val="21"/>
        </w:rPr>
        <w:t xml:space="preserve">Table 1. Checklist (green = done/ready, orange = action needed, blue = later stage).</w:t>
      </w:r>
    </w:p>
    <w:tbl>
      <w:tblPr>
        <w:tblW w:type="pct" w:w="5000"/>
        <w:tblBorders>
          <w:top w:val="single" w:color="8A8A8A" w:sz="4"/>
          <w:left w:val="none"/>
          <w:bottom w:val="single" w:color="8A8A8A" w:sz="4"/>
          <w:right w:val="none"/>
          <w:insideH w:val="single" w:color="C9C9C9" w:sz="2"/>
          <w:insideV w:val="single" w:color="C9C9C9" w:sz="2"/>
        </w:tblBorders>
      </w:tblPr>
      <w:tblGrid>
        <w:gridCol w:w="2285"/>
        <w:gridCol w:w="4570"/>
        <w:gridCol w:w="879"/>
        <w:gridCol w:w="1055"/>
      </w:tblGrid>
      <w:tr>
        <w:trPr>
          <w:cantSplit/>
          <w:tblHeader/>
        </w:trPr>
        <w:tc>
          <w:tcPr>
            <w:tcW w:type="pct" w:w="1300"/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Item</w:t>
            </w:r>
          </w:p>
        </w:tc>
        <w:tc>
          <w:tcPr>
            <w:tcW w:type="pct" w:w="2600"/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What to check / do</w:t>
            </w:r>
          </w:p>
        </w:tc>
        <w:tc>
          <w:tcPr>
            <w:tcW w:type="pct" w:w="500"/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Status</w:t>
            </w:r>
          </w:p>
        </w:tc>
        <w:tc>
          <w:tcPr>
            <w:tcW w:type="pct" w:w="600"/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Where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Venue &amp; article type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International Transactions on Electrical Energy Systems (Wiley, fully open access, Scopus/WoS indexed, SJR Q2 in all three categories). Article type: Research Article. Continuous publication; no page limit — the manuscript is 18 pages (single column) + 5-page supplement.</w:t>
            </w:r>
          </w:p>
        </w:tc>
        <w:tc>
          <w:tcPr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center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✓ set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Portal step 1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Submission portal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New submissions via the Wiley Research Exchange portal (linked from the journal’s “Submit an Article” page on Wiley Online Library). Register with the corresponding author’s e-mail (touhidsiddiqueeraj@gmail.com); ORCID is required and auto-linked.</w:t>
            </w:r>
          </w:p>
        </w:tc>
        <w:tc>
          <w:tcPr>
            <w:shd w:fill="FFF4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center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to do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Portal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ORCID iDs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Have all four authors’ ORCIDs ready (all recorded in AUTHORS.md): H.T.S. 0009-0002-8804-6195; S.S.I. 0009-0000-2658-273X; J.I.C. 0009-0002-1678-9993; F.H.E. 0009-0003-5908-6822. Corresponding author’s is mandatory in the form.</w:t>
            </w:r>
          </w:p>
        </w:tc>
        <w:tc>
          <w:tcPr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center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ready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AUTHORS.md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APC waiver (Bangladesh)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ITEES lists an APC of USD 2,175. Bangladesh is on Wiley’s Research4Life Group A full-waiver list for fully open-access journals, and all four authors are affiliated in Bangladesh (waiver rule: corresponding author in an eligible country AND ≥50% of authors affiliated there — both satisfied). A waiver estimate e-mail arrives shortly after submission; confirm it reflects a 100% waiver before acceptance. Do not pay any invoice without checking the waiver.</w:t>
            </w:r>
          </w:p>
        </w:tc>
        <w:tc>
          <w:tcPr>
            <w:shd w:fill="FFF4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center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auto after submit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E-mail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Main manuscript file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paper_itees/main_itees.pdf — title page with all four authors + affiliation + correspondence, 250-word abstract, 9 keywords, sections 1–5, Table 1 capability matrix, Tables 2–12, Figures 1–4, Funding / Conflict of Interest / Data Availability / Author Contributions declarations, 39 references. Upload the PDF for initial submission.</w:t>
            </w:r>
          </w:p>
        </w:tc>
        <w:tc>
          <w:tcPr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center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✓ ready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paper_itees/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Author Contributions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The declaration uses a standard CRediT default (conceptualization/software/writing to the first author; data curation/validation to co-authors). Adjust the wording to the actual contributions before submitting — it is a formal declaration.</w:t>
            </w:r>
          </w:p>
        </w:tc>
        <w:tc>
          <w:tcPr>
            <w:shd w:fill="FFF4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center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to verify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main_itees.tex + form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Supplementary material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paper_itees/supplement_itees.pdf (5 pages, 9 numbered sections of supporting tables). Upload as a separate supplementary file; the main text cites it as “Supplementary Material” throughout.</w:t>
            </w:r>
          </w:p>
        </w:tc>
        <w:tc>
          <w:tcPr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center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✓ ready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paper_itees/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References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39 entries, all verified against publisher records (2026-10-30); ordered by first citation; months stripped per journal style. Entry [10] (the framework paper in this journal) is final. Entry [18] cites the companion study as “manuscript under review” — update its venue if it is accepted before submission.</w:t>
            </w:r>
          </w:p>
        </w:tc>
        <w:tc>
          <w:tcPr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center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✓ verified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main_itees.tex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Data availability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All eight datasets are public (NASA, CALCE, Oxford, MIT–Stanford, Battery Archive). The declaration in the manuscript matches; the portal’s Data Availability field can repeat it.</w:t>
            </w:r>
          </w:p>
        </w:tc>
        <w:tc>
          <w:tcPr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center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✓ ready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Declarations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Funding &amp; conflicts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No specific funding; no competing interests. Enter “none” / “no” in the corresponding portal fields.</w:t>
            </w:r>
          </w:p>
        </w:tc>
        <w:tc>
          <w:tcPr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center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✓ ready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Portal form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Cover letter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Cover_Letter_ITEES.docx — leads with the study’s validity focus and its continuity with the framework paper published in this journal. Attach at the cover-letter step.</w:t>
            </w:r>
          </w:p>
        </w:tc>
        <w:tc>
          <w:tcPr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center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✓ ready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this folder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Suggested reviewers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Suggested_Reviewers_ITEES.docx — seven names with rationale; complete each e-mail from official pages before entry.</w:t>
            </w:r>
          </w:p>
        </w:tc>
        <w:tc>
          <w:tcPr>
            <w:shd w:fill="FFF4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center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to do (e-mails)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this folder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Numbers QA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379 automated checks of every table row and in-text claim against the validated results JSON were run for this manuscript’s content (2026-10-30 record); the ITEES conversion changed layout and the abstract only, no numbers. If any quantitative claim is edited before submission, re-run the verification script.</w:t>
            </w:r>
          </w:p>
        </w:tc>
        <w:tc>
          <w:tcPr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center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✓ verified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scripts/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Similarity screening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Wiley screens submissions with automated similarity checking. The manuscript is an original work; ensure no earlier draft of this study is posted in a public repository or under review elsewhere before submitting.</w:t>
            </w:r>
          </w:p>
        </w:tc>
        <w:tc>
          <w:tcPr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center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✓ ok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License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Fully OA articles publish under CC BY (or CC BY-NC-ND where mandated). The corresponding author signs the license agreement at acceptance, after the APC waiver is confirmed.</w:t>
            </w:r>
          </w:p>
        </w:tc>
        <w:tc>
          <w:tcPr>
            <w:shd w:fill="E2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center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at acceptance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Portal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After submission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Expect (1) the waiver-estimate e-mail within ~2 weeks — verify the 100% Bangladesh waiver; (2) editor screening, then anonymous peer review; median first decision for the journal is roughly 6–17 weeks; (3) at revision, respond point by point and re-run the number checks for any changed value.</w:t>
            </w:r>
          </w:p>
        </w:tc>
        <w:tc>
          <w:tcPr>
            <w:shd w:fill="E2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center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E-mail/portal</w:t>
            </w:r>
          </w:p>
        </w:tc>
      </w:tr>
    </w:tbl>
    <w:p>
      <w:pPr>
        <w:pStyle w:val="Heading2"/>
        <w:spacing w:after="120" w:before="240" w:line="312"/>
      </w:pPr>
      <w:r>
        <w:rPr>
          <w:rFonts w:ascii="Times New Roman" w:eastAsia="Times New Roman"/>
          <w:b/>
          <w:bCs/>
          <w:color w:val="000000"/>
          <w:sz w:val="25"/>
          <w:szCs w:val="25"/>
        </w:rPr>
        <w:t xml:space="preserve">Package contents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Times New Roman"/>
          <w:b/>
          <w:bCs/>
          <w:color w:val="000000"/>
          <w:sz w:val="24"/>
          <w:szCs w:val="24"/>
        </w:rPr>
        <w:t xml:space="preserve">paper_itees/main_itees.tex, main_itees.pdf —  </w:t>
      </w:r>
      <w:r>
        <w:rPr>
          <w:rFonts w:ascii="Times New Roman" w:eastAsia="Times New Roman"/>
          <w:color w:val="000000"/>
          <w:sz w:val="24"/>
          <w:szCs w:val="24"/>
        </w:rPr>
        <w:t xml:space="preserve">the manuscript (18 pp., single-column Wiley/Hindawi submission format, compiles with tectonic/xelatex).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Times New Roman"/>
          <w:b/>
          <w:bCs/>
          <w:color w:val="000000"/>
          <w:sz w:val="24"/>
          <w:szCs w:val="24"/>
        </w:rPr>
        <w:t xml:space="preserve">paper_itees/supplement_itees.tex, supplement_itees.pdf —  </w:t>
      </w:r>
      <w:r>
        <w:rPr>
          <w:rFonts w:ascii="Times New Roman" w:eastAsia="Times New Roman"/>
          <w:color w:val="000000"/>
          <w:sz w:val="24"/>
          <w:szCs w:val="24"/>
        </w:rPr>
        <w:t xml:space="preserve">Supplementary Material (5 pp., matching format).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Times New Roman"/>
          <w:b/>
          <w:bCs/>
          <w:color w:val="000000"/>
          <w:sz w:val="24"/>
          <w:szCs w:val="24"/>
        </w:rPr>
        <w:t xml:space="preserve">paper_itees/figs/ —  </w:t>
      </w:r>
      <w:r>
        <w:rPr>
          <w:rFonts w:ascii="Times New Roman" w:eastAsia="Times New Roman"/>
          <w:color w:val="000000"/>
          <w:sz w:val="24"/>
          <w:szCs w:val="24"/>
        </w:rPr>
        <w:t xml:space="preserve">the four figures as PNG (source files for production).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Times New Roman"/>
          <w:b/>
          <w:bCs/>
          <w:color w:val="000000"/>
          <w:sz w:val="24"/>
          <w:szCs w:val="24"/>
        </w:rPr>
        <w:t xml:space="preserve">Cover_Letter_ITEES.docx, Suggested_Reviewers_ITEES.docx, Submission_Checklist_ITEES.docx —  </w:t>
      </w:r>
      <w:r>
        <w:rPr>
          <w:rFonts w:ascii="Times New Roman" w:eastAsia="Times New Roman"/>
          <w:color w:val="000000"/>
          <w:sz w:val="24"/>
          <w:szCs w:val="24"/>
        </w:rPr>
        <w:t xml:space="preserve">this set of submission documents.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Times New Roman"/>
          <w:b/>
          <w:bCs/>
          <w:color w:val="000000"/>
          <w:sz w:val="24"/>
          <w:szCs w:val="24"/>
        </w:rPr>
        <w:t xml:space="preserve">AUTHORS.md —  </w:t>
      </w:r>
      <w:r>
        <w:rPr>
          <w:rFonts w:ascii="Times New Roman" w:eastAsia="Times New Roman"/>
          <w:color w:val="000000"/>
          <w:sz w:val="24"/>
          <w:szCs w:val="24"/>
        </w:rPr>
        <w:t xml:space="preserve">author list, ORCIDs, and profiles for the submission forms.</w:t>
      </w:r>
    </w:p>
    <w:sectPr>
      <w:footerReference w:type="default" r:id="rId6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/>
        <w:color w:val="595959"/>
        <w:sz w:val="18"/>
        <w:szCs w:val="18"/>
      </w:rPr>
      <w:fldChar w:fldCharType="begin"/>
    </w:r>
    <w:r>
      <w:rPr>
        <w:rFonts w:ascii="Times New Roman" w:eastAsia="Times New Roman"/>
        <w:color w:val="595959"/>
        <w:sz w:val="18"/>
        <w:szCs w:val="18"/>
      </w:rPr>
      <w:instrText xml:space="preserve">PAGE</w:instrText>
    </w:r>
    <w:r>
      <w:rPr>
        <w:rFonts w:ascii="Times New Roman" w:eastAsia="Times New Roman"/>
        <w:color w:val="595959"/>
        <w:sz w:val="18"/>
        <w:szCs w:val="18"/>
      </w:rPr>
      <w:fldChar w:fldCharType="separate"/>
    </w:r>
    <w:r>
      <w:rPr>
        <w:rFonts w:ascii="Times New Roman" w:eastAsia="Times New Roman"/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2026-10-30T14:33:31.091Z</dcterms:created>
  <dcterms:modified xsi:type="dcterms:W3CDTF">2026-10-30T14:33:31.091Z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