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left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Suggested Reviewers</w:t>
      </w:r>
    </w:p>
    <w:p>
      <w:pPr>
        <w:spacing w:after="6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Manuscript: </w:t>
      </w:r>
      <w:r>
        <w:rPr>
          <w:rFonts w:ascii="Times New Roman" w:eastAsia="Times New Roman"/>
          <w:i/>
          <w:iCs/>
          <w:color w:val="000000"/>
          <w:sz w:val="21"/>
          <w:szCs w:val="21"/>
        </w:rPr>
        <w:t xml:space="preserve">Multi-Horizon Failure-Risk Models for Battery Failure Prediction: How Much Cross-Chemistry Transfer Is a State-of-Health Shortcut?</w:t>
      </w:r>
    </w:p>
    <w:p>
      <w:pPr>
        <w:spacing w:after="2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Submitted to: International Transactions on Electrical Energy Systems — Research Article</w:t>
      </w:r>
    </w:p>
    <w:p>
      <w:pPr>
        <w:spacing w:after="160" w:line="312"/>
        <w:jc w:val="left"/>
      </w:pPr>
      <w:r>
        <w:rPr>
          <w:rFonts w:ascii="Times New Roman" w:eastAsia="Times New Roman"/>
          <w:color w:val="000000"/>
          <w:sz w:val="24"/>
          <w:szCs w:val="24"/>
        </w:rPr>
        <w:t xml:space="preserve">The following researchers have expertise directly relevant to this submission. None of them has collaborated with, co-published with, or supervised any of the submitting authors, and to the best of our knowledge none has a conflict of interest with this work. They are listed in priority order.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1. Suggested reviewers (in priority order).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352"/>
        <w:gridCol w:w="1582"/>
        <w:gridCol w:w="2109"/>
        <w:gridCol w:w="879"/>
        <w:gridCol w:w="3867"/>
      </w:tblGrid>
      <w:tr>
        <w:trPr>
          <w:cantSplit/>
          <w:tblHeader/>
        </w:trPr>
        <w:tc>
          <w:tcPr>
            <w:tcW w:type="pct" w:w="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9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pct" w:w="1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Affiliation</w:t>
            </w:r>
          </w:p>
        </w:tc>
        <w:tc>
          <w:tcPr>
            <w:tcW w:type="pct" w:w="5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Country</w:t>
            </w:r>
          </w:p>
        </w:tc>
        <w:tc>
          <w:tcPr>
            <w:tcW w:type="pct" w:w="2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Expertise relevant to this submission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Michael G. Pecht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CALCE, University of Maryland, College Park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prognostics and health management; founder of the CALCE Battery Data Center, one of the datasets evaluated in the manuscript; product reliability and failure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David A. Howey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Department of Engineering Science, University of Oxford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UK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degradation diagnostics and machine learning for battery management; lead author group of the Oxford degradation-diagnostic dataset used as a transfer target in this study.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Rui Xiong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Beijing Institute of Technology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China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State-of-health estimation and transfer learning for lithium-ion batteries; co-author of the deep-learning SOH estimation study cited in the manuscript; EV battery management systems.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Aaditya K. Ramdas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Carnegie Mellon University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Distribution-free calibration of predicted probabilities, including online recalibration; cited in the manuscript; ideal evaluator of the calibration-under-shift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Yohann Preger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Sandia National Laboratories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Cross-chemistry lithium-ion degradation testing; lead author of the SNL degradation study whose cells form the NCA, NMC, and LFP transfer targets used here.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Tareq Anwar Shikdar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Author of the multihorizon failure-intelligence framework (published in this journal, vol. 2026, Article ID 6000810) that this manuscript extends; deepest familiarity with the base protocol and its calibration layer.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Hannu Laaksonen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Co-author of the multihorizon failure-intelligence framework published in this journal; energy storage in power systems and battery analytics; can assess the energy-systems framing.</w:t>
            </w:r>
          </w:p>
        </w:tc>
      </w:tr>
    </w:tbl>
    <w:p>
      <w:pPr>
        <w:pStyle w:val="Heading2"/>
        <w:spacing w:after="120" w:before="240" w:line="312"/>
      </w:pPr>
      <w:r>
        <w:rPr>
          <w:rFonts w:ascii="Times New Roman" w:eastAsia="Times New Roman"/>
          <w:b/>
          <w:bCs/>
          <w:color w:val="000000"/>
          <w:sz w:val="25"/>
          <w:szCs w:val="25"/>
        </w:rPr>
        <w:t xml:space="preserve">Notes for the submission form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E-mail addresses: </w:t>
      </w:r>
      <w:r>
        <w:rPr>
          <w:rFonts w:ascii="Times New Roman" w:eastAsia="Times New Roman"/>
          <w:color w:val="000000"/>
          <w:sz w:val="24"/>
          <w:szCs w:val="24"/>
        </w:rPr>
        <w:t xml:space="preserve">are deliberately not pre-filled here, to avoid transcription errors. Before entry, copy each address from the researcher’s official faculty page or a recent corresponding-author e-mail on one of their papers (e.g., for the CALCE director, the CALCE center page at the University of Maryland).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ORCID lookup: </w:t>
      </w:r>
      <w:r>
        <w:rPr>
          <w:rFonts w:ascii="Times New Roman" w:eastAsia="Times New Roman"/>
          <w:color w:val="000000"/>
          <w:sz w:val="24"/>
          <w:szCs w:val="24"/>
        </w:rPr>
        <w:t xml:space="preserve">reviewer ORCIDs can be resolved by searching the name at orcid.org if the form requests them.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Opposed reviewers: </w:t>
      </w:r>
      <w:r>
        <w:rPr>
          <w:rFonts w:ascii="Times New Roman" w:eastAsia="Times New Roman"/>
          <w:color w:val="000000"/>
          <w:sz w:val="24"/>
          <w:szCs w:val="24"/>
        </w:rPr>
        <w:t xml:space="preserve">none declared.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Domain balance: </w:t>
      </w:r>
      <w:r>
        <w:rPr>
          <w:rFonts w:ascii="Times New Roman" w:eastAsia="Times New Roman"/>
          <w:color w:val="000000"/>
          <w:sz w:val="24"/>
          <w:szCs w:val="24"/>
        </w:rPr>
        <w:t xml:space="preserve">the list spans battery PHM (1, 2, 5), machine learning for battery state estimation (3), calibration methodology (4), and the base failure-intelligence framework published in this journal (6, 7), matching the manuscript’s three pillars: prognostics, validity controls, and calibration.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Venue continuity: </w:t>
      </w:r>
      <w:r>
        <w:rPr>
          <w:rFonts w:ascii="Times New Roman" w:eastAsia="Times New Roman"/>
          <w:color w:val="000000"/>
          <w:sz w:val="24"/>
          <w:szCs w:val="24"/>
        </w:rPr>
        <w:t xml:space="preserve">reviewers 6 and 7 authored the framework paper in this journal (vol. 2026, Article ID 6000810) that this manuscript builds on; they are the most natural evaluators of the extension’s faithfulness to the original protocol.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95959"/>
        <w:sz w:val="18"/>
        <w:szCs w:val="18"/>
      </w:rPr>
      <w:fldChar w:fldCharType="begin"/>
    </w:r>
    <w:r>
      <w:rPr>
        <w:rFonts w:ascii="Times New Roman" w:eastAsia="Times New Roman"/>
        <w:color w:val="595959"/>
        <w:sz w:val="18"/>
        <w:szCs w:val="18"/>
      </w:rPr>
      <w:instrText xml:space="preserve">PAGE</w:instrText>
    </w:r>
    <w:r>
      <w:rPr>
        <w:rFonts w:asci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eastAsia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2026-10-30T14:33:31.086Z</dcterms:created>
  <dcterms:modified xsi:type="dcterms:W3CDTF">2026-10-30T14:33:31.086Z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