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Times New Roman" w:hAnsi="Times New Roman"/>
          <w:b w:val="0"/>
          <w:i w:val="0"/>
          <w:sz w:val="22"/>
        </w:rPr>
        <w:t>June 23, 2026</w:t>
      </w:r>
    </w:p>
    <w:p>
      <w:pPr>
        <w:spacing w:after="40"/>
        <w:jc w:val="left"/>
      </w:pPr>
      <w:r>
        <w:rPr>
          <w:rFonts w:ascii="Times New Roman" w:hAnsi="Times New Roman"/>
          <w:b w:val="0"/>
          <w:i w:val="0"/>
          <w:sz w:val="22"/>
        </w:rPr>
        <w:t>The Editor-in-Chief</w:t>
      </w:r>
    </w:p>
    <w:p>
      <w:pPr>
        <w:spacing w:after="40"/>
        <w:jc w:val="left"/>
      </w:pPr>
      <w:r>
        <w:rPr>
          <w:rFonts w:ascii="Times New Roman" w:hAnsi="Times New Roman"/>
          <w:b w:val="0"/>
          <w:i w:val="0"/>
          <w:sz w:val="22"/>
        </w:rPr>
        <w:t>IEEE Access</w:t>
      </w:r>
    </w:p>
    <w:p>
      <w:pPr>
        <w:spacing w:after="40"/>
        <w:jc w:val="left"/>
      </w:pPr>
      <w:r>
        <w:rPr>
          <w:rFonts w:ascii="Times New Roman" w:hAnsi="Times New Roman"/>
          <w:b w:val="0"/>
          <w:i w:val="0"/>
          <w:sz w:val="22"/>
        </w:rPr>
        <w:t>Institute of Electrical and Electronics Engineers</w:t>
      </w:r>
    </w:p>
    <w:p>
      <w:pPr>
        <w:spacing w:after="240"/>
        <w:jc w:val="left"/>
      </w:pPr>
      <w:r>
        <w:rPr>
          <w:rFonts w:ascii="Times New Roman" w:hAnsi="Times New Roman"/>
          <w:b w:val="0"/>
          <w:i w:val="0"/>
          <w:sz w:val="22"/>
        </w:rPr>
        <w:t>445 Hoes Lane, Piscataway, NJ 08854, USA</w:t>
      </w:r>
    </w:p>
    <w:p>
      <w:pPr>
        <w:spacing w:after="240"/>
      </w:pPr>
      <w:r>
        <w:rPr>
          <w:rFonts w:ascii="Times New Roman" w:hAnsi="Times New Roman"/>
          <w:b/>
          <w:i w:val="0"/>
          <w:sz w:val="22"/>
        </w:rPr>
        <w:t xml:space="preserve">Subject: </w:t>
      </w:r>
      <w:r>
        <w:rPr>
          <w:rFonts w:ascii="Times New Roman" w:hAnsi="Times New Roman"/>
          <w:b/>
          <w:i w:val="0"/>
          <w:sz w:val="22"/>
        </w:rPr>
        <w:t>Submission of manuscript entitled “Multi-Horizon Hazard Models for Battery Failure Prediction: Within-Dataset Reliability, Cross-Chemistry Transferability, and Embedded Edge Deployment” for consideration in IEEE Access</w:t>
      </w:r>
    </w:p>
    <w:p>
      <w:pPr>
        <w:spacing w:after="200"/>
        <w:jc w:val="left"/>
      </w:pPr>
      <w:r>
        <w:rPr>
          <w:rFonts w:ascii="Times New Roman" w:hAnsi="Times New Roman"/>
          <w:b w:val="0"/>
          <w:i w:val="0"/>
          <w:sz w:val="22"/>
        </w:rPr>
        <w:t>Dear Editor-in-Chief,</w:t>
      </w:r>
    </w:p>
    <w:p>
      <w:pPr>
        <w:spacing w:after="160"/>
        <w:jc w:val="left"/>
      </w:pPr>
      <w:r>
        <w:rPr>
          <w:rFonts w:ascii="Times New Roman" w:hAnsi="Times New Roman"/>
          <w:b w:val="0"/>
          <w:i w:val="0"/>
          <w:sz w:val="22"/>
        </w:rPr>
        <w:t>On behalf of all co-authors, I am pleased to submit our original research manuscript, “Multi-Horizon Hazard Models for Battery Failure Prediction: Within-Dataset Reliability, Cross-Chemistry Transferability, and Embedded Edge Deployment,” for consideration for publication in IEEE Access. The manuscript has not been published elsewhere and is not under consideration by any other journal. All authors have read and approved the submitted version and accept full responsibility for the scientific content.</w:t>
      </w:r>
    </w:p>
    <w:p>
      <w:pPr>
        <w:spacing w:before="200" w:after="80"/>
        <w:jc w:val="left"/>
      </w:pPr>
      <w:r>
        <w:rPr>
          <w:rFonts w:ascii="Times New Roman" w:hAnsi="Times New Roman"/>
          <w:b/>
          <w:i w:val="0"/>
          <w:sz w:val="22"/>
        </w:rPr>
        <w:t>Summary of the Work</w:t>
      </w:r>
    </w:p>
    <w:p>
      <w:pPr>
        <w:spacing w:after="160"/>
        <w:jc w:val="left"/>
      </w:pPr>
      <w:r>
        <w:rPr>
          <w:rFonts w:ascii="Times New Roman" w:hAnsi="Times New Roman"/>
          <w:b w:val="0"/>
          <w:i w:val="0"/>
          <w:sz w:val="22"/>
        </w:rPr>
        <w:t>Lithium-ion battery failure prediction is conventionally framed as a remaining-useful-life regression problem, yet the question that matters most to an operator is whether a specific cell will survive the next mission. Our manuscript extends a recently proposed multi-horizon hazard classification framework — originally demonstrated on a single model and a single dataset — into a four-model, four-dataset study covering both within-chemistry reliability and cross-chemistry transfer, and pairs the research findings with a complete embedded edge-deployment pipeline on an ESP32-S3 microcontroller.</w:t>
      </w:r>
    </w:p>
    <w:p>
      <w:pPr>
        <w:spacing w:before="200" w:after="80"/>
        <w:jc w:val="left"/>
      </w:pPr>
      <w:r>
        <w:rPr>
          <w:rFonts w:ascii="Times New Roman" w:hAnsi="Times New Roman"/>
          <w:b/>
          <w:i w:val="0"/>
          <w:sz w:val="22"/>
        </w:rPr>
        <w:t>Key Contributions</w:t>
      </w:r>
    </w:p>
    <w:p>
      <w:pPr>
        <w:pStyle w:val="ListBullet"/>
        <w:spacing w:after="60"/>
      </w:pPr>
      <w:r>
        <w:rPr>
          <w:rFonts w:ascii="Times New Roman" w:hAnsi="Times New Roman"/>
          <w:b w:val="0"/>
          <w:i w:val="0"/>
          <w:sz w:val="22"/>
        </w:rPr>
        <w:t>A four-model benchmark (XGBoost, LightGBM, Random Forest, and a compact GRU sequence classifier) evaluated on two LCO datasets (NASA 18650, CALCE LCO/CX2) under a unified 5-fold GroupKFold protocol, establishing a reproducible within-chemistry AUC baseline of 0.85–0.95.</w:t>
      </w:r>
    </w:p>
    <w:p>
      <w:pPr>
        <w:pStyle w:val="ListBullet"/>
        <w:spacing w:after="60"/>
      </w:pPr>
      <w:r>
        <w:rPr>
          <w:rFonts w:ascii="Times New Roman" w:hAnsi="Times New Roman"/>
          <w:b w:val="0"/>
          <w:i w:val="0"/>
          <w:sz w:val="22"/>
        </w:rPr>
        <w:t>A controlled cross-chemistry transfer study from LCO to two independent LFP targets — the 5-cell Oxford pouch set and the 141-cell MIT–Stanford (Severson) set — with and without State-of-Health (SOH) as an input feature, analyzed with DeLong significance tests and SHAP explanations.</w:t>
      </w:r>
    </w:p>
    <w:p>
      <w:pPr>
        <w:pStyle w:val="ListBullet"/>
        <w:spacing w:after="60"/>
      </w:pPr>
      <w:r>
        <w:rPr>
          <w:rFonts w:ascii="Times New Roman" w:hAnsi="Times New Roman"/>
          <w:b w:val="0"/>
          <w:i w:val="0"/>
          <w:sz w:val="22"/>
        </w:rPr>
        <w:t>The central negative result that removing SOH collapses cross-chemistry raw AUC from 0.84–1.00 to 0.33–0.62 on Oxford and to 0.60–0.85 on Severson, with DeLong p-values below 10⁻³⁶, demonstrating that SOH acts as a chemistry-specific lookup key rather than a transferable degradation invariant.</w:t>
      </w:r>
    </w:p>
    <w:p>
      <w:pPr>
        <w:pStyle w:val="ListBullet"/>
        <w:spacing w:after="60"/>
      </w:pPr>
      <w:r>
        <w:rPr>
          <w:rFonts w:ascii="Times New Roman" w:hAnsi="Times New Roman"/>
          <w:b w:val="0"/>
          <w:i w:val="0"/>
          <w:sz w:val="22"/>
        </w:rPr>
        <w:t>A fairness-corrected comparison of isotonic and Platt (sigmoid) calibration revealing a secondary, independent failure mode: isotonic regression itself collapses AUC under cross-chemistry covariate shift because its step function bins many test scores into identical probabilities.</w:t>
      </w:r>
    </w:p>
    <w:p>
      <w:pPr>
        <w:pStyle w:val="ListBullet"/>
        <w:spacing w:after="60"/>
      </w:pPr>
      <w:r>
        <w:rPr>
          <w:rFonts w:ascii="Times New Roman" w:hAnsi="Times New Roman"/>
          <w:b w:val="0"/>
          <w:i w:val="0"/>
          <w:sz w:val="22"/>
        </w:rPr>
        <w:t>A complete embedded deployment that packs all three tree ensembles (900 trees, 26,306 nodes) into a 372 kB binary and runs them on an ESP32-S3 through a hand-written C tree walker, reproducing the Python training libraries to sub-microsecond precision across 1,028 validation rows.</w:t>
      </w:r>
    </w:p>
    <w:p>
      <w:pPr>
        <w:spacing w:before="200" w:after="80"/>
        <w:jc w:val="left"/>
      </w:pPr>
      <w:r>
        <w:rPr>
          <w:rFonts w:ascii="Times New Roman" w:hAnsi="Times New Roman"/>
          <w:b/>
          <w:i w:val="0"/>
          <w:sz w:val="22"/>
        </w:rPr>
        <w:t>Novelty and Significance</w:t>
      </w:r>
    </w:p>
    <w:p>
      <w:pPr>
        <w:spacing w:after="160"/>
        <w:jc w:val="left"/>
      </w:pPr>
      <w:r>
        <w:rPr>
          <w:rFonts w:ascii="Times New Roman" w:hAnsi="Times New Roman"/>
          <w:b w:val="0"/>
          <w:i w:val="0"/>
          <w:sz w:val="22"/>
        </w:rPr>
        <w:t>Although transfer learning for battery state estimation has received growing attention, prior work has typically treated SOH as a regression target and has not ablated it as an input feature. Our controlled ablation isolates, for the first time in this setting, the mechanism by which SOH produces apparent cross-chemistry transfer: tree-based learners exploit SOH through isolated hard splits that act as a chemistry-specific capacity-to-horizon lookup table, and that shortcut transfers trivially across chemistries regardless of whether the underlying electrochemical relationship holds. The GRU behaves differently because its distributed hidden state entangles SOH with chemistry-specific voltage and cycle trends, producing an architecture-specific fragility under distribution shift that we characterize in detail. These findings have direct implications for designers of battery management systems deployed across mixed-chemistry fleets and complement recent calls for physics-informed, chemistry-invariant features in battery prognostics.</w:t>
      </w:r>
    </w:p>
    <w:p>
      <w:pPr>
        <w:spacing w:before="200" w:after="80"/>
        <w:jc w:val="left"/>
      </w:pPr>
      <w:r>
        <w:rPr>
          <w:rFonts w:ascii="Times New Roman" w:hAnsi="Times New Roman"/>
          <w:b/>
          <w:i w:val="0"/>
          <w:sz w:val="22"/>
        </w:rPr>
        <w:t>Fit for IEEE Access</w:t>
      </w:r>
    </w:p>
    <w:p>
      <w:pPr>
        <w:spacing w:after="160"/>
        <w:jc w:val="left"/>
      </w:pPr>
      <w:r>
        <w:rPr>
          <w:rFonts w:ascii="Times New Roman" w:hAnsi="Times New Roman"/>
          <w:b w:val="0"/>
          <w:i w:val="0"/>
          <w:sz w:val="22"/>
        </w:rPr>
        <w:t>IEEE Access is an appropriate venue because the manuscript sits at the intersection of electrical energy systems, applied machine learning, and embedded hardware — all within the journal’s scope. The open-access model also suits the work because the study is fully reproducible: the complete source code, data processing scripts, trained models, ESP32-S3 firmware, and validation pipeline are released under an MIT license at the project repository (https://github.com/touhidsiddiqueeraj-bit/Multi-Horizon-Hazard-Models-for-Battery-Failure-Prediction). Open access ensures that practitioners in industry and at smaller institutions can replicate, extend, and deploy the methods without paywall barriers.</w:t>
      </w:r>
    </w:p>
    <w:p>
      <w:pPr>
        <w:spacing w:before="200" w:after="80"/>
        <w:jc w:val="left"/>
      </w:pPr>
      <w:r>
        <w:rPr>
          <w:rFonts w:ascii="Times New Roman" w:hAnsi="Times New Roman"/>
          <w:b/>
          <w:i w:val="0"/>
          <w:sz w:val="22"/>
        </w:rPr>
        <w:t>Declarations</w:t>
      </w:r>
    </w:p>
    <w:p>
      <w:pPr>
        <w:pStyle w:val="ListBullet"/>
        <w:spacing w:after="60"/>
      </w:pPr>
      <w:r>
        <w:rPr>
          <w:rFonts w:ascii="Times New Roman" w:hAnsi="Times New Roman"/>
          <w:b w:val="0"/>
          <w:i w:val="0"/>
          <w:sz w:val="22"/>
        </w:rPr>
        <w:t>This manuscript is original, has not been published elsewhere, and is not under consideration by any other journal.</w:t>
      </w:r>
    </w:p>
    <w:p>
      <w:pPr>
        <w:pStyle w:val="ListBullet"/>
        <w:spacing w:after="60"/>
      </w:pPr>
      <w:r>
        <w:rPr>
          <w:rFonts w:ascii="Times New Roman" w:hAnsi="Times New Roman"/>
          <w:b w:val="0"/>
          <w:i w:val="0"/>
          <w:sz w:val="22"/>
        </w:rPr>
        <w:t>All authors have read and approved the submitted version and agree to the order of authorship listed on the title page.</w:t>
      </w:r>
    </w:p>
    <w:p>
      <w:pPr>
        <w:pStyle w:val="ListBullet"/>
        <w:spacing w:after="60"/>
      </w:pPr>
      <w:r>
        <w:rPr>
          <w:rFonts w:ascii="Times New Roman" w:hAnsi="Times New Roman"/>
          <w:b w:val="0"/>
          <w:i w:val="0"/>
          <w:sz w:val="22"/>
        </w:rPr>
        <w:t>The authors declare no competing financial or non-financial interests.</w:t>
      </w:r>
    </w:p>
    <w:p>
      <w:pPr>
        <w:pStyle w:val="ListBullet"/>
        <w:spacing w:after="60"/>
      </w:pPr>
      <w:r>
        <w:rPr>
          <w:rFonts w:ascii="Times New Roman" w:hAnsi="Times New Roman"/>
          <w:b w:val="0"/>
          <w:i w:val="0"/>
          <w:sz w:val="22"/>
        </w:rPr>
        <w:t>No external funding was received for this work; the study was conducted using publicly available datasets (NASA 18650, CALCE LCO/CX2, Oxford LFP, MIT–Stanford Severson).</w:t>
      </w:r>
    </w:p>
    <w:p>
      <w:pPr>
        <w:pStyle w:val="ListBullet"/>
        <w:spacing w:after="60"/>
      </w:pPr>
      <w:r>
        <w:rPr>
          <w:rFonts w:ascii="Times New Roman" w:hAnsi="Times New Roman"/>
          <w:b w:val="0"/>
          <w:i w:val="0"/>
          <w:sz w:val="22"/>
        </w:rPr>
        <w:t>All data and code required to reproduce the results are publicly available at the project repository cited in the manuscript.</w:t>
      </w:r>
    </w:p>
    <w:p>
      <w:pPr>
        <w:pStyle w:val="ListBullet"/>
        <w:spacing w:after="60"/>
      </w:pPr>
      <w:r>
        <w:rPr>
          <w:rFonts w:ascii="Times New Roman" w:hAnsi="Times New Roman"/>
          <w:b w:val="0"/>
          <w:i w:val="0"/>
          <w:sz w:val="22"/>
        </w:rPr>
        <w:t>No human or animal subjects were involved; the study uses only publicly released battery aging datasets.</w:t>
      </w:r>
    </w:p>
    <w:p>
      <w:pPr>
        <w:spacing w:before="200" w:after="80"/>
        <w:jc w:val="left"/>
      </w:pPr>
      <w:r>
        <w:rPr>
          <w:rFonts w:ascii="Times New Roman" w:hAnsi="Times New Roman"/>
          <w:b/>
          <w:i w:val="0"/>
          <w:sz w:val="22"/>
        </w:rPr>
        <w:t>Suggested Reviewers</w:t>
      </w:r>
    </w:p>
    <w:p>
      <w:pPr>
        <w:spacing w:after="160"/>
        <w:jc w:val="left"/>
      </w:pPr>
      <w:r>
        <w:rPr>
          <w:rFonts w:ascii="Times New Roman" w:hAnsi="Times New Roman"/>
          <w:b w:val="0"/>
          <w:i w:val="0"/>
          <w:sz w:val="22"/>
        </w:rPr>
        <w:t>We suggest the following domain experts, all of whom have published peer-reviewed work directly relevant to the manuscript’s scope. We have no personal or professional relationship with any of them that would constitute a conflict of interest.</w:t>
      </w:r>
    </w:p>
    <w:p>
      <w:pPr>
        <w:pStyle w:val="ListBullet"/>
        <w:spacing w:after="60"/>
      </w:pPr>
      <w:r>
        <w:rPr>
          <w:rFonts w:ascii="Times New Roman" w:hAnsi="Times New Roman"/>
          <w:b w:val="0"/>
          <w:i w:val="0"/>
          <w:sz w:val="22"/>
        </w:rPr>
        <w:t>Prof. Rui Xiong, National Engineering Research Center of Electric Vehicles, Beijing Institute of Technology, China — battery state estimation and deep-learning prognostics.</w:t>
      </w:r>
    </w:p>
    <w:p>
      <w:pPr>
        <w:pStyle w:val="ListBullet"/>
        <w:spacing w:after="60"/>
      </w:pPr>
      <w:r>
        <w:rPr>
          <w:rFonts w:ascii="Times New Roman" w:hAnsi="Times New Roman"/>
          <w:b w:val="0"/>
          <w:i w:val="0"/>
          <w:sz w:val="22"/>
        </w:rPr>
        <w:t>Prof. Richard D. Braatz, Massachusetts Institute of Technology, USA — data-driven battery cycle-life prediction (Severson et al., Nature Energy, 2019).</w:t>
      </w:r>
    </w:p>
    <w:p>
      <w:pPr>
        <w:pStyle w:val="ListBullet"/>
        <w:spacing w:after="60"/>
      </w:pPr>
      <w:r>
        <w:rPr>
          <w:rFonts w:ascii="Times New Roman" w:hAnsi="Times New Roman"/>
          <w:b w:val="0"/>
          <w:i w:val="0"/>
          <w:sz w:val="22"/>
        </w:rPr>
        <w:t>Dr. David A. Howey, Department of Engineering Science, University of Oxford, UK — battery degradation diagnostics and the Oxford dataset.</w:t>
      </w:r>
    </w:p>
    <w:p>
      <w:pPr>
        <w:pStyle w:val="ListBullet"/>
        <w:spacing w:after="60"/>
      </w:pPr>
      <w:r>
        <w:rPr>
          <w:rFonts w:ascii="Times New Roman" w:hAnsi="Times New Roman"/>
          <w:b w:val="0"/>
          <w:i w:val="0"/>
          <w:sz w:val="22"/>
        </w:rPr>
        <w:t>Prof. Kwok W. Leong, Faculty of Science and Technology, University of Macau, Macao SAR — lithium-ion prognostics and health management.</w:t>
      </w:r>
    </w:p>
    <w:p>
      <w:pPr>
        <w:spacing w:after="160"/>
        <w:jc w:val="left"/>
      </w:pPr>
      <w:r>
        <w:rPr>
          <w:rFonts w:ascii="Times New Roman" w:hAnsi="Times New Roman"/>
          <w:b w:val="0"/>
          <w:i w:val="0"/>
          <w:sz w:val="22"/>
        </w:rPr>
        <w:t>We would also respectfully ask that the following individuals not serve as reviewers due to ongoing collaborative relationships: [none at present].</w:t>
      </w:r>
    </w:p>
    <w:p>
      <w:pPr>
        <w:spacing w:before="200" w:after="80"/>
        <w:jc w:val="left"/>
      </w:pPr>
      <w:r>
        <w:rPr>
          <w:rFonts w:ascii="Times New Roman" w:hAnsi="Times New Roman"/>
          <w:b/>
          <w:i w:val="0"/>
          <w:sz w:val="22"/>
        </w:rPr>
        <w:t>Closing</w:t>
      </w:r>
    </w:p>
    <w:p>
      <w:pPr>
        <w:spacing w:after="160"/>
        <w:jc w:val="left"/>
      </w:pPr>
      <w:r>
        <w:rPr>
          <w:rFonts w:ascii="Times New Roman" w:hAnsi="Times New Roman"/>
          <w:b w:val="0"/>
          <w:i w:val="0"/>
          <w:sz w:val="22"/>
        </w:rPr>
        <w:t>We believe the manuscript meets the technical and reproducibility standards of IEEE Access and would be of interest to its readership across the energy systems, applied machine learning, and embedded hardware communities. We thank you and the reviewers for your time and consideration, and we look forward to your feedback.</w:t>
      </w:r>
    </w:p>
    <w:p>
      <w:pPr>
        <w:spacing w:after="480"/>
        <w:jc w:val="left"/>
      </w:pPr>
      <w:r>
        <w:rPr>
          <w:rFonts w:ascii="Times New Roman" w:hAnsi="Times New Roman"/>
          <w:b w:val="0"/>
          <w:i w:val="0"/>
          <w:sz w:val="22"/>
        </w:rPr>
        <w:t>Sincerely,</w:t>
      </w:r>
    </w:p>
    <w:p>
      <w:pPr>
        <w:spacing w:after="40"/>
        <w:jc w:val="left"/>
      </w:pPr>
      <w:r>
        <w:rPr>
          <w:rFonts w:ascii="Times New Roman" w:hAnsi="Times New Roman"/>
          <w:b/>
          <w:i w:val="0"/>
          <w:sz w:val="22"/>
        </w:rPr>
        <w:t>Hussain Touhid Siddiquee</w:t>
      </w:r>
    </w:p>
    <w:p>
      <w:pPr>
        <w:spacing w:after="40"/>
        <w:jc w:val="left"/>
      </w:pPr>
      <w:r>
        <w:rPr>
          <w:rFonts w:ascii="Times New Roman" w:hAnsi="Times New Roman"/>
          <w:b w:val="0"/>
          <w:i/>
          <w:sz w:val="22"/>
        </w:rPr>
        <w:t>Corresponding Author, on behalf of all co-authors</w:t>
      </w:r>
    </w:p>
    <w:p>
      <w:pPr>
        <w:spacing w:after="40"/>
        <w:jc w:val="left"/>
      </w:pPr>
      <w:r>
        <w:rPr>
          <w:rFonts w:ascii="Times New Roman" w:hAnsi="Times New Roman"/>
          <w:b w:val="0"/>
          <w:i w:val="0"/>
          <w:sz w:val="22"/>
        </w:rPr>
        <w:t>Department of Electrical and Electronic Engineering</w:t>
      </w:r>
    </w:p>
    <w:p>
      <w:pPr>
        <w:spacing w:after="40"/>
        <w:jc w:val="left"/>
      </w:pPr>
      <w:r>
        <w:rPr>
          <w:rFonts w:ascii="Times New Roman" w:hAnsi="Times New Roman"/>
          <w:b w:val="0"/>
          <w:i w:val="0"/>
          <w:sz w:val="22"/>
        </w:rPr>
        <w:t>Leading University, Sylhet, Bangladesh</w:t>
      </w:r>
    </w:p>
    <w:p>
      <w:pPr>
        <w:spacing w:after="40"/>
        <w:jc w:val="left"/>
      </w:pPr>
      <w:r>
        <w:rPr>
          <w:rFonts w:ascii="Times New Roman" w:hAnsi="Times New Roman"/>
          <w:b w:val="0"/>
          <w:i w:val="0"/>
          <w:sz w:val="22"/>
        </w:rPr>
        <w:t>Email: touhidsiddiqueeraj@gmail.com</w:t>
      </w:r>
    </w:p>
    <w:p>
      <w:pPr>
        <w:spacing w:after="40"/>
        <w:jc w:val="left"/>
      </w:pPr>
      <w:r>
        <w:rPr>
          <w:rFonts w:ascii="Times New Roman" w:hAnsi="Times New Roman"/>
          <w:b w:val="0"/>
          <w:i w:val="0"/>
          <w:sz w:val="22"/>
        </w:rPr>
        <w:t>ORCID: 0009-0000-0000-0000 (to be confirmed at proof stage)</w:t>
      </w:r>
    </w:p>
    <w:p>
      <w:pPr>
        <w:spacing w:after="80"/>
        <w:jc w:val="left"/>
      </w:pPr>
      <w:r>
        <w:rPr>
          <w:rFonts w:ascii="Times New Roman" w:hAnsi="Times New Roman"/>
          <w:b w:val="0"/>
          <w:i w:val="0"/>
          <w:sz w:val="22"/>
        </w:rPr>
      </w:r>
    </w:p>
    <w:p>
      <w:pPr>
        <w:spacing w:after="40"/>
        <w:jc w:val="left"/>
      </w:pPr>
      <w:r>
        <w:rPr>
          <w:rFonts w:ascii="Times New Roman" w:hAnsi="Times New Roman"/>
          <w:b/>
          <w:i w:val="0"/>
          <w:sz w:val="22"/>
        </w:rPr>
        <w:t>Co-authors:</w:t>
      </w:r>
    </w:p>
    <w:p>
      <w:pPr>
        <w:spacing w:after="40"/>
        <w:jc w:val="left"/>
      </w:pPr>
      <w:r>
        <w:rPr>
          <w:rFonts w:ascii="Times New Roman" w:hAnsi="Times New Roman"/>
          <w:b w:val="0"/>
          <w:i w:val="0"/>
          <w:sz w:val="22"/>
        </w:rPr>
        <w:t>Syeda Salsabil Islam, Department of EEE, Leading University, Sylhet, Bangladesh</w:t>
      </w:r>
    </w:p>
    <w:p>
      <w:pPr>
        <w:spacing w:after="40"/>
        <w:jc w:val="left"/>
      </w:pPr>
      <w:r>
        <w:rPr>
          <w:rFonts w:ascii="Times New Roman" w:hAnsi="Times New Roman"/>
          <w:b w:val="0"/>
          <w:i w:val="0"/>
          <w:sz w:val="22"/>
        </w:rPr>
        <w:t>Ariya Jasimul Islam, Department of EEE, Leading University, Sylhet, Bangladesh</w:t>
      </w:r>
    </w:p>
    <w:p>
      <w:pPr>
        <w:spacing w:after="40"/>
        <w:jc w:val="left"/>
      </w:pPr>
      <w:r>
        <w:rPr>
          <w:rFonts w:ascii="Times New Roman" w:hAnsi="Times New Roman"/>
          <w:b w:val="0"/>
          <w:i w:val="0"/>
          <w:sz w:val="22"/>
        </w:rPr>
        <w:t>Chowdhury Farzana Hoque Eshica, Department of EEE, Leading University, Sylhet, Bangladesh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left"/>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