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40"/>
        </w:rPr>
        <w:t>Multi-Horizon Hazard Models for Battery Failure Prediction: Within-Dataset Reliability, Cross-Chemistry Transferability, and Embedded Edge Deployment</w:t>
      </w:r>
    </w:p>
    <w:p>
      <w:pPr>
        <w:spacing w:after="40"/>
        <w:jc w:val="center"/>
      </w:pPr>
      <w:r>
        <w:rPr>
          <w:rFonts w:ascii="Times New Roman" w:hAnsi="Times New Roman"/>
          <w:b w:val="0"/>
          <w:i w:val="0"/>
          <w:sz w:val="20"/>
        </w:rPr>
        <w:t>Hussain Touhid Siddiquee, Syeda Salsabil Islam, Ariya Jasimul Islam, and Chowdhury Farzana Hoque Eshica</w:t>
      </w:r>
    </w:p>
    <w:p>
      <w:pPr>
        <w:spacing w:after="200"/>
        <w:jc w:val="center"/>
      </w:pPr>
      <w:r>
        <w:rPr>
          <w:rFonts w:ascii="Times New Roman" w:hAnsi="Times New Roman"/>
          <w:b w:val="0"/>
          <w:i/>
          <w:sz w:val="18"/>
        </w:rPr>
        <w:t>Department of Electrical and Electronic Engineering, Leading University, Sylhet, Bangladesh</w:t>
        <w:br/>
        <w:t>Corresponding author: Hussain Touhid Siddiquee (touhidsiddiqueeraj@gmail.com)</w:t>
      </w:r>
    </w:p>
    <w:p>
      <w:pPr>
        <w:spacing w:after="80"/>
        <w:jc w:val="both"/>
      </w:pPr>
      <w:r>
        <w:rPr>
          <w:rFonts w:ascii="Times New Roman" w:hAnsi="Times New Roman"/>
          <w:b/>
          <w:i/>
          <w:sz w:val="20"/>
        </w:rPr>
        <w:t>Abstract—</w:t>
      </w:r>
      <w:r>
        <w:rPr>
          <w:rFonts w:ascii="Times New Roman" w:hAnsi="Times New Roman"/>
          <w:b w:val="0"/>
          <w:i w:val="0"/>
          <w:sz w:val="20"/>
        </w:rPr>
        <w:t>Predicting whether a lithium-ion cell will fail within a short operational window is a distinct task from estimating its remaining useful life, yet it is the question that matters most for real-time dispatch in electric vehicles and grid storage. This paper extends a recently proposed multi-horizon hazard classification framework, originally demonstrated on a single model and a single dataset, into a broader study covering four model families, three lithium-cobalt-oxide (LCO) training sources, and two lithium-iron-phosphate (LFP) cross-chemistry targets. Three gradient-boosted tree ensembles (XGBoost, LightGBM, Random Forest, 300 trees each) and a compact Gated Recurrent Unit (GRU) sequence classifier are trained under a composite failure label that combines a State-of-Health (SOH) threshold of 0.80 with an average-voltage-sag criterion. Platt (sigmoid) calibration consistently outperforms isotonic regression in discrimination: on CALCE, mean area under the ROC curve (AUC) rises from 0.694 to 0.904, while Brier scores remain comparable, indicating that isotonic degrades ranking on long-tailed degradation data. Cross-chemistry transfer from LCO to LFP appears strong when SOH is retained as a feature (raw AUC up to 1.00 on Oxford and 0.99 on the 141-cell Severson set), but collapses to 0.33–0.62 on Oxford and 0.60–0.85 on Severson once SOH is removed, with DeLong test p-values below 10⁻³⁶ on Oxford and below 10⁻¹⁰⁰ on the 141-cell Severson set. SHAP analysis and a GRU-specific entanglement effect show that SOH behaves as a chemistry-specific lookup key rather than a transferable degradation invariant. A secondary finding is that post-hoc calibration itself fails under covariate shift. Finally, the three tree models are exported to a 372 kB binary and deployed on an ESP32-S3 microcontroller, with a C inference engine reproducing Python predictions to sub-microsecond precision across 1,028 validation rows. The combined results establish a reproducible within-chemistry baseline, expose a clear boundary for cross-chemistry generalization, and demonstrate a practical edge-deployment path.</w:t>
      </w:r>
    </w:p>
    <w:p>
      <w:pPr>
        <w:spacing w:after="160"/>
        <w:jc w:val="both"/>
      </w:pPr>
      <w:r>
        <w:rPr>
          <w:rFonts w:ascii="Times New Roman" w:hAnsi="Times New Roman"/>
          <w:b/>
          <w:i/>
          <w:sz w:val="18"/>
        </w:rPr>
        <w:t>Index Terms—</w:t>
      </w:r>
      <w:r>
        <w:rPr>
          <w:rFonts w:ascii="Times New Roman" w:hAnsi="Times New Roman"/>
          <w:b w:val="0"/>
          <w:i w:val="0"/>
          <w:sz w:val="18"/>
        </w:rPr>
        <w:t>Battery failure prediction, multi-horizon hazard classification, cross-chemistry transfer, probability calibration, SHAP, embedded machine learning, ESP32-S3.</w:t>
      </w:r>
    </w:p>
    <w:p>
      <w:pPr>
        <w:pStyle w:val="Heading1"/>
      </w:pPr>
      <w:r>
        <w:rPr>
          <w:rFonts w:ascii="Times New Roman" w:hAnsi="Times New Roman"/>
        </w:rPr>
        <w:t>I. Introduction</w:t>
      </w:r>
    </w:p>
    <w:p>
      <w:pPr>
        <w:jc w:val="both"/>
      </w:pPr>
      <w:r>
        <w:rPr>
          <w:rFonts w:ascii="Times New Roman" w:hAnsi="Times New Roman"/>
          <w:b w:val="0"/>
          <w:i w:val="0"/>
          <w:sz w:val="20"/>
        </w:rPr>
        <w:t>Lithium-ion batteries underpin the electrification of transport and the decarbonization of electrical grids, yet their long-term reliability remains difficult to certify in the field. Conventional prognostics frames the problem as remaining-useful-life (RUL) regression: a model predicts a continuous time-to-failure from capacity-fade or impedance-growth curves [2], [10]. That formulation is well suited to laboratory aging studies, where end-of-life thresholds are fixed and sufficient failure data are available, but it is less natural for an operator who simply needs to know whether a given cell can complete the next mission. Shikdar and Laaksonen [1] recently proposed an alternative in which the cell is instead classified as failing or not within a horizon H, using a composite label that combines an SOH criterion with a voltage-sag criterion. Their histogram-based gradient boosting (HGB) model, trained on the NASA 18650 dataset, reached calibrated AUC values of 0.868–0.898 across H ∈ {10, 20, 30, 50}.</w:t>
      </w:r>
    </w:p>
    <w:p>
      <w:pPr>
        <w:jc w:val="both"/>
      </w:pPr>
      <w:r>
        <w:rPr>
          <w:rFonts w:ascii="Times New Roman" w:hAnsi="Times New Roman"/>
          <w:b w:val="0"/>
          <w:i w:val="0"/>
          <w:sz w:val="20"/>
        </w:rPr>
        <w:t>That work left three questions open, and each of them has practical consequences. First, the original study used a single model class on a single dataset, so it is unclear how sensitive the results are to the choice of learner, the hyperparameter setting, or the post-hoc calibration method. Second, real fleets mix cathode chemistries — LCO, LFP, NMC, NCA — and a hazard monitor trained on one chemistry will be deployed on another unless expensive per-chemistry retraining is performed; whether such transfer is possible at all has not been systematically tested. Third, even a well-performing model is of limited value if it can only run on a cloud server, because battery management is inherently a low-latency, energy-constrained task that benefits from on-cell inference.</w:t>
      </w:r>
    </w:p>
    <w:p>
      <w:pPr>
        <w:jc w:val="both"/>
      </w:pPr>
      <w:r>
        <w:rPr>
          <w:rFonts w:ascii="Times New Roman" w:hAnsi="Times New Roman"/>
          <w:b w:val="0"/>
          <w:i w:val="0"/>
          <w:sz w:val="20"/>
        </w:rPr>
        <w:t>This paper addresses all three gaps. The contributions are: (i) a four-model benchmark comprising three tree ensembles (XGBoost, LightGBM, Random Forest) and a GRU sequence classifier, all evaluated on two LCO datasets (NASA 18650, CALCE LCO/CX2) under a unified 5-fold GroupKFold protocol; (ii) a controlled cross-chemistry transfer study in which models trained on LCO are tested on two independent LFP targets — the 5-cell Oxford pouch set [8] and the 141-cell MIT–Stanford (Severson) set [10] — with and without SOH as an input feature, analyzed with DeLong significance tests and SHAP explanations; (iii) a fairness-corrected comparison of isotonic and Platt calibration that reveals a distribution-shift failure mode for isotonic regression; and (iv) a complete embedded deployment pipeline that packs all three tree models into a 372 kB binary and runs them on an ESP32-S3 with a hand-written C inference engine, validated to bit-level agreement with the Python training libraries.</w:t>
      </w:r>
    </w:p>
    <w:p>
      <w:pPr>
        <w:jc w:val="both"/>
      </w:pPr>
      <w:r>
        <w:rPr>
          <w:rFonts w:ascii="Times New Roman" w:hAnsi="Times New Roman"/>
          <w:b w:val="0"/>
          <w:i w:val="0"/>
          <w:sz w:val="20"/>
        </w:rPr>
        <w:t>The central negative result — that removing SOH collapses cross-chemistry AUC from near-perfect to near-chance — is not a generic null finding. It points to a specific mechanism: trees exploit SOH through isolated hard splits that act as a chemistry-specific capacity-to-horizon lookup table, and that shortcut transfers trivially across chemistries regardless of whether the underlying electrochemical relationship holds. The remainder of the paper develops the evidence for this claim, examines why the GRU behaves differently, and discusses the implications for designers of battery management systems (BMS).</w:t>
      </w:r>
    </w:p>
    <w:p>
      <w:pPr>
        <w:pStyle w:val="Heading1"/>
      </w:pPr>
      <w:r>
        <w:rPr>
          <w:rFonts w:ascii="Times New Roman" w:hAnsi="Times New Roman"/>
        </w:rPr>
        <w:t>II. Related Work</w:t>
      </w:r>
    </w:p>
    <w:p>
      <w:pPr>
        <w:pStyle w:val="Heading2"/>
      </w:pPr>
      <w:r>
        <w:rPr>
          <w:rFonts w:ascii="Times New Roman" w:hAnsi="Times New Roman"/>
        </w:rPr>
        <w:t>A. From RUL regression to hazard classification</w:t>
      </w:r>
    </w:p>
    <w:p>
      <w:pPr>
        <w:jc w:val="both"/>
      </w:pPr>
      <w:r>
        <w:rPr>
          <w:rFonts w:ascii="Times New Roman" w:hAnsi="Times New Roman"/>
          <w:b w:val="0"/>
          <w:i w:val="0"/>
          <w:sz w:val="20"/>
        </w:rPr>
        <w:t>Data-driven battery prognostics has historically been formulated as a regression problem in which capacity fade or internal resistance growth is extrapolated to a threshold. Meng and Li [2] review this field and group prior methods into three families: physics-based models, purely data-driven models, and hybrid approaches that combine physical insight with statistical learners. Deep architectures, including convolutional and recurrent networks, have been applied to voltage, current, and temperature sequences to predict continuous RUL or SOH trajectories [12], [13], [23]. These methods typically evaluate on a single chemistry under matched training and test conditions, so the cross-chemistry question is rarely posed. The classification framing adopted here, introduced by Shikdar and Laaksonen [1], is complementary: it directly answers the operational question of whether a cell will fail within a short horizon and, by doing so, sidesteps the need for an intermediate SOH estimate and a separate end-of-life threshold.</w:t>
      </w:r>
    </w:p>
    <w:p>
      <w:pPr>
        <w:pStyle w:val="Heading2"/>
      </w:pPr>
      <w:r>
        <w:rPr>
          <w:rFonts w:ascii="Times New Roman" w:hAnsi="Times New Roman"/>
        </w:rPr>
        <w:t>B. Cross-chemistry and transfer-learning approaches</w:t>
      </w:r>
    </w:p>
    <w:p>
      <w:pPr>
        <w:jc w:val="both"/>
      </w:pPr>
      <w:r>
        <w:rPr>
          <w:rFonts w:ascii="Times New Roman" w:hAnsi="Times New Roman"/>
          <w:b w:val="0"/>
          <w:i w:val="0"/>
          <w:sz w:val="20"/>
        </w:rPr>
        <w:t>Transfer learning for battery state estimation has begun to attract attention. Sahoo et al. [11] developed a transfer-learning framework for SOH estimation validated across NASA and CALCE cells, demonstrating that fine-tuning on a small target-chemistry sample recovers accurate capacity estimates. Lu et al. [12] used domain adaptation across five manufacturers and 65 cells to estimate SOH without target labels, reporting absolute errors below 3% for the majority of samples. Both studies, however, treat SOH as a continuous regression target and do not ablate the SOH feature itself; consequently, they cannot distinguish genuine chemistry-invariant degradation signal from a lookup-table shortcut. The present study fills that gap by treating SOH as a controlled input variable and measuring how its presence or absence changes discriminative performance across chemistries.</w:t>
      </w:r>
    </w:p>
    <w:p>
      <w:pPr>
        <w:pStyle w:val="Heading2"/>
      </w:pPr>
      <w:r>
        <w:rPr>
          <w:rFonts w:ascii="Times New Roman" w:hAnsi="Times New Roman"/>
        </w:rPr>
        <w:t>C. Calibration of classifier outputs</w:t>
      </w:r>
    </w:p>
    <w:p>
      <w:pPr>
        <w:jc w:val="both"/>
      </w:pPr>
      <w:r>
        <w:rPr>
          <w:rFonts w:ascii="Times New Roman" w:hAnsi="Times New Roman"/>
          <w:b w:val="0"/>
          <w:i w:val="0"/>
          <w:sz w:val="20"/>
        </w:rPr>
        <w:t>Post-hoc calibration maps raw classifier scores to calibrated probability estimates. Platt scaling [14] fits a sigmoid through logistic regression on the model's scores, while isotonic regression [15] fits a non-decreasing step function. Niculescu-Mizil and Caruana [16] established that Platt scaling tends to outperform isotonic on small samples, whereas isotonic catches up as data grow [16]. More recent journal treatments have refined this picture: Böken [18] gives a principled defense of Platt scaling and shows it is asymptotically optimal under reasonable assumptions, while Huang et al. [17] report that isotonic regression dominates on imbalanced data overall but becomes unstable under extreme imbalance. Song et al. [19] provide a recent survey covering both binary and multiclass calibration. The behavior of these methods under covariate shift — the regime that matters for cross-chemistry transfer — has received less attention; Gupta and Ramdas [22] propose an online Platt variant that adapts to distribution drift, but their evaluation does not include battery data. The present work shows that isotonic regression fails specifically and predictably under cross-chemistry shift because its step function collapses many test scores into identical bins.</w:t>
      </w:r>
    </w:p>
    <w:p>
      <w:pPr>
        <w:pStyle w:val="Heading2"/>
      </w:pPr>
      <w:r>
        <w:rPr>
          <w:rFonts w:ascii="Times New Roman" w:hAnsi="Times New Roman"/>
        </w:rPr>
        <w:t>D. Explainability and edge deployment</w:t>
      </w:r>
    </w:p>
    <w:p>
      <w:pPr>
        <w:jc w:val="both"/>
      </w:pPr>
      <w:r>
        <w:rPr>
          <w:rFonts w:ascii="Times New Roman" w:hAnsi="Times New Roman"/>
          <w:b w:val="0"/>
          <w:i w:val="0"/>
          <w:sz w:val="20"/>
        </w:rPr>
        <w:t>Tree-based SHAP values [21] provide a consistent feature-attribution method grounded in Shapley values from cooperative game theory, and they have become the de facto tool for diagnosing which inputs drive an ensemble's predictions. On the deployment side, moving inference from the cloud to a microcontroller reduces latency, preserves data privacy, and removes dependence on connectivity; Grzesik and Mrozek [24] survey the platforms, frameworks, and use cases for combining machine learning with edge computing. Battery management is a natural fit for this trend because it is already a microcontroller-based discipline. The deployment track of this paper contributes a concrete instance of edge tree-ensemble inference — a compact binary format and a C tree walker — that achieves numerical parity with the Python training libraries while fitting within the memory and timing budget of a sub-$15 module.</w:t>
      </w:r>
    </w:p>
    <w:p>
      <w:pPr>
        <w:pStyle w:val="Heading1"/>
      </w:pPr>
      <w:r>
        <w:rPr>
          <w:rFonts w:ascii="Times New Roman" w:hAnsi="Times New Roman"/>
        </w:rPr>
        <w:t>III. Methodology</w:t>
      </w:r>
    </w:p>
    <w:p>
      <w:pPr>
        <w:pStyle w:val="Heading2"/>
      </w:pPr>
      <w:r>
        <w:rPr>
          <w:rFonts w:ascii="Times New Roman" w:hAnsi="Times New Roman"/>
        </w:rPr>
        <w:t>A. Composite failure label</w:t>
      </w:r>
    </w:p>
    <w:p>
      <w:pPr>
        <w:jc w:val="both"/>
      </w:pPr>
      <w:r>
        <w:rPr>
          <w:rFonts w:ascii="Times New Roman" w:hAnsi="Times New Roman"/>
          <w:b w:val="0"/>
          <w:i w:val="0"/>
          <w:sz w:val="20"/>
        </w:rPr>
        <w:t>Following the original protocol [1], a discharge cycle t in cell c is labeled as failing within horizon H if any cycle k ∈ [t, t+H) satisfies either of two criteria: (i) SOHₖ ≤ 0.80, where SOH is the ratio of the current discharge capacity to the mean capacity of the first 10 cycles; or (ii) the average discharge voltage Vₖ drops below 0.94 · V_base, where V_base is the mean of the average discharge voltage over the first 10 cycles. The voltage-sag criterion is intended to capture impedance-driven degradation that manifests as voltage depression before measurable capacity loss. Once either criterion triggers, the label stays positive for the remaining cycles of that cell. The two thresholds (0.80 for SOH, 0.94 for the voltage fraction) are adopted directly from [1] to preserve comparability and are applied uniformly across chemistries without chemistry-specific tuning; the sensitivity of the results to these values is examined in Section V.</w:t>
      </w:r>
    </w:p>
    <w:p>
      <w:pPr>
        <w:pStyle w:val="Heading2"/>
      </w:pPr>
      <w:r>
        <w:rPr>
          <w:rFonts w:ascii="Times New Roman" w:hAnsi="Times New Roman"/>
        </w:rPr>
        <w:t>B. Datasets</w:t>
      </w:r>
    </w:p>
    <w:p>
      <w:pPr>
        <w:jc w:val="both"/>
      </w:pPr>
      <w:r>
        <w:rPr>
          <w:rFonts w:ascii="Times New Roman" w:hAnsi="Times New Roman"/>
          <w:b w:val="0"/>
          <w:i w:val="0"/>
          <w:sz w:val="20"/>
        </w:rPr>
        <w:t>Four publicly available aging datasets are used. The NASA 18650 set [6] contains 37 LCO 18650 cells aged under randomized charge–discharge profiles at room temperature, yielding approximately 1,000 cycles per cell and a diverse set of failure modes. The CALCE LCO/CX2 set [7] provides 7 cells (CS2_33–36, CX2_36–38) cycled at 1C/1C to roughly 80% SOH, with 775–1,952 cycles per cell and a composite-failure rate near 92%. Two LFP sets serve as cross-chemistry targets: the Oxford pouch-cell dataset [8], [9] (5 cells, ~300 cycles each, sampled at roughly 100-cycle intervals), and the MIT–Stanford Severson dataset [10] (141 cells, 534–2,237 cycles each, fast-charging protocols up to 4C). The Severson set is roughly two orders of magnitude larger than Oxford in cell count and provides an independent check on whether the small Oxford sample is misleading.</w:t>
      </w:r>
    </w:p>
    <w:p>
      <w:pPr>
        <w:pStyle w:val="Heading2"/>
      </w:pPr>
      <w:r>
        <w:rPr>
          <w:rFonts w:ascii="Times New Roman" w:hAnsi="Times New Roman"/>
        </w:rPr>
        <w:t>C. Features and preprocessing</w:t>
      </w:r>
    </w:p>
    <w:p>
      <w:pPr>
        <w:jc w:val="both"/>
      </w:pPr>
      <w:r>
        <w:rPr>
          <w:rFonts w:ascii="Times New Roman" w:hAnsi="Times New Roman"/>
          <w:b w:val="0"/>
          <w:i w:val="0"/>
          <w:sz w:val="20"/>
        </w:rPr>
        <w:t>Each cycle is described by seven scalar features: cycle index, average discharge voltage, minimum discharge voltage, average discharge current, average temperature, discharge duration, and SOH. Tree-based learners are scale-invariant, so no standardization is applied for them; the GRU receives per-feature standardization using training-set statistics. Two CALCE features (average temperature and discharge duration) are entirely missing and are filled with zero. This is a known caveat: those zeros are physically implausible (0 °C, 0 s) but are constant across all CALCE rows, so trees cannot use them as informative splits. They can, however, act as a dataset fingerprint during cross-chemistry transfer, which is one reason raw scores are preferred over calibrated ones in that setting (Section IV-E). For the no-SOH ablation, SOH is dropped from the feature vector and the remaining six features are retained.</w:t>
      </w:r>
    </w:p>
    <w:p>
      <w:pPr>
        <w:pStyle w:val="Heading2"/>
      </w:pPr>
      <w:r>
        <w:rPr>
          <w:rFonts w:ascii="Times New Roman" w:hAnsi="Times New Roman"/>
        </w:rPr>
        <w:t>D. Tree-based models and hyperparameters</w:t>
      </w:r>
    </w:p>
    <w:p>
      <w:pPr>
        <w:jc w:val="both"/>
      </w:pPr>
      <w:r>
        <w:rPr>
          <w:rFonts w:ascii="Times New Roman" w:hAnsi="Times New Roman"/>
          <w:b w:val="0"/>
          <w:i w:val="0"/>
          <w:sz w:val="20"/>
        </w:rPr>
        <w:t>Three tree ensembles are benchmarked with hyperparameters aligned to those of the original study [1]: XGBoost [4] with max_depth = 4, n_estimators = 300, learning_rate = 0.05, subsample = 0.8, colsample_bytree = 0.8, and min_child_weight = 5; LightGBM [5] with the same depth, tree count, and learning rate together with min_child_samples = 20; and a Random Forest [3] with max_depth = 6 and n_estimators = 300. All three use default class weighting. The matching hyperparameters are deliberate: the goal is to study the effect of model family on a fixed configuration rather than to tune each model to its individual optimum, which would confound architecture and tuning effects.</w:t>
      </w:r>
    </w:p>
    <w:p>
      <w:pPr>
        <w:pStyle w:val="Heading2"/>
      </w:pPr>
      <w:r>
        <w:rPr>
          <w:rFonts w:ascii="Times New Roman" w:hAnsi="Times New Roman"/>
        </w:rPr>
        <w:t>E. GRU sequence classifier</w:t>
      </w:r>
    </w:p>
    <w:p>
      <w:pPr>
        <w:jc w:val="both"/>
      </w:pPr>
      <w:r>
        <w:rPr>
          <w:rFonts w:ascii="Times New Roman" w:hAnsi="Times New Roman"/>
          <w:b w:val="0"/>
          <w:i w:val="0"/>
          <w:sz w:val="20"/>
        </w:rPr>
        <w:t>A compact GRU is added to test whether sequence-aware representations capture degradation trajectories that transfer across chemistries. The model ingests a sliding window of W = 10 consecutive cycles per cell as a 10 × f tensor, processes it through a single GRU layer with 8 hidden units, and maps the final hidden state through a linear layer to a failure logit. Training uses BCEWithLogits loss with inverse-frequency class weighting (pos_weight = n_neg / n_pos), the Adam optimizer at learning rate 0.005, and early stopping with patience 10; random_state = 42 fixes all seeds. The 8-unit hidden dimension was chosen deliberately to match the small number of training cells (7–37 across datasets). Pilot runs with 32 or 64 units produced perfect training AUC with chance-level held-out performance, a classic overfitting signature. This configuration should be read as a minimum-viable sequence model rather than the best achievable GRU; larger architectures may behave differently and are left to future work.</w:t>
      </w:r>
    </w:p>
    <w:p>
      <w:pPr>
        <w:jc w:val="both"/>
      </w:pPr>
      <w:r>
        <w:rPr>
          <w:rFonts w:ascii="Times New Roman" w:hAnsi="Times New Roman"/>
          <w:b w:val="0"/>
          <w:i w:val="0"/>
          <w:sz w:val="20"/>
        </w:rPr>
        <w:t>For within-dataset runs, the GRU ingests the same feature vector as the trees. For cross-chemistry experiments the feature set is reduced to avoid unit and availability mismatches: average current is dropped (LCO records amperes, LFP records milliamperes), as are average temperature and discharge duration (always missing for CALCE). The resulting cross-chemistry GRU feature set is [cycle, avg_voltage, min_voltage] without SOH and [cycle, avg_voltage, min_voltage, SOH] with SOH.</w:t>
      </w:r>
    </w:p>
    <w:p>
      <w:pPr>
        <w:pStyle w:val="Heading2"/>
      </w:pPr>
      <w:r>
        <w:rPr>
          <w:rFonts w:ascii="Times New Roman" w:hAnsi="Times New Roman"/>
        </w:rPr>
        <w:t>F. Calibration protocol</w:t>
      </w:r>
    </w:p>
    <w:p>
      <w:pPr>
        <w:jc w:val="both"/>
      </w:pPr>
      <w:r>
        <w:rPr>
          <w:rFonts w:ascii="Times New Roman" w:hAnsi="Times New Roman"/>
          <w:b w:val="0"/>
          <w:i w:val="0"/>
          <w:sz w:val="20"/>
        </w:rPr>
        <w:t>We compare two post-hoc calibration schemes under a fairness-corrected protocol. Isotonic regression uses sklearn's IsotonicRegression(out_of_bounds="clip") fitted on the base model's training-fold scores. Platt scaling uses LogisticRegression(C = 1e10, solver="lbfgs") fitted on the same scores. Critically, neither method uses CalibratedClassifierCV with internal cross-validation, which would fold an additional bagging ensemble into the calibration step and confound ensembling with calibration. Both calibrators share identical training scores, so their comparison is fair; the trade-off is that absolute calibrated metrics, especially Brier scores, may be optimistic relative to a held-out calibration procedure. This trade-off is acceptable here because the question of interest is the relative behavior of the two methods, not the absolute calibration quality of either.</w:t>
      </w:r>
    </w:p>
    <w:p>
      <w:pPr>
        <w:jc w:val="both"/>
      </w:pPr>
      <w:r>
        <w:rPr>
          <w:rFonts w:ascii="Times New Roman" w:hAnsi="Times New Roman"/>
          <w:b w:val="0"/>
          <w:i w:val="0"/>
          <w:sz w:val="20"/>
        </w:rPr>
        <w:t>A reproducibility note is warranted. The original study [1] reported Brier scores around 0.032; our re-execution of the released code produces values in the 0.17–0.26 range, an approximately eightfold discrepancy that we could not resolve from the available source. Our AUC values (0.80–0.90) fall within the published range, and the within-dataset Brier differences between the two calibration methods in our runs are several orders of magnitude smaller than the gap to the published values, which suggests the discrepancy lies in the overall score scale rather than in the relative method comparison.</w:t>
      </w:r>
    </w:p>
    <w:p>
      <w:pPr>
        <w:pStyle w:val="Heading2"/>
      </w:pPr>
      <w:r>
        <w:rPr>
          <w:rFonts w:ascii="Times New Roman" w:hAnsi="Times New Roman"/>
        </w:rPr>
        <w:t>G. Cross-chemistry transfer protocol</w:t>
      </w:r>
    </w:p>
    <w:p>
      <w:pPr>
        <w:jc w:val="both"/>
      </w:pPr>
      <w:r>
        <w:rPr>
          <w:rFonts w:ascii="Times New Roman" w:hAnsi="Times New Roman"/>
          <w:b w:val="0"/>
          <w:i w:val="0"/>
          <w:sz w:val="20"/>
        </w:rPr>
        <w:t>Cross-chemistry transfer is evaluated by training on LCO cells (NASA alone, CALCE alone, or the two combined) and testing independently on each cell of the two LFP target sets. Three training configurations are explored: NASA → LFP (37 LCO cells), CALCE → LFP (7 LCO cells), and ALL-LCO → LFP (44 combined cells). For each configuration the feature set is varied with and without SOH, and prediction horizons H ∈ {10, 20, 30, 50} are evaluated where per-cycle granularity permits. Because the Oxford set is sampled at roughly 100-cycle intervals, its H = 10, 20, 30, and 50 labels all collapse to the same binary vector (76 rows, 23.8% positive rate); Oxford results are therefore reported as a single effective horizon. The Severson set provides genuine multi-horizon resolution.</w:t>
      </w:r>
    </w:p>
    <w:p>
      <w:pPr>
        <w:jc w:val="both"/>
      </w:pPr>
      <w:r>
        <w:rPr>
          <w:rFonts w:ascii="Times New Roman" w:hAnsi="Times New Roman"/>
          <w:b w:val="0"/>
          <w:i w:val="0"/>
          <w:sz w:val="20"/>
        </w:rPr>
        <w:t>Performance is reported as per-cell mean ± standard deviation rather than a single pooled score. Pooling across cells conflates within-cell ranking with between-cell differences and can mask degenerate behavior in which the model assigns nearly identical scores to every cell; the per-cell protocol makes such degeneracy visible as a standard deviation near zero. This matters for the SOH-as-lookup-table diagnosis developed in Section IV.</w:t>
      </w:r>
    </w:p>
    <w:p>
      <w:pPr>
        <w:pStyle w:val="Heading2"/>
      </w:pPr>
      <w:r>
        <w:rPr>
          <w:rFonts w:ascii="Times New Roman" w:hAnsi="Times New Roman"/>
        </w:rPr>
        <w:t>H. Evaluation and statistical testing</w:t>
      </w:r>
    </w:p>
    <w:p>
      <w:pPr>
        <w:jc w:val="both"/>
      </w:pPr>
      <w:r>
        <w:rPr>
          <w:rFonts w:ascii="Times New Roman" w:hAnsi="Times New Roman"/>
          <w:b w:val="0"/>
          <w:i w:val="0"/>
          <w:sz w:val="20"/>
        </w:rPr>
        <w:t>Within-dataset evaluation applies 5-fold GroupKFold with cells as grouping units, so every cycle from a given cell stays in the same fold. This prevents the optimistic bias that would arise from leaking cycles of a cell into both training and test sets. Models are retrained from scratch for each horizon. The DeLong nonparametric test [20] compares paired ROC curves by estimating the covariance of the two AUC estimators from the same set of test samples, which is the correct test for the SOH-ablation comparison because the with-SOH and without-SOH predictions share their test instances. Cross-chemistry AUC is reported on raw scores because, as shown in Section IV-E, isotonic calibration collapses AUC under distribution shift and would misrepresent the discriminative signal.</w:t>
      </w:r>
    </w:p>
    <w:p>
      <w:pPr>
        <w:pStyle w:val="Heading2"/>
      </w:pPr>
      <w:r>
        <w:rPr>
          <w:rFonts w:ascii="Times New Roman" w:hAnsi="Times New Roman"/>
        </w:rPr>
        <w:t>I. Embedded deployment architecture</w:t>
      </w:r>
    </w:p>
    <w:p>
      <w:pPr>
        <w:jc w:val="both"/>
      </w:pPr>
      <w:r>
        <w:rPr>
          <w:rFonts w:ascii="Times New Roman" w:hAnsi="Times New Roman"/>
          <w:b w:val="0"/>
          <w:i w:val="0"/>
          <w:sz w:val="20"/>
        </w:rPr>
        <w:t>The deployment pipeline exports the three trained tree models into a single flat binary and runs them on an ESP32-S3 through a hand-written C tree walker. The binary layout is deliberately simple: a 12-byte file header, a 3 × 4-byte offset table for the three models, and per-model sections each containing a 14-byte header followed by per-tree records of a 4-byte node count and that many 14-byte treenode_t structures. Each treenode_t stores a feature index (int16), a threshold (float32), left and right child indices (int16 each), and a leaf value (float32). The three models together comprise 900 trees and 26,306 nodes, occupying roughly 372 kB on disk and 411 kB when loaded into PSRAM. Two firmware variants are provided: an ESP-IDF production build with a UART control protocol and an Arduino build with a captive-portal web dashboard. The sensor front-end reads cell voltage through a 3:1 resistive divider on an ADC pin, current through an INA219 on the shared I²C bus, temperature through a DS18B20 on a 1-Wire pin, and time through a DS3231 real-time clock on the same I²C bus.</w:t>
      </w:r>
    </w:p>
    <w:p>
      <w:pPr>
        <w:pStyle w:val="Heading1"/>
      </w:pPr>
      <w:r>
        <w:rPr>
          <w:rFonts w:ascii="Times New Roman" w:hAnsi="Times New Roman"/>
        </w:rPr>
        <w:t>IV. Results</w:t>
      </w:r>
    </w:p>
    <w:p>
      <w:pPr>
        <w:pStyle w:val="Heading2"/>
      </w:pPr>
      <w:r>
        <w:rPr>
          <w:rFonts w:ascii="Times New Roman" w:hAnsi="Times New Roman"/>
        </w:rPr>
        <w:t>A. Within-dataset performance</w:t>
      </w:r>
    </w:p>
    <w:p>
      <w:pPr>
        <w:jc w:val="both"/>
      </w:pPr>
      <w:r>
        <w:rPr>
          <w:rFonts w:ascii="Times New Roman" w:hAnsi="Times New Roman"/>
          <w:b w:val="0"/>
          <w:i w:val="0"/>
          <w:sz w:val="20"/>
        </w:rPr>
        <w:t>Table I summarizes within-dataset performance across the four horizons for both LCO datasets under Platt calibration. Discrimination is strong throughout: 31 of 32 model–horizon–dataset combinations reach AUC ≥ 0.85, with the lone exception being Random Forest on NASA at H = 10 (AUC = 0.848). The best single result is GRU on CALCE at H = 20 (AUC = 0.993), and the best tree-based result is LightGBM on CALCE (mean AUC = 0.918). CALCE's lower Brier scores relative to NASA reflect its larger number of cycles per cell and smoother degradation trajectories, which give the calibrator more bins to work with. The tree ensembles behave consistently across horizons: AUC rises from H = 10 to H = 50 on NASA, as longer horizons give the label more chances to trigger, and falls slightly on CALCE, whose long degradation tails make the longest-horizon labels easier to anticipate from early cycles.</w:t>
      </w:r>
    </w:p>
    <w:p>
      <w:pPr>
        <w:spacing w:before="80" w:after="40"/>
        <w:jc w:val="center"/>
      </w:pPr>
      <w:r>
        <w:rPr>
          <w:rFonts w:ascii="Times New Roman" w:hAnsi="Times New Roman"/>
          <w:b/>
          <w:i w:val="0"/>
          <w:sz w:val="18"/>
        </w:rPr>
        <w:t>Table I. Within-dataset Platt-calibrated AUC and Brier scores across four horizons. GroupKFold by cell; values are fold means.</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584"/>
            <w:shd w:val="clear" w:color="auto" w:fill="E8E8E8"/>
          </w:tcPr>
          <w:p>
            <w:pPr>
              <w:jc w:val="center"/>
            </w:pPr>
            <w:r>
              <w:rPr>
                <w:rFonts w:ascii="Times New Roman" w:hAnsi="Times New Roman"/>
                <w:b/>
                <w:i w:val="0"/>
                <w:sz w:val="17"/>
              </w:rPr>
              <w:t>Model</w:t>
            </w:r>
          </w:p>
        </w:tc>
        <w:tc>
          <w:tcPr>
            <w:tcW w:type="dxa" w:w="1152"/>
            <w:shd w:val="clear" w:color="auto" w:fill="E8E8E8"/>
          </w:tcPr>
          <w:p>
            <w:pPr>
              <w:jc w:val="center"/>
            </w:pPr>
            <w:r>
              <w:rPr>
                <w:rFonts w:ascii="Times New Roman" w:hAnsi="Times New Roman"/>
                <w:b/>
                <w:i w:val="0"/>
                <w:sz w:val="17"/>
              </w:rPr>
              <w:t>Dataset</w:t>
            </w:r>
          </w:p>
        </w:tc>
        <w:tc>
          <w:tcPr>
            <w:tcW w:type="dxa" w:w="864"/>
            <w:shd w:val="clear" w:color="auto" w:fill="E8E8E8"/>
          </w:tcPr>
          <w:p>
            <w:pPr>
              <w:jc w:val="center"/>
            </w:pPr>
            <w:r>
              <w:rPr>
                <w:rFonts w:ascii="Times New Roman" w:hAnsi="Times New Roman"/>
                <w:b/>
                <w:i w:val="0"/>
                <w:sz w:val="17"/>
              </w:rPr>
              <w:t>H=10</w:t>
            </w:r>
          </w:p>
        </w:tc>
        <w:tc>
          <w:tcPr>
            <w:tcW w:type="dxa" w:w="864"/>
            <w:shd w:val="clear" w:color="auto" w:fill="E8E8E8"/>
          </w:tcPr>
          <w:p>
            <w:pPr>
              <w:jc w:val="center"/>
            </w:pPr>
            <w:r>
              <w:rPr>
                <w:rFonts w:ascii="Times New Roman" w:hAnsi="Times New Roman"/>
                <w:b/>
                <w:i w:val="0"/>
                <w:sz w:val="17"/>
              </w:rPr>
              <w:t>H=20</w:t>
            </w:r>
          </w:p>
        </w:tc>
        <w:tc>
          <w:tcPr>
            <w:tcW w:type="dxa" w:w="864"/>
            <w:shd w:val="clear" w:color="auto" w:fill="E8E8E8"/>
          </w:tcPr>
          <w:p>
            <w:pPr>
              <w:jc w:val="center"/>
            </w:pPr>
            <w:r>
              <w:rPr>
                <w:rFonts w:ascii="Times New Roman" w:hAnsi="Times New Roman"/>
                <w:b/>
                <w:i w:val="0"/>
                <w:sz w:val="17"/>
              </w:rPr>
              <w:t>H=30</w:t>
            </w:r>
          </w:p>
        </w:tc>
        <w:tc>
          <w:tcPr>
            <w:tcW w:type="dxa" w:w="864"/>
            <w:shd w:val="clear" w:color="auto" w:fill="E8E8E8"/>
          </w:tcPr>
          <w:p>
            <w:pPr>
              <w:jc w:val="center"/>
            </w:pPr>
            <w:r>
              <w:rPr>
                <w:rFonts w:ascii="Times New Roman" w:hAnsi="Times New Roman"/>
                <w:b/>
                <w:i w:val="0"/>
                <w:sz w:val="17"/>
              </w:rPr>
              <w:t>H=50</w:t>
            </w:r>
          </w:p>
        </w:tc>
        <w:tc>
          <w:tcPr>
            <w:tcW w:type="dxa" w:w="1224"/>
            <w:shd w:val="clear" w:color="auto" w:fill="E8E8E8"/>
          </w:tcPr>
          <w:p>
            <w:pPr>
              <w:jc w:val="center"/>
            </w:pPr>
            <w:r>
              <w:rPr>
                <w:rFonts w:ascii="Times New Roman" w:hAnsi="Times New Roman"/>
                <w:b/>
                <w:i w:val="0"/>
                <w:sz w:val="17"/>
              </w:rPr>
              <w:t>Mean AUC</w:t>
            </w:r>
          </w:p>
        </w:tc>
        <w:tc>
          <w:tcPr>
            <w:tcW w:type="dxa" w:w="864"/>
            <w:shd w:val="clear" w:color="auto" w:fill="E8E8E8"/>
          </w:tcPr>
          <w:p>
            <w:pPr>
              <w:jc w:val="center"/>
            </w:pPr>
            <w:r>
              <w:rPr>
                <w:rFonts w:ascii="Times New Roman" w:hAnsi="Times New Roman"/>
                <w:b/>
                <w:i w:val="0"/>
                <w:sz w:val="17"/>
              </w:rPr>
              <w:t>Brier</w:t>
            </w:r>
          </w:p>
        </w:tc>
      </w:tr>
      <w:tr>
        <w:tc>
          <w:tcPr>
            <w:tcW w:type="dxa" w:w="1584"/>
          </w:tcPr>
          <w:p>
            <w:pPr>
              <w:jc w:val="center"/>
            </w:pPr>
            <w:r>
              <w:rPr>
                <w:rFonts w:ascii="Times New Roman" w:hAnsi="Times New Roman"/>
                <w:b w:val="0"/>
                <w:i w:val="0"/>
                <w:sz w:val="17"/>
              </w:rPr>
              <w:t>XGBoost</w:t>
            </w:r>
          </w:p>
        </w:tc>
        <w:tc>
          <w:tcPr>
            <w:tcW w:type="dxa" w:w="1152"/>
          </w:tcPr>
          <w:p>
            <w:pPr>
              <w:jc w:val="center"/>
            </w:pPr>
            <w:r>
              <w:rPr>
                <w:rFonts w:ascii="Times New Roman" w:hAnsi="Times New Roman"/>
                <w:b w:val="0"/>
                <w:i w:val="0"/>
                <w:sz w:val="17"/>
              </w:rPr>
              <w:t>NASA</w:t>
            </w:r>
          </w:p>
        </w:tc>
        <w:tc>
          <w:tcPr>
            <w:tcW w:type="dxa" w:w="864"/>
          </w:tcPr>
          <w:p>
            <w:pPr>
              <w:jc w:val="center"/>
            </w:pPr>
            <w:r>
              <w:rPr>
                <w:rFonts w:ascii="Times New Roman" w:hAnsi="Times New Roman"/>
                <w:b w:val="0"/>
                <w:i w:val="0"/>
                <w:sz w:val="17"/>
              </w:rPr>
              <w:t>0.867</w:t>
            </w:r>
          </w:p>
        </w:tc>
        <w:tc>
          <w:tcPr>
            <w:tcW w:type="dxa" w:w="864"/>
          </w:tcPr>
          <w:p>
            <w:pPr>
              <w:jc w:val="center"/>
            </w:pPr>
            <w:r>
              <w:rPr>
                <w:rFonts w:ascii="Times New Roman" w:hAnsi="Times New Roman"/>
                <w:b w:val="0"/>
                <w:i w:val="0"/>
                <w:sz w:val="17"/>
              </w:rPr>
              <w:t>0.912</w:t>
            </w:r>
          </w:p>
        </w:tc>
        <w:tc>
          <w:tcPr>
            <w:tcW w:type="dxa" w:w="864"/>
          </w:tcPr>
          <w:p>
            <w:pPr>
              <w:jc w:val="center"/>
            </w:pPr>
            <w:r>
              <w:rPr>
                <w:rFonts w:ascii="Times New Roman" w:hAnsi="Times New Roman"/>
                <w:b w:val="0"/>
                <w:i w:val="0"/>
                <w:sz w:val="17"/>
              </w:rPr>
              <w:t>0.902</w:t>
            </w:r>
          </w:p>
        </w:tc>
        <w:tc>
          <w:tcPr>
            <w:tcW w:type="dxa" w:w="864"/>
          </w:tcPr>
          <w:p>
            <w:pPr>
              <w:jc w:val="center"/>
            </w:pPr>
            <w:r>
              <w:rPr>
                <w:rFonts w:ascii="Times New Roman" w:hAnsi="Times New Roman"/>
                <w:b w:val="0"/>
                <w:i w:val="0"/>
                <w:sz w:val="17"/>
              </w:rPr>
              <w:t>0.936</w:t>
            </w:r>
          </w:p>
        </w:tc>
        <w:tc>
          <w:tcPr>
            <w:tcW w:type="dxa" w:w="1224"/>
          </w:tcPr>
          <w:p>
            <w:pPr>
              <w:jc w:val="center"/>
            </w:pPr>
            <w:r>
              <w:rPr>
                <w:rFonts w:ascii="Times New Roman" w:hAnsi="Times New Roman"/>
                <w:b w:val="0"/>
                <w:i w:val="0"/>
                <w:sz w:val="17"/>
              </w:rPr>
              <w:t>0.904</w:t>
            </w:r>
          </w:p>
        </w:tc>
        <w:tc>
          <w:tcPr>
            <w:tcW w:type="dxa" w:w="864"/>
          </w:tcPr>
          <w:p>
            <w:pPr>
              <w:jc w:val="center"/>
            </w:pPr>
            <w:r>
              <w:rPr>
                <w:rFonts w:ascii="Times New Roman" w:hAnsi="Times New Roman"/>
                <w:b w:val="0"/>
                <w:i w:val="0"/>
                <w:sz w:val="17"/>
              </w:rPr>
              <w:t>0.220</w:t>
            </w:r>
          </w:p>
        </w:tc>
      </w:tr>
      <w:tr>
        <w:tc>
          <w:tcPr>
            <w:tcW w:type="dxa" w:w="1584"/>
          </w:tcPr>
          <w:p>
            <w:pPr>
              <w:jc w:val="center"/>
            </w:pPr>
            <w:r>
              <w:rPr>
                <w:rFonts w:ascii="Times New Roman" w:hAnsi="Times New Roman"/>
                <w:b w:val="0"/>
                <w:i w:val="0"/>
                <w:sz w:val="17"/>
              </w:rPr>
              <w:t>LightGBM</w:t>
            </w:r>
          </w:p>
        </w:tc>
        <w:tc>
          <w:tcPr>
            <w:tcW w:type="dxa" w:w="1152"/>
          </w:tcPr>
          <w:p>
            <w:pPr>
              <w:jc w:val="center"/>
            </w:pPr>
            <w:r>
              <w:rPr>
                <w:rFonts w:ascii="Times New Roman" w:hAnsi="Times New Roman"/>
                <w:b w:val="0"/>
                <w:i w:val="0"/>
                <w:sz w:val="17"/>
              </w:rPr>
              <w:t>NASA</w:t>
            </w:r>
          </w:p>
        </w:tc>
        <w:tc>
          <w:tcPr>
            <w:tcW w:type="dxa" w:w="864"/>
          </w:tcPr>
          <w:p>
            <w:pPr>
              <w:jc w:val="center"/>
            </w:pPr>
            <w:r>
              <w:rPr>
                <w:rFonts w:ascii="Times New Roman" w:hAnsi="Times New Roman"/>
                <w:b w:val="0"/>
                <w:i w:val="0"/>
                <w:sz w:val="17"/>
              </w:rPr>
              <w:t>0.867</w:t>
            </w:r>
          </w:p>
        </w:tc>
        <w:tc>
          <w:tcPr>
            <w:tcW w:type="dxa" w:w="864"/>
          </w:tcPr>
          <w:p>
            <w:pPr>
              <w:jc w:val="center"/>
            </w:pPr>
            <w:r>
              <w:rPr>
                <w:rFonts w:ascii="Times New Roman" w:hAnsi="Times New Roman"/>
                <w:b w:val="0"/>
                <w:i w:val="0"/>
                <w:sz w:val="17"/>
              </w:rPr>
              <w:t>0.892</w:t>
            </w:r>
          </w:p>
        </w:tc>
        <w:tc>
          <w:tcPr>
            <w:tcW w:type="dxa" w:w="864"/>
          </w:tcPr>
          <w:p>
            <w:pPr>
              <w:jc w:val="center"/>
            </w:pPr>
            <w:r>
              <w:rPr>
                <w:rFonts w:ascii="Times New Roman" w:hAnsi="Times New Roman"/>
                <w:b w:val="0"/>
                <w:i w:val="0"/>
                <w:sz w:val="17"/>
              </w:rPr>
              <w:t>0.891</w:t>
            </w:r>
          </w:p>
        </w:tc>
        <w:tc>
          <w:tcPr>
            <w:tcW w:type="dxa" w:w="864"/>
          </w:tcPr>
          <w:p>
            <w:pPr>
              <w:jc w:val="center"/>
            </w:pPr>
            <w:r>
              <w:rPr>
                <w:rFonts w:ascii="Times New Roman" w:hAnsi="Times New Roman"/>
                <w:b w:val="0"/>
                <w:i w:val="0"/>
                <w:sz w:val="17"/>
              </w:rPr>
              <w:t>0.905</w:t>
            </w:r>
          </w:p>
        </w:tc>
        <w:tc>
          <w:tcPr>
            <w:tcW w:type="dxa" w:w="1224"/>
          </w:tcPr>
          <w:p>
            <w:pPr>
              <w:jc w:val="center"/>
            </w:pPr>
            <w:r>
              <w:rPr>
                <w:rFonts w:ascii="Times New Roman" w:hAnsi="Times New Roman"/>
                <w:b w:val="0"/>
                <w:i w:val="0"/>
                <w:sz w:val="17"/>
              </w:rPr>
              <w:t>0.889</w:t>
            </w:r>
          </w:p>
        </w:tc>
        <w:tc>
          <w:tcPr>
            <w:tcW w:type="dxa" w:w="864"/>
          </w:tcPr>
          <w:p>
            <w:pPr>
              <w:jc w:val="center"/>
            </w:pPr>
            <w:r>
              <w:rPr>
                <w:rFonts w:ascii="Times New Roman" w:hAnsi="Times New Roman"/>
                <w:b w:val="0"/>
                <w:i w:val="0"/>
                <w:sz w:val="17"/>
              </w:rPr>
              <w:t>0.220</w:t>
            </w:r>
          </w:p>
        </w:tc>
      </w:tr>
      <w:tr>
        <w:tc>
          <w:tcPr>
            <w:tcW w:type="dxa" w:w="1584"/>
          </w:tcPr>
          <w:p>
            <w:pPr>
              <w:jc w:val="center"/>
            </w:pPr>
            <w:r>
              <w:rPr>
                <w:rFonts w:ascii="Times New Roman" w:hAnsi="Times New Roman"/>
                <w:b w:val="0"/>
                <w:i w:val="0"/>
                <w:sz w:val="17"/>
              </w:rPr>
              <w:t>Random Forest</w:t>
            </w:r>
          </w:p>
        </w:tc>
        <w:tc>
          <w:tcPr>
            <w:tcW w:type="dxa" w:w="1152"/>
          </w:tcPr>
          <w:p>
            <w:pPr>
              <w:jc w:val="center"/>
            </w:pPr>
            <w:r>
              <w:rPr>
                <w:rFonts w:ascii="Times New Roman" w:hAnsi="Times New Roman"/>
                <w:b w:val="0"/>
                <w:i w:val="0"/>
                <w:sz w:val="17"/>
              </w:rPr>
              <w:t>NASA</w:t>
            </w:r>
          </w:p>
        </w:tc>
        <w:tc>
          <w:tcPr>
            <w:tcW w:type="dxa" w:w="864"/>
          </w:tcPr>
          <w:p>
            <w:pPr>
              <w:jc w:val="center"/>
            </w:pPr>
            <w:r>
              <w:rPr>
                <w:rFonts w:ascii="Times New Roman" w:hAnsi="Times New Roman"/>
                <w:b w:val="0"/>
                <w:i w:val="0"/>
                <w:sz w:val="17"/>
              </w:rPr>
              <w:t>0.848</w:t>
            </w:r>
          </w:p>
        </w:tc>
        <w:tc>
          <w:tcPr>
            <w:tcW w:type="dxa" w:w="864"/>
          </w:tcPr>
          <w:p>
            <w:pPr>
              <w:jc w:val="center"/>
            </w:pPr>
            <w:r>
              <w:rPr>
                <w:rFonts w:ascii="Times New Roman" w:hAnsi="Times New Roman"/>
                <w:b w:val="0"/>
                <w:i w:val="0"/>
                <w:sz w:val="17"/>
              </w:rPr>
              <w:t>0.879</w:t>
            </w:r>
          </w:p>
        </w:tc>
        <w:tc>
          <w:tcPr>
            <w:tcW w:type="dxa" w:w="864"/>
          </w:tcPr>
          <w:p>
            <w:pPr>
              <w:jc w:val="center"/>
            </w:pPr>
            <w:r>
              <w:rPr>
                <w:rFonts w:ascii="Times New Roman" w:hAnsi="Times New Roman"/>
                <w:b w:val="0"/>
                <w:i w:val="0"/>
                <w:sz w:val="17"/>
              </w:rPr>
              <w:t>0.877</w:t>
            </w:r>
          </w:p>
        </w:tc>
        <w:tc>
          <w:tcPr>
            <w:tcW w:type="dxa" w:w="864"/>
          </w:tcPr>
          <w:p>
            <w:pPr>
              <w:jc w:val="center"/>
            </w:pPr>
            <w:r>
              <w:rPr>
                <w:rFonts w:ascii="Times New Roman" w:hAnsi="Times New Roman"/>
                <w:b w:val="0"/>
                <w:i w:val="0"/>
                <w:sz w:val="17"/>
              </w:rPr>
              <w:t>0.908</w:t>
            </w:r>
          </w:p>
        </w:tc>
        <w:tc>
          <w:tcPr>
            <w:tcW w:type="dxa" w:w="1224"/>
          </w:tcPr>
          <w:p>
            <w:pPr>
              <w:jc w:val="center"/>
            </w:pPr>
            <w:r>
              <w:rPr>
                <w:rFonts w:ascii="Times New Roman" w:hAnsi="Times New Roman"/>
                <w:b w:val="0"/>
                <w:i w:val="0"/>
                <w:sz w:val="17"/>
              </w:rPr>
              <w:t>0.878</w:t>
            </w:r>
          </w:p>
        </w:tc>
        <w:tc>
          <w:tcPr>
            <w:tcW w:type="dxa" w:w="864"/>
          </w:tcPr>
          <w:p>
            <w:pPr>
              <w:jc w:val="center"/>
            </w:pPr>
            <w:r>
              <w:rPr>
                <w:rFonts w:ascii="Times New Roman" w:hAnsi="Times New Roman"/>
                <w:b w:val="0"/>
                <w:i w:val="0"/>
                <w:sz w:val="17"/>
              </w:rPr>
              <w:t>0.220</w:t>
            </w:r>
          </w:p>
        </w:tc>
      </w:tr>
      <w:tr>
        <w:tc>
          <w:tcPr>
            <w:tcW w:type="dxa" w:w="1584"/>
          </w:tcPr>
          <w:p>
            <w:pPr>
              <w:jc w:val="center"/>
            </w:pPr>
            <w:r>
              <w:rPr>
                <w:rFonts w:ascii="Times New Roman" w:hAnsi="Times New Roman"/>
                <w:b w:val="0"/>
                <w:i w:val="0"/>
                <w:sz w:val="17"/>
              </w:rPr>
              <w:t>GRU</w:t>
            </w:r>
          </w:p>
        </w:tc>
        <w:tc>
          <w:tcPr>
            <w:tcW w:type="dxa" w:w="1152"/>
          </w:tcPr>
          <w:p>
            <w:pPr>
              <w:jc w:val="center"/>
            </w:pPr>
            <w:r>
              <w:rPr>
                <w:rFonts w:ascii="Times New Roman" w:hAnsi="Times New Roman"/>
                <w:b w:val="0"/>
                <w:i w:val="0"/>
                <w:sz w:val="17"/>
              </w:rPr>
              <w:t>NASA</w:t>
            </w:r>
          </w:p>
        </w:tc>
        <w:tc>
          <w:tcPr>
            <w:tcW w:type="dxa" w:w="864"/>
          </w:tcPr>
          <w:p>
            <w:pPr>
              <w:jc w:val="center"/>
            </w:pPr>
            <w:r>
              <w:rPr>
                <w:rFonts w:ascii="Times New Roman" w:hAnsi="Times New Roman"/>
                <w:b w:val="0"/>
                <w:i w:val="0"/>
                <w:sz w:val="17"/>
              </w:rPr>
              <w:t>0.860</w:t>
            </w:r>
          </w:p>
        </w:tc>
        <w:tc>
          <w:tcPr>
            <w:tcW w:type="dxa" w:w="864"/>
          </w:tcPr>
          <w:p>
            <w:pPr>
              <w:jc w:val="center"/>
            </w:pPr>
            <w:r>
              <w:rPr>
                <w:rFonts w:ascii="Times New Roman" w:hAnsi="Times New Roman"/>
                <w:b w:val="0"/>
                <w:i w:val="0"/>
                <w:sz w:val="17"/>
              </w:rPr>
              <w:t>0.882</w:t>
            </w:r>
          </w:p>
        </w:tc>
        <w:tc>
          <w:tcPr>
            <w:tcW w:type="dxa" w:w="864"/>
          </w:tcPr>
          <w:p>
            <w:pPr>
              <w:jc w:val="center"/>
            </w:pPr>
            <w:r>
              <w:rPr>
                <w:rFonts w:ascii="Times New Roman" w:hAnsi="Times New Roman"/>
                <w:b w:val="0"/>
                <w:i w:val="0"/>
                <w:sz w:val="17"/>
              </w:rPr>
              <w:t>0.901</w:t>
            </w:r>
          </w:p>
        </w:tc>
        <w:tc>
          <w:tcPr>
            <w:tcW w:type="dxa" w:w="864"/>
          </w:tcPr>
          <w:p>
            <w:pPr>
              <w:jc w:val="center"/>
            </w:pPr>
            <w:r>
              <w:rPr>
                <w:rFonts w:ascii="Times New Roman" w:hAnsi="Times New Roman"/>
                <w:b w:val="0"/>
                <w:i w:val="0"/>
                <w:sz w:val="17"/>
              </w:rPr>
              <w:t>0.900</w:t>
            </w:r>
          </w:p>
        </w:tc>
        <w:tc>
          <w:tcPr>
            <w:tcW w:type="dxa" w:w="1224"/>
          </w:tcPr>
          <w:p>
            <w:pPr>
              <w:jc w:val="center"/>
            </w:pPr>
            <w:r>
              <w:rPr>
                <w:rFonts w:ascii="Times New Roman" w:hAnsi="Times New Roman"/>
                <w:b w:val="0"/>
                <w:i w:val="0"/>
                <w:sz w:val="17"/>
              </w:rPr>
              <w:t>0.886</w:t>
            </w:r>
          </w:p>
        </w:tc>
        <w:tc>
          <w:tcPr>
            <w:tcW w:type="dxa" w:w="864"/>
          </w:tcPr>
          <w:p>
            <w:pPr>
              <w:jc w:val="center"/>
            </w:pPr>
            <w:r>
              <w:rPr>
                <w:rFonts w:ascii="Times New Roman" w:hAnsi="Times New Roman"/>
                <w:b w:val="0"/>
                <w:i w:val="0"/>
                <w:sz w:val="17"/>
              </w:rPr>
              <w:t>0.230</w:t>
            </w:r>
          </w:p>
        </w:tc>
      </w:tr>
      <w:tr>
        <w:tc>
          <w:tcPr>
            <w:tcW w:type="dxa" w:w="1584"/>
          </w:tcPr>
          <w:p>
            <w:pPr>
              <w:jc w:val="center"/>
            </w:pPr>
            <w:r>
              <w:rPr>
                <w:rFonts w:ascii="Times New Roman" w:hAnsi="Times New Roman"/>
                <w:b w:val="0"/>
                <w:i w:val="0"/>
                <w:sz w:val="17"/>
              </w:rPr>
              <w:t>XGBoost</w:t>
            </w:r>
          </w:p>
        </w:tc>
        <w:tc>
          <w:tcPr>
            <w:tcW w:type="dxa" w:w="1152"/>
          </w:tcPr>
          <w:p>
            <w:pPr>
              <w:jc w:val="center"/>
            </w:pPr>
            <w:r>
              <w:rPr>
                <w:rFonts w:ascii="Times New Roman" w:hAnsi="Times New Roman"/>
                <w:b w:val="0"/>
                <w:i w:val="0"/>
                <w:sz w:val="17"/>
              </w:rPr>
              <w:t>CALCE</w:t>
            </w:r>
          </w:p>
        </w:tc>
        <w:tc>
          <w:tcPr>
            <w:tcW w:type="dxa" w:w="864"/>
          </w:tcPr>
          <w:p>
            <w:pPr>
              <w:jc w:val="center"/>
            </w:pPr>
            <w:r>
              <w:rPr>
                <w:rFonts w:ascii="Times New Roman" w:hAnsi="Times New Roman"/>
                <w:b w:val="0"/>
                <w:i w:val="0"/>
                <w:sz w:val="17"/>
              </w:rPr>
              <w:t>0.921</w:t>
            </w:r>
          </w:p>
        </w:tc>
        <w:tc>
          <w:tcPr>
            <w:tcW w:type="dxa" w:w="864"/>
          </w:tcPr>
          <w:p>
            <w:pPr>
              <w:jc w:val="center"/>
            </w:pPr>
            <w:r>
              <w:rPr>
                <w:rFonts w:ascii="Times New Roman" w:hAnsi="Times New Roman"/>
                <w:b w:val="0"/>
                <w:i w:val="0"/>
                <w:sz w:val="17"/>
              </w:rPr>
              <w:t>0.910</w:t>
            </w:r>
          </w:p>
        </w:tc>
        <w:tc>
          <w:tcPr>
            <w:tcW w:type="dxa" w:w="864"/>
          </w:tcPr>
          <w:p>
            <w:pPr>
              <w:jc w:val="center"/>
            </w:pPr>
            <w:r>
              <w:rPr>
                <w:rFonts w:ascii="Times New Roman" w:hAnsi="Times New Roman"/>
                <w:b w:val="0"/>
                <w:i w:val="0"/>
                <w:sz w:val="17"/>
              </w:rPr>
              <w:t>0.911</w:t>
            </w:r>
          </w:p>
        </w:tc>
        <w:tc>
          <w:tcPr>
            <w:tcW w:type="dxa" w:w="864"/>
          </w:tcPr>
          <w:p>
            <w:pPr>
              <w:jc w:val="center"/>
            </w:pPr>
            <w:r>
              <w:rPr>
                <w:rFonts w:ascii="Times New Roman" w:hAnsi="Times New Roman"/>
                <w:b w:val="0"/>
                <w:i w:val="0"/>
                <w:sz w:val="17"/>
              </w:rPr>
              <w:t>0.904</w:t>
            </w:r>
          </w:p>
        </w:tc>
        <w:tc>
          <w:tcPr>
            <w:tcW w:type="dxa" w:w="1224"/>
          </w:tcPr>
          <w:p>
            <w:pPr>
              <w:jc w:val="center"/>
            </w:pPr>
            <w:r>
              <w:rPr>
                <w:rFonts w:ascii="Times New Roman" w:hAnsi="Times New Roman"/>
                <w:b w:val="0"/>
                <w:i w:val="0"/>
                <w:sz w:val="17"/>
              </w:rPr>
              <w:t>0.911</w:t>
            </w:r>
          </w:p>
        </w:tc>
        <w:tc>
          <w:tcPr>
            <w:tcW w:type="dxa" w:w="864"/>
          </w:tcPr>
          <w:p>
            <w:pPr>
              <w:jc w:val="center"/>
            </w:pPr>
            <w:r>
              <w:rPr>
                <w:rFonts w:ascii="Times New Roman" w:hAnsi="Times New Roman"/>
                <w:b w:val="0"/>
                <w:i w:val="0"/>
                <w:sz w:val="17"/>
              </w:rPr>
              <w:t>0.098</w:t>
            </w:r>
          </w:p>
        </w:tc>
      </w:tr>
      <w:tr>
        <w:tc>
          <w:tcPr>
            <w:tcW w:type="dxa" w:w="1584"/>
          </w:tcPr>
          <w:p>
            <w:pPr>
              <w:jc w:val="center"/>
            </w:pPr>
            <w:r>
              <w:rPr>
                <w:rFonts w:ascii="Times New Roman" w:hAnsi="Times New Roman"/>
                <w:b w:val="0"/>
                <w:i w:val="0"/>
                <w:sz w:val="17"/>
              </w:rPr>
              <w:t>LightGBM</w:t>
            </w:r>
          </w:p>
        </w:tc>
        <w:tc>
          <w:tcPr>
            <w:tcW w:type="dxa" w:w="1152"/>
          </w:tcPr>
          <w:p>
            <w:pPr>
              <w:jc w:val="center"/>
            </w:pPr>
            <w:r>
              <w:rPr>
                <w:rFonts w:ascii="Times New Roman" w:hAnsi="Times New Roman"/>
                <w:b w:val="0"/>
                <w:i w:val="0"/>
                <w:sz w:val="17"/>
              </w:rPr>
              <w:t>CALCE</w:t>
            </w:r>
          </w:p>
        </w:tc>
        <w:tc>
          <w:tcPr>
            <w:tcW w:type="dxa" w:w="864"/>
          </w:tcPr>
          <w:p>
            <w:pPr>
              <w:jc w:val="center"/>
            </w:pPr>
            <w:r>
              <w:rPr>
                <w:rFonts w:ascii="Times New Roman" w:hAnsi="Times New Roman"/>
                <w:b w:val="0"/>
                <w:i w:val="0"/>
                <w:sz w:val="17"/>
              </w:rPr>
              <w:t>0.918</w:t>
            </w:r>
          </w:p>
        </w:tc>
        <w:tc>
          <w:tcPr>
            <w:tcW w:type="dxa" w:w="864"/>
          </w:tcPr>
          <w:p>
            <w:pPr>
              <w:jc w:val="center"/>
            </w:pPr>
            <w:r>
              <w:rPr>
                <w:rFonts w:ascii="Times New Roman" w:hAnsi="Times New Roman"/>
                <w:b w:val="0"/>
                <w:i w:val="0"/>
                <w:sz w:val="17"/>
              </w:rPr>
              <w:t>0.920</w:t>
            </w:r>
          </w:p>
        </w:tc>
        <w:tc>
          <w:tcPr>
            <w:tcW w:type="dxa" w:w="864"/>
          </w:tcPr>
          <w:p>
            <w:pPr>
              <w:jc w:val="center"/>
            </w:pPr>
            <w:r>
              <w:rPr>
                <w:rFonts w:ascii="Times New Roman" w:hAnsi="Times New Roman"/>
                <w:b w:val="0"/>
                <w:i w:val="0"/>
                <w:sz w:val="17"/>
              </w:rPr>
              <w:t>0.918</w:t>
            </w:r>
          </w:p>
        </w:tc>
        <w:tc>
          <w:tcPr>
            <w:tcW w:type="dxa" w:w="864"/>
          </w:tcPr>
          <w:p>
            <w:pPr>
              <w:jc w:val="center"/>
            </w:pPr>
            <w:r>
              <w:rPr>
                <w:rFonts w:ascii="Times New Roman" w:hAnsi="Times New Roman"/>
                <w:b w:val="0"/>
                <w:i w:val="0"/>
                <w:sz w:val="17"/>
              </w:rPr>
              <w:t>0.916</w:t>
            </w:r>
          </w:p>
        </w:tc>
        <w:tc>
          <w:tcPr>
            <w:tcW w:type="dxa" w:w="1224"/>
          </w:tcPr>
          <w:p>
            <w:pPr>
              <w:jc w:val="center"/>
            </w:pPr>
            <w:r>
              <w:rPr>
                <w:rFonts w:ascii="Times New Roman" w:hAnsi="Times New Roman"/>
                <w:b w:val="0"/>
                <w:i w:val="0"/>
                <w:sz w:val="17"/>
              </w:rPr>
              <w:t>0.918</w:t>
            </w:r>
          </w:p>
        </w:tc>
        <w:tc>
          <w:tcPr>
            <w:tcW w:type="dxa" w:w="864"/>
          </w:tcPr>
          <w:p>
            <w:pPr>
              <w:jc w:val="center"/>
            </w:pPr>
            <w:r>
              <w:rPr>
                <w:rFonts w:ascii="Times New Roman" w:hAnsi="Times New Roman"/>
                <w:b w:val="0"/>
                <w:i w:val="0"/>
                <w:sz w:val="17"/>
              </w:rPr>
              <w:t>0.098</w:t>
            </w:r>
          </w:p>
        </w:tc>
      </w:tr>
      <w:tr>
        <w:tc>
          <w:tcPr>
            <w:tcW w:type="dxa" w:w="1584"/>
          </w:tcPr>
          <w:p>
            <w:pPr>
              <w:jc w:val="center"/>
            </w:pPr>
            <w:r>
              <w:rPr>
                <w:rFonts w:ascii="Times New Roman" w:hAnsi="Times New Roman"/>
                <w:b w:val="0"/>
                <w:i w:val="0"/>
                <w:sz w:val="17"/>
              </w:rPr>
              <w:t>Random Forest</w:t>
            </w:r>
          </w:p>
        </w:tc>
        <w:tc>
          <w:tcPr>
            <w:tcW w:type="dxa" w:w="1152"/>
          </w:tcPr>
          <w:p>
            <w:pPr>
              <w:jc w:val="center"/>
            </w:pPr>
            <w:r>
              <w:rPr>
                <w:rFonts w:ascii="Times New Roman" w:hAnsi="Times New Roman"/>
                <w:b w:val="0"/>
                <w:i w:val="0"/>
                <w:sz w:val="17"/>
              </w:rPr>
              <w:t>CALCE</w:t>
            </w:r>
          </w:p>
        </w:tc>
        <w:tc>
          <w:tcPr>
            <w:tcW w:type="dxa" w:w="864"/>
          </w:tcPr>
          <w:p>
            <w:pPr>
              <w:jc w:val="center"/>
            </w:pPr>
            <w:r>
              <w:rPr>
                <w:rFonts w:ascii="Times New Roman" w:hAnsi="Times New Roman"/>
                <w:b w:val="0"/>
                <w:i w:val="0"/>
                <w:sz w:val="17"/>
              </w:rPr>
              <w:t>0.882</w:t>
            </w:r>
          </w:p>
        </w:tc>
        <w:tc>
          <w:tcPr>
            <w:tcW w:type="dxa" w:w="864"/>
          </w:tcPr>
          <w:p>
            <w:pPr>
              <w:jc w:val="center"/>
            </w:pPr>
            <w:r>
              <w:rPr>
                <w:rFonts w:ascii="Times New Roman" w:hAnsi="Times New Roman"/>
                <w:b w:val="0"/>
                <w:i w:val="0"/>
                <w:sz w:val="17"/>
              </w:rPr>
              <w:t>0.881</w:t>
            </w:r>
          </w:p>
        </w:tc>
        <w:tc>
          <w:tcPr>
            <w:tcW w:type="dxa" w:w="864"/>
          </w:tcPr>
          <w:p>
            <w:pPr>
              <w:jc w:val="center"/>
            </w:pPr>
            <w:r>
              <w:rPr>
                <w:rFonts w:ascii="Times New Roman" w:hAnsi="Times New Roman"/>
                <w:b w:val="0"/>
                <w:i w:val="0"/>
                <w:sz w:val="17"/>
              </w:rPr>
              <w:t>0.884</w:t>
            </w:r>
          </w:p>
        </w:tc>
        <w:tc>
          <w:tcPr>
            <w:tcW w:type="dxa" w:w="864"/>
          </w:tcPr>
          <w:p>
            <w:pPr>
              <w:jc w:val="center"/>
            </w:pPr>
            <w:r>
              <w:rPr>
                <w:rFonts w:ascii="Times New Roman" w:hAnsi="Times New Roman"/>
                <w:b w:val="0"/>
                <w:i w:val="0"/>
                <w:sz w:val="17"/>
              </w:rPr>
              <w:t>0.879</w:t>
            </w:r>
          </w:p>
        </w:tc>
        <w:tc>
          <w:tcPr>
            <w:tcW w:type="dxa" w:w="1224"/>
          </w:tcPr>
          <w:p>
            <w:pPr>
              <w:jc w:val="center"/>
            </w:pPr>
            <w:r>
              <w:rPr>
                <w:rFonts w:ascii="Times New Roman" w:hAnsi="Times New Roman"/>
                <w:b w:val="0"/>
                <w:i w:val="0"/>
                <w:sz w:val="17"/>
              </w:rPr>
              <w:t>0.882</w:t>
            </w:r>
          </w:p>
        </w:tc>
        <w:tc>
          <w:tcPr>
            <w:tcW w:type="dxa" w:w="864"/>
          </w:tcPr>
          <w:p>
            <w:pPr>
              <w:jc w:val="center"/>
            </w:pPr>
            <w:r>
              <w:rPr>
                <w:rFonts w:ascii="Times New Roman" w:hAnsi="Times New Roman"/>
                <w:b w:val="0"/>
                <w:i w:val="0"/>
                <w:sz w:val="17"/>
              </w:rPr>
              <w:t>0.098</w:t>
            </w:r>
          </w:p>
        </w:tc>
      </w:tr>
      <w:tr>
        <w:tc>
          <w:tcPr>
            <w:tcW w:type="dxa" w:w="1584"/>
          </w:tcPr>
          <w:p>
            <w:pPr>
              <w:jc w:val="center"/>
            </w:pPr>
            <w:r>
              <w:rPr>
                <w:rFonts w:ascii="Times New Roman" w:hAnsi="Times New Roman"/>
                <w:b w:val="0"/>
                <w:i w:val="0"/>
                <w:sz w:val="17"/>
              </w:rPr>
              <w:t>GRU</w:t>
            </w:r>
          </w:p>
        </w:tc>
        <w:tc>
          <w:tcPr>
            <w:tcW w:type="dxa" w:w="1152"/>
          </w:tcPr>
          <w:p>
            <w:pPr>
              <w:jc w:val="center"/>
            </w:pPr>
            <w:r>
              <w:rPr>
                <w:rFonts w:ascii="Times New Roman" w:hAnsi="Times New Roman"/>
                <w:b w:val="0"/>
                <w:i w:val="0"/>
                <w:sz w:val="17"/>
              </w:rPr>
              <w:t>CALCE</w:t>
            </w:r>
          </w:p>
        </w:tc>
        <w:tc>
          <w:tcPr>
            <w:tcW w:type="dxa" w:w="864"/>
          </w:tcPr>
          <w:p>
            <w:pPr>
              <w:jc w:val="center"/>
            </w:pPr>
            <w:r>
              <w:rPr>
                <w:rFonts w:ascii="Times New Roman" w:hAnsi="Times New Roman"/>
                <w:b w:val="0"/>
                <w:i w:val="0"/>
                <w:sz w:val="17"/>
              </w:rPr>
              <w:t>0.993</w:t>
            </w:r>
          </w:p>
        </w:tc>
        <w:tc>
          <w:tcPr>
            <w:tcW w:type="dxa" w:w="864"/>
          </w:tcPr>
          <w:p>
            <w:pPr>
              <w:jc w:val="center"/>
            </w:pPr>
            <w:r>
              <w:rPr>
                <w:rFonts w:ascii="Times New Roman" w:hAnsi="Times New Roman"/>
                <w:b w:val="0"/>
                <w:i w:val="0"/>
                <w:sz w:val="17"/>
              </w:rPr>
              <w:t>0.993</w:t>
            </w:r>
          </w:p>
        </w:tc>
        <w:tc>
          <w:tcPr>
            <w:tcW w:type="dxa" w:w="864"/>
          </w:tcPr>
          <w:p>
            <w:pPr>
              <w:jc w:val="center"/>
            </w:pPr>
            <w:r>
              <w:rPr>
                <w:rFonts w:ascii="Times New Roman" w:hAnsi="Times New Roman"/>
                <w:b w:val="0"/>
                <w:i w:val="0"/>
                <w:sz w:val="17"/>
              </w:rPr>
              <w:t>0.941</w:t>
            </w:r>
          </w:p>
        </w:tc>
        <w:tc>
          <w:tcPr>
            <w:tcW w:type="dxa" w:w="864"/>
          </w:tcPr>
          <w:p>
            <w:pPr>
              <w:jc w:val="center"/>
            </w:pPr>
            <w:r>
              <w:rPr>
                <w:rFonts w:ascii="Times New Roman" w:hAnsi="Times New Roman"/>
                <w:b w:val="0"/>
                <w:i w:val="0"/>
                <w:sz w:val="17"/>
              </w:rPr>
              <w:t>0.871</w:t>
            </w:r>
          </w:p>
        </w:tc>
        <w:tc>
          <w:tcPr>
            <w:tcW w:type="dxa" w:w="1224"/>
          </w:tcPr>
          <w:p>
            <w:pPr>
              <w:jc w:val="center"/>
            </w:pPr>
            <w:r>
              <w:rPr>
                <w:rFonts w:ascii="Times New Roman" w:hAnsi="Times New Roman"/>
                <w:b w:val="0"/>
                <w:i w:val="0"/>
                <w:sz w:val="17"/>
              </w:rPr>
              <w:t>0.949</w:t>
            </w:r>
          </w:p>
        </w:tc>
        <w:tc>
          <w:tcPr>
            <w:tcW w:type="dxa" w:w="864"/>
          </w:tcPr>
          <w:p>
            <w:pPr>
              <w:jc w:val="center"/>
            </w:pPr>
            <w:r>
              <w:rPr>
                <w:rFonts w:ascii="Times New Roman" w:hAnsi="Times New Roman"/>
                <w:b w:val="0"/>
                <w:i w:val="0"/>
                <w:sz w:val="17"/>
              </w:rPr>
              <w:t>0.045</w:t>
            </w:r>
          </w:p>
        </w:tc>
      </w:tr>
    </w:tbl>
    <w:p>
      <w:pPr>
        <w:spacing w:after="40"/>
      </w:pPr>
    </w:p>
    <w:p>
      <w:pPr>
        <w:pStyle w:val="Heading2"/>
      </w:pPr>
      <w:r>
        <w:rPr>
          <w:rFonts w:ascii="Times New Roman" w:hAnsi="Times New Roman"/>
        </w:rPr>
        <w:t>B. Platt versus isotonic calibration</w:t>
      </w:r>
    </w:p>
    <w:p>
      <w:pPr>
        <w:jc w:val="both"/>
      </w:pPr>
      <w:r>
        <w:rPr>
          <w:rFonts w:ascii="Times New Roman" w:hAnsi="Times New Roman"/>
          <w:b w:val="0"/>
          <w:i w:val="0"/>
          <w:sz w:val="20"/>
        </w:rPr>
        <w:t>Table II compares the two calibration methods averaged over models and horizons. The Brier scores are practically indistinguishable (NASA: 0.222 isotonic versus 0.220 Platt; CALCE: 0.098 for both). The AUC picture is sharply different. On NASA, Platt improves mean AUC from 0.840 to 0.890; on CALCE the gap widens to 0.694 versus 0.904, a 21-point swing. The mechanism is straightforward: isotonic regression fits a monotone step function to the training score distribution, and on long-tailed degradation data many distinct raw scores land in the same bin and receive identical calibrated probabilities. These ties penalize AUC because pairs with different true labels but equal predicted scores each contribute 0.5 to the pairwise ranking. Platt's sigmoid preserves more of the original ranking because it maps scores smoothly. The Brier parity is consistent with this: both methods produce similarly calibrated probabilities on average, but isotonic pays for that with ranking quality.</w:t>
      </w:r>
    </w:p>
    <w:p>
      <w:pPr>
        <w:spacing w:before="80" w:after="40"/>
        <w:jc w:val="center"/>
      </w:pPr>
      <w:r>
        <w:rPr>
          <w:rFonts w:ascii="Times New Roman" w:hAnsi="Times New Roman"/>
          <w:b/>
          <w:i w:val="0"/>
          <w:sz w:val="18"/>
        </w:rPr>
        <w:t>Table II. Calibration method comparison averaged over models and horizons. Both methods operate on identical training-fold scores.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val="clear" w:color="auto" w:fill="E8E8E8"/>
          </w:tcPr>
          <w:p>
            <w:pPr>
              <w:jc w:val="center"/>
            </w:pPr>
            <w:r>
              <w:rPr>
                <w:rFonts w:ascii="Times New Roman" w:hAnsi="Times New Roman"/>
                <w:b/>
                <w:i w:val="0"/>
                <w:sz w:val="17"/>
              </w:rPr>
              <w:t>Dataset</w:t>
            </w:r>
          </w:p>
        </w:tc>
        <w:tc>
          <w:tcPr>
            <w:tcW w:type="dxa" w:w="2016"/>
            <w:shd w:val="clear" w:color="auto" w:fill="E8E8E8"/>
          </w:tcPr>
          <w:p>
            <w:pPr>
              <w:jc w:val="center"/>
            </w:pPr>
            <w:r>
              <w:rPr>
                <w:rFonts w:ascii="Times New Roman" w:hAnsi="Times New Roman"/>
                <w:b/>
                <w:i w:val="0"/>
                <w:sz w:val="17"/>
              </w:rPr>
              <w:t>Isotonic AUC</w:t>
            </w:r>
          </w:p>
        </w:tc>
        <w:tc>
          <w:tcPr>
            <w:tcW w:type="dxa" w:w="2016"/>
            <w:shd w:val="clear" w:color="auto" w:fill="E8E8E8"/>
          </w:tcPr>
          <w:p>
            <w:pPr>
              <w:jc w:val="center"/>
            </w:pPr>
            <w:r>
              <w:rPr>
                <w:rFonts w:ascii="Times New Roman" w:hAnsi="Times New Roman"/>
                <w:b/>
                <w:i w:val="0"/>
                <w:sz w:val="17"/>
              </w:rPr>
              <w:t>Platt AUC</w:t>
            </w:r>
          </w:p>
        </w:tc>
        <w:tc>
          <w:tcPr>
            <w:tcW w:type="dxa" w:w="2016"/>
            <w:shd w:val="clear" w:color="auto" w:fill="E8E8E8"/>
          </w:tcPr>
          <w:p>
            <w:pPr>
              <w:jc w:val="center"/>
            </w:pPr>
            <w:r>
              <w:rPr>
                <w:rFonts w:ascii="Times New Roman" w:hAnsi="Times New Roman"/>
                <w:b/>
                <w:i w:val="0"/>
                <w:sz w:val="17"/>
              </w:rPr>
              <w:t>Isotonic Brier</w:t>
            </w:r>
          </w:p>
        </w:tc>
        <w:tc>
          <w:tcPr>
            <w:tcW w:type="dxa" w:w="2016"/>
            <w:shd w:val="clear" w:color="auto" w:fill="E8E8E8"/>
          </w:tcPr>
          <w:p>
            <w:pPr>
              <w:jc w:val="center"/>
            </w:pPr>
            <w:r>
              <w:rPr>
                <w:rFonts w:ascii="Times New Roman" w:hAnsi="Times New Roman"/>
                <w:b/>
                <w:i w:val="0"/>
                <w:sz w:val="17"/>
              </w:rPr>
              <w:t>Platt Brier</w:t>
            </w:r>
          </w:p>
        </w:tc>
      </w:tr>
      <w:tr>
        <w:tc>
          <w:tcPr>
            <w:tcW w:type="dxa" w:w="2016"/>
          </w:tcPr>
          <w:p>
            <w:pPr>
              <w:jc w:val="center"/>
            </w:pPr>
            <w:r>
              <w:rPr>
                <w:rFonts w:ascii="Times New Roman" w:hAnsi="Times New Roman"/>
                <w:b w:val="0"/>
                <w:i w:val="0"/>
                <w:sz w:val="17"/>
              </w:rPr>
              <w:t>NASA</w:t>
            </w:r>
          </w:p>
        </w:tc>
        <w:tc>
          <w:tcPr>
            <w:tcW w:type="dxa" w:w="2016"/>
          </w:tcPr>
          <w:p>
            <w:pPr>
              <w:jc w:val="center"/>
            </w:pPr>
            <w:r>
              <w:rPr>
                <w:rFonts w:ascii="Times New Roman" w:hAnsi="Times New Roman"/>
                <w:b w:val="0"/>
                <w:i w:val="0"/>
                <w:sz w:val="17"/>
              </w:rPr>
              <w:t>0.840</w:t>
            </w:r>
          </w:p>
        </w:tc>
        <w:tc>
          <w:tcPr>
            <w:tcW w:type="dxa" w:w="2016"/>
          </w:tcPr>
          <w:p>
            <w:pPr>
              <w:jc w:val="center"/>
            </w:pPr>
            <w:r>
              <w:rPr>
                <w:rFonts w:ascii="Times New Roman" w:hAnsi="Times New Roman"/>
                <w:b w:val="0"/>
                <w:i w:val="0"/>
                <w:sz w:val="17"/>
              </w:rPr>
              <w:t>0.890</w:t>
            </w:r>
          </w:p>
        </w:tc>
        <w:tc>
          <w:tcPr>
            <w:tcW w:type="dxa" w:w="2016"/>
          </w:tcPr>
          <w:p>
            <w:pPr>
              <w:jc w:val="center"/>
            </w:pPr>
            <w:r>
              <w:rPr>
                <w:rFonts w:ascii="Times New Roman" w:hAnsi="Times New Roman"/>
                <w:b w:val="0"/>
                <w:i w:val="0"/>
                <w:sz w:val="17"/>
              </w:rPr>
              <w:t>0.222</w:t>
            </w:r>
          </w:p>
        </w:tc>
        <w:tc>
          <w:tcPr>
            <w:tcW w:type="dxa" w:w="2016"/>
          </w:tcPr>
          <w:p>
            <w:pPr>
              <w:jc w:val="center"/>
            </w:pPr>
            <w:r>
              <w:rPr>
                <w:rFonts w:ascii="Times New Roman" w:hAnsi="Times New Roman"/>
                <w:b w:val="0"/>
                <w:i w:val="0"/>
                <w:sz w:val="17"/>
              </w:rPr>
              <w:t>0.220</w:t>
            </w:r>
          </w:p>
        </w:tc>
      </w:tr>
      <w:tr>
        <w:tc>
          <w:tcPr>
            <w:tcW w:type="dxa" w:w="2016"/>
          </w:tcPr>
          <w:p>
            <w:pPr>
              <w:jc w:val="center"/>
            </w:pPr>
            <w:r>
              <w:rPr>
                <w:rFonts w:ascii="Times New Roman" w:hAnsi="Times New Roman"/>
                <w:b w:val="0"/>
                <w:i w:val="0"/>
                <w:sz w:val="17"/>
              </w:rPr>
              <w:t>CALCE</w:t>
            </w:r>
          </w:p>
        </w:tc>
        <w:tc>
          <w:tcPr>
            <w:tcW w:type="dxa" w:w="2016"/>
          </w:tcPr>
          <w:p>
            <w:pPr>
              <w:jc w:val="center"/>
            </w:pPr>
            <w:r>
              <w:rPr>
                <w:rFonts w:ascii="Times New Roman" w:hAnsi="Times New Roman"/>
                <w:b w:val="0"/>
                <w:i w:val="0"/>
                <w:sz w:val="17"/>
              </w:rPr>
              <w:t>0.694</w:t>
            </w:r>
          </w:p>
        </w:tc>
        <w:tc>
          <w:tcPr>
            <w:tcW w:type="dxa" w:w="2016"/>
          </w:tcPr>
          <w:p>
            <w:pPr>
              <w:jc w:val="center"/>
            </w:pPr>
            <w:r>
              <w:rPr>
                <w:rFonts w:ascii="Times New Roman" w:hAnsi="Times New Roman"/>
                <w:b w:val="0"/>
                <w:i w:val="0"/>
                <w:sz w:val="17"/>
              </w:rPr>
              <w:t>0.904</w:t>
            </w:r>
          </w:p>
        </w:tc>
        <w:tc>
          <w:tcPr>
            <w:tcW w:type="dxa" w:w="2016"/>
          </w:tcPr>
          <w:p>
            <w:pPr>
              <w:jc w:val="center"/>
            </w:pPr>
            <w:r>
              <w:rPr>
                <w:rFonts w:ascii="Times New Roman" w:hAnsi="Times New Roman"/>
                <w:b w:val="0"/>
                <w:i w:val="0"/>
                <w:sz w:val="17"/>
              </w:rPr>
              <w:t>0.098</w:t>
            </w:r>
          </w:p>
        </w:tc>
        <w:tc>
          <w:tcPr>
            <w:tcW w:type="dxa" w:w="2016"/>
          </w:tcPr>
          <w:p>
            <w:pPr>
              <w:jc w:val="center"/>
            </w:pPr>
            <w:r>
              <w:rPr>
                <w:rFonts w:ascii="Times New Roman" w:hAnsi="Times New Roman"/>
                <w:b w:val="0"/>
                <w:i w:val="0"/>
                <w:sz w:val="17"/>
              </w:rPr>
              <w:t>0.098</w:t>
            </w:r>
          </w:p>
        </w:tc>
      </w:tr>
    </w:tbl>
    <w:p>
      <w:pPr>
        <w:spacing w:after="40"/>
      </w:pPr>
    </w:p>
    <w:p>
      <w:pPr>
        <w:pStyle w:val="Heading2"/>
      </w:pPr>
      <w:r>
        <w:rPr>
          <w:rFonts w:ascii="Times New Roman" w:hAnsi="Times New Roman"/>
        </w:rPr>
        <w:t>C. Cross-chemistry transfer with and without SOH</w:t>
      </w:r>
    </w:p>
    <w:p>
      <w:pPr>
        <w:jc w:val="both"/>
      </w:pPr>
      <w:r>
        <w:rPr>
          <w:rFonts w:ascii="Times New Roman" w:hAnsi="Times New Roman"/>
          <w:b w:val="0"/>
          <w:i w:val="0"/>
          <w:sz w:val="20"/>
        </w:rPr>
        <w:t>Table III reports cross-chemistry transfer at H = 20 with SOH retained. The numbers look strong: tree models reach raw AUC up to 1.000 on Oxford (NASA → Oxford, LightGBM) and up to 0.994 on Severson (ALL-LCO → Severson). Standard deviations on Oxford are frequently near zero, which is itself a diagnostic — it indicates that the model assigns almost identical scores to all five cells regardless of their true labels. On Severson the standard deviations widen to 0.01–0.09, reflecting 141 genuinely independent test cells rather than a degenerate small-sample artifact.</w:t>
      </w:r>
    </w:p>
    <w:p>
      <w:pPr>
        <w:spacing w:before="80" w:after="40"/>
        <w:jc w:val="center"/>
      </w:pPr>
      <w:r>
        <w:rPr>
          <w:rFonts w:ascii="Times New Roman" w:hAnsi="Times New Roman"/>
          <w:b/>
          <w:i w:val="0"/>
          <w:sz w:val="18"/>
        </w:rPr>
        <w:t>Table III. Cross-chemistry transfer at H = 20 for tree-based models. AUC is reported as per-cell mean ± standard deviation across test cells.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val="clear" w:color="auto" w:fill="E8E8E8"/>
          </w:tcPr>
          <w:p>
            <w:pPr>
              <w:jc w:val="center"/>
            </w:pPr>
            <w:r>
              <w:rPr>
                <w:rFonts w:ascii="Times New Roman" w:hAnsi="Times New Roman"/>
                <w:b/>
                <w:i w:val="0"/>
                <w:sz w:val="17"/>
              </w:rPr>
              <w:t>Training → Test</w:t>
            </w:r>
          </w:p>
        </w:tc>
        <w:tc>
          <w:tcPr>
            <w:tcW w:type="dxa" w:w="2520"/>
            <w:shd w:val="clear" w:color="auto" w:fill="E8E8E8"/>
          </w:tcPr>
          <w:p>
            <w:pPr>
              <w:jc w:val="center"/>
            </w:pPr>
            <w:r>
              <w:rPr>
                <w:rFonts w:ascii="Times New Roman" w:hAnsi="Times New Roman"/>
                <w:b/>
                <w:i w:val="0"/>
                <w:sz w:val="17"/>
              </w:rPr>
              <w:t>With-SOH AUC (mean ± σ)</w:t>
            </w:r>
          </w:p>
        </w:tc>
        <w:tc>
          <w:tcPr>
            <w:tcW w:type="dxa" w:w="2520"/>
            <w:shd w:val="clear" w:color="auto" w:fill="E8E8E8"/>
          </w:tcPr>
          <w:p>
            <w:pPr>
              <w:jc w:val="center"/>
            </w:pPr>
            <w:r>
              <w:rPr>
                <w:rFonts w:ascii="Times New Roman" w:hAnsi="Times New Roman"/>
                <w:b/>
                <w:i w:val="0"/>
                <w:sz w:val="17"/>
              </w:rPr>
              <w:t>Without-SOH AUC (mean ± σ)</w:t>
            </w:r>
          </w:p>
        </w:tc>
        <w:tc>
          <w:tcPr>
            <w:tcW w:type="dxa" w:w="2520"/>
            <w:shd w:val="clear" w:color="auto" w:fill="E8E8E8"/>
          </w:tcPr>
          <w:p>
            <w:pPr>
              <w:jc w:val="center"/>
            </w:pPr>
            <w:r>
              <w:rPr>
                <w:rFonts w:ascii="Times New Roman" w:hAnsi="Times New Roman"/>
                <w:b/>
                <w:i w:val="0"/>
                <w:sz w:val="17"/>
              </w:rPr>
              <w:t>Cells</w:t>
            </w:r>
          </w:p>
        </w:tc>
      </w:tr>
      <w:tr>
        <w:tc>
          <w:tcPr>
            <w:tcW w:type="dxa" w:w="2520"/>
          </w:tcPr>
          <w:p>
            <w:pPr>
              <w:jc w:val="center"/>
            </w:pPr>
            <w:r>
              <w:rPr>
                <w:rFonts w:ascii="Times New Roman" w:hAnsi="Times New Roman"/>
                <w:b w:val="0"/>
                <w:i w:val="0"/>
                <w:sz w:val="17"/>
              </w:rPr>
              <w:t>NASA → Oxford</w:t>
            </w:r>
          </w:p>
        </w:tc>
        <w:tc>
          <w:tcPr>
            <w:tcW w:type="dxa" w:w="2520"/>
          </w:tcPr>
          <w:p>
            <w:pPr>
              <w:jc w:val="center"/>
            </w:pPr>
            <w:r>
              <w:rPr>
                <w:rFonts w:ascii="Times New Roman" w:hAnsi="Times New Roman"/>
                <w:b w:val="0"/>
                <w:i w:val="0"/>
                <w:sz w:val="17"/>
              </w:rPr>
              <w:t>0.957–1.000 (σ 0.00–0.03)</w:t>
            </w:r>
          </w:p>
        </w:tc>
        <w:tc>
          <w:tcPr>
            <w:tcW w:type="dxa" w:w="2520"/>
          </w:tcPr>
          <w:p>
            <w:pPr>
              <w:jc w:val="center"/>
            </w:pPr>
            <w:r>
              <w:rPr>
                <w:rFonts w:ascii="Times New Roman" w:hAnsi="Times New Roman"/>
                <w:b w:val="0"/>
                <w:i w:val="0"/>
                <w:sz w:val="17"/>
              </w:rPr>
              <w:t>0.518–0.539 (σ 0.00–0.01)</w:t>
            </w:r>
          </w:p>
        </w:tc>
        <w:tc>
          <w:tcPr>
            <w:tcW w:type="dxa" w:w="2520"/>
          </w:tcPr>
          <w:p>
            <w:pPr>
              <w:jc w:val="center"/>
            </w:pPr>
            <w:r>
              <w:rPr>
                <w:rFonts w:ascii="Times New Roman" w:hAnsi="Times New Roman"/>
                <w:b w:val="0"/>
                <w:i w:val="0"/>
                <w:sz w:val="17"/>
              </w:rPr>
              <w:t>5</w:t>
            </w:r>
          </w:p>
        </w:tc>
      </w:tr>
      <w:tr>
        <w:tc>
          <w:tcPr>
            <w:tcW w:type="dxa" w:w="2520"/>
          </w:tcPr>
          <w:p>
            <w:pPr>
              <w:jc w:val="center"/>
            </w:pPr>
            <w:r>
              <w:rPr>
                <w:rFonts w:ascii="Times New Roman" w:hAnsi="Times New Roman"/>
                <w:b w:val="0"/>
                <w:i w:val="0"/>
                <w:sz w:val="17"/>
              </w:rPr>
              <w:t>CALCE → Oxford</w:t>
            </w:r>
          </w:p>
        </w:tc>
        <w:tc>
          <w:tcPr>
            <w:tcW w:type="dxa" w:w="2520"/>
          </w:tcPr>
          <w:p>
            <w:pPr>
              <w:jc w:val="center"/>
            </w:pPr>
            <w:r>
              <w:rPr>
                <w:rFonts w:ascii="Times New Roman" w:hAnsi="Times New Roman"/>
                <w:b w:val="0"/>
                <w:i w:val="0"/>
                <w:sz w:val="17"/>
              </w:rPr>
              <w:t>0.836–0.885 (σ 0.00–0.17)</w:t>
            </w:r>
          </w:p>
        </w:tc>
        <w:tc>
          <w:tcPr>
            <w:tcW w:type="dxa" w:w="2520"/>
          </w:tcPr>
          <w:p>
            <w:pPr>
              <w:jc w:val="center"/>
            </w:pPr>
            <w:r>
              <w:rPr>
                <w:rFonts w:ascii="Times New Roman" w:hAnsi="Times New Roman"/>
                <w:b w:val="0"/>
                <w:i w:val="0"/>
                <w:sz w:val="17"/>
              </w:rPr>
              <w:t>0.461–0.616 (σ 0.00–0.22)</w:t>
            </w:r>
          </w:p>
        </w:tc>
        <w:tc>
          <w:tcPr>
            <w:tcW w:type="dxa" w:w="2520"/>
          </w:tcPr>
          <w:p>
            <w:pPr>
              <w:jc w:val="center"/>
            </w:pPr>
            <w:r>
              <w:rPr>
                <w:rFonts w:ascii="Times New Roman" w:hAnsi="Times New Roman"/>
                <w:b w:val="0"/>
                <w:i w:val="0"/>
                <w:sz w:val="17"/>
              </w:rPr>
              <w:t>5</w:t>
            </w:r>
          </w:p>
        </w:tc>
      </w:tr>
      <w:tr>
        <w:tc>
          <w:tcPr>
            <w:tcW w:type="dxa" w:w="2520"/>
          </w:tcPr>
          <w:p>
            <w:pPr>
              <w:jc w:val="center"/>
            </w:pPr>
            <w:r>
              <w:rPr>
                <w:rFonts w:ascii="Times New Roman" w:hAnsi="Times New Roman"/>
                <w:b w:val="0"/>
                <w:i w:val="0"/>
                <w:sz w:val="17"/>
              </w:rPr>
              <w:t>ALL-LCO → Oxford</w:t>
            </w:r>
          </w:p>
        </w:tc>
        <w:tc>
          <w:tcPr>
            <w:tcW w:type="dxa" w:w="2520"/>
          </w:tcPr>
          <w:p>
            <w:pPr>
              <w:jc w:val="center"/>
            </w:pPr>
            <w:r>
              <w:rPr>
                <w:rFonts w:ascii="Times New Roman" w:hAnsi="Times New Roman"/>
                <w:b w:val="0"/>
                <w:i w:val="0"/>
                <w:sz w:val="17"/>
              </w:rPr>
              <w:t>0.979–0.996 (σ 0.00–0.23)</w:t>
            </w:r>
          </w:p>
        </w:tc>
        <w:tc>
          <w:tcPr>
            <w:tcW w:type="dxa" w:w="2520"/>
          </w:tcPr>
          <w:p>
            <w:pPr>
              <w:jc w:val="center"/>
            </w:pPr>
            <w:r>
              <w:rPr>
                <w:rFonts w:ascii="Times New Roman" w:hAnsi="Times New Roman"/>
                <w:b w:val="0"/>
                <w:i w:val="0"/>
                <w:sz w:val="17"/>
              </w:rPr>
              <w:t>0.328–0.468 (σ 0.00–0.25)</w:t>
            </w:r>
          </w:p>
        </w:tc>
        <w:tc>
          <w:tcPr>
            <w:tcW w:type="dxa" w:w="2520"/>
          </w:tcPr>
          <w:p>
            <w:pPr>
              <w:jc w:val="center"/>
            </w:pPr>
            <w:r>
              <w:rPr>
                <w:rFonts w:ascii="Times New Roman" w:hAnsi="Times New Roman"/>
                <w:b w:val="0"/>
                <w:i w:val="0"/>
                <w:sz w:val="17"/>
              </w:rPr>
              <w:t>5</w:t>
            </w:r>
          </w:p>
        </w:tc>
      </w:tr>
      <w:tr>
        <w:tc>
          <w:tcPr>
            <w:tcW w:type="dxa" w:w="2520"/>
          </w:tcPr>
          <w:p>
            <w:pPr>
              <w:jc w:val="center"/>
            </w:pPr>
            <w:r>
              <w:rPr>
                <w:rFonts w:ascii="Times New Roman" w:hAnsi="Times New Roman"/>
                <w:b w:val="0"/>
                <w:i w:val="0"/>
                <w:sz w:val="17"/>
              </w:rPr>
              <w:t>NASA → Severson</w:t>
            </w:r>
          </w:p>
        </w:tc>
        <w:tc>
          <w:tcPr>
            <w:tcW w:type="dxa" w:w="2520"/>
          </w:tcPr>
          <w:p>
            <w:pPr>
              <w:jc w:val="center"/>
            </w:pPr>
            <w:r>
              <w:rPr>
                <w:rFonts w:ascii="Times New Roman" w:hAnsi="Times New Roman"/>
                <w:b w:val="0"/>
                <w:i w:val="0"/>
                <w:sz w:val="17"/>
              </w:rPr>
              <w:t>0.787–0.996 (σ 0.00–0.14)</w:t>
            </w:r>
          </w:p>
        </w:tc>
        <w:tc>
          <w:tcPr>
            <w:tcW w:type="dxa" w:w="2520"/>
          </w:tcPr>
          <w:p>
            <w:pPr>
              <w:jc w:val="center"/>
            </w:pPr>
            <w:r>
              <w:rPr>
                <w:rFonts w:ascii="Times New Roman" w:hAnsi="Times New Roman"/>
                <w:b w:val="0"/>
                <w:i w:val="0"/>
                <w:sz w:val="17"/>
              </w:rPr>
              <w:t>0.595–0.752 (σ 0.02–0.12)</w:t>
            </w:r>
          </w:p>
        </w:tc>
        <w:tc>
          <w:tcPr>
            <w:tcW w:type="dxa" w:w="2520"/>
          </w:tcPr>
          <w:p>
            <w:pPr>
              <w:jc w:val="center"/>
            </w:pPr>
            <w:r>
              <w:rPr>
                <w:rFonts w:ascii="Times New Roman" w:hAnsi="Times New Roman"/>
                <w:b w:val="0"/>
                <w:i w:val="0"/>
                <w:sz w:val="17"/>
              </w:rPr>
              <w:t>141</w:t>
            </w:r>
          </w:p>
        </w:tc>
      </w:tr>
      <w:tr>
        <w:tc>
          <w:tcPr>
            <w:tcW w:type="dxa" w:w="2520"/>
          </w:tcPr>
          <w:p>
            <w:pPr>
              <w:jc w:val="center"/>
            </w:pPr>
            <w:r>
              <w:rPr>
                <w:rFonts w:ascii="Times New Roman" w:hAnsi="Times New Roman"/>
                <w:b w:val="0"/>
                <w:i w:val="0"/>
                <w:sz w:val="17"/>
              </w:rPr>
              <w:t>CALCE → Severson</w:t>
            </w:r>
          </w:p>
        </w:tc>
        <w:tc>
          <w:tcPr>
            <w:tcW w:type="dxa" w:w="2520"/>
          </w:tcPr>
          <w:p>
            <w:pPr>
              <w:jc w:val="center"/>
            </w:pPr>
            <w:r>
              <w:rPr>
                <w:rFonts w:ascii="Times New Roman" w:hAnsi="Times New Roman"/>
                <w:b w:val="0"/>
                <w:i w:val="0"/>
                <w:sz w:val="17"/>
              </w:rPr>
              <w:t>0.632–0.937 (σ 0.04–0.20)</w:t>
            </w:r>
          </w:p>
        </w:tc>
        <w:tc>
          <w:tcPr>
            <w:tcW w:type="dxa" w:w="2520"/>
          </w:tcPr>
          <w:p>
            <w:pPr>
              <w:jc w:val="center"/>
            </w:pPr>
            <w:r>
              <w:rPr>
                <w:rFonts w:ascii="Times New Roman" w:hAnsi="Times New Roman"/>
                <w:b w:val="0"/>
                <w:i w:val="0"/>
                <w:sz w:val="17"/>
              </w:rPr>
              <w:t>0.606–0.811 (σ 0.04–0.12)</w:t>
            </w:r>
          </w:p>
        </w:tc>
        <w:tc>
          <w:tcPr>
            <w:tcW w:type="dxa" w:w="2520"/>
          </w:tcPr>
          <w:p>
            <w:pPr>
              <w:jc w:val="center"/>
            </w:pPr>
            <w:r>
              <w:rPr>
                <w:rFonts w:ascii="Times New Roman" w:hAnsi="Times New Roman"/>
                <w:b w:val="0"/>
                <w:i w:val="0"/>
                <w:sz w:val="17"/>
              </w:rPr>
              <w:t>141</w:t>
            </w:r>
          </w:p>
        </w:tc>
      </w:tr>
      <w:tr>
        <w:tc>
          <w:tcPr>
            <w:tcW w:type="dxa" w:w="2520"/>
          </w:tcPr>
          <w:p>
            <w:pPr>
              <w:jc w:val="center"/>
            </w:pPr>
            <w:r>
              <w:rPr>
                <w:rFonts w:ascii="Times New Roman" w:hAnsi="Times New Roman"/>
                <w:b w:val="0"/>
                <w:i w:val="0"/>
                <w:sz w:val="17"/>
              </w:rPr>
              <w:t>ALL-LCO → Severson</w:t>
            </w:r>
          </w:p>
        </w:tc>
        <w:tc>
          <w:tcPr>
            <w:tcW w:type="dxa" w:w="2520"/>
          </w:tcPr>
          <w:p>
            <w:pPr>
              <w:jc w:val="center"/>
            </w:pPr>
            <w:r>
              <w:rPr>
                <w:rFonts w:ascii="Times New Roman" w:hAnsi="Times New Roman"/>
                <w:b w:val="0"/>
                <w:i w:val="0"/>
                <w:sz w:val="17"/>
              </w:rPr>
              <w:t>0.767–0.994 (σ 0.01–0.09)</w:t>
            </w:r>
          </w:p>
        </w:tc>
        <w:tc>
          <w:tcPr>
            <w:tcW w:type="dxa" w:w="2520"/>
          </w:tcPr>
          <w:p>
            <w:pPr>
              <w:jc w:val="center"/>
            </w:pPr>
            <w:r>
              <w:rPr>
                <w:rFonts w:ascii="Times New Roman" w:hAnsi="Times New Roman"/>
                <w:b w:val="0"/>
                <w:i w:val="0"/>
                <w:sz w:val="17"/>
              </w:rPr>
              <w:t>0.698–0.851 (σ 0.01–0.07)</w:t>
            </w:r>
          </w:p>
        </w:tc>
        <w:tc>
          <w:tcPr>
            <w:tcW w:type="dxa" w:w="2520"/>
          </w:tcPr>
          <w:p>
            <w:pPr>
              <w:jc w:val="center"/>
            </w:pPr>
            <w:r>
              <w:rPr>
                <w:rFonts w:ascii="Times New Roman" w:hAnsi="Times New Roman"/>
                <w:b w:val="0"/>
                <w:i w:val="0"/>
                <w:sz w:val="17"/>
              </w:rPr>
              <w:t>141</w:t>
            </w:r>
          </w:p>
        </w:tc>
      </w:tr>
    </w:tbl>
    <w:p>
      <w:pPr>
        <w:spacing w:after="40"/>
      </w:pPr>
    </w:p>
    <w:p>
      <w:pPr>
        <w:jc w:val="both"/>
      </w:pPr>
      <w:r>
        <w:rPr>
          <w:rFonts w:ascii="Times New Roman" w:hAnsi="Times New Roman"/>
          <w:b w:val="0"/>
          <w:i w:val="0"/>
          <w:sz w:val="20"/>
        </w:rPr>
        <w:t>Removing SOH from the feature set tells a different story. On Oxford, raw AUC collapses to 0.33–0.62 across all tree models and all training configurations — at or below chance. On Severson the drop is less dramatic in absolute terms (0.60–0.85) but the within-pair gap is still 19–24 AUC points, and the DeLong test in Section IV-F confirms it is overwhelmingly significant. The residual signal on Severson can be attributed to a cycle-number proxy: without SOH, trees fall back on cycle index, whose monotone relationship to degradation is chemistry-agnostic but whose magnitude depends on the overlap between training and target cycle-life distributions. Severson's wide range (150–2,300 cycles) overlaps partially with LCO (NASA ~1,000, CALCE 775–1,952), whereas Oxford's narrow range (~300 cycles) lies almost entirely outside it. The proxy is weak and distributional, not electrochemical.</w:t>
      </w:r>
    </w:p>
    <w:p>
      <w:pPr>
        <w:jc w:val="both"/>
      </w:pPr>
      <w:r>
        <w:rPr>
          <w:rFonts w:ascii="Times New Roman" w:hAnsi="Times New Roman"/>
          <w:b w:val="0"/>
          <w:i w:val="0"/>
          <w:sz w:val="20"/>
        </w:rPr>
        <w:t>The combined evidence points to SOH as a chemistry-specific lookup key rather than a transferable feature. With SOH available, the model learns a chemistry-specific mapping such as “SOH = 0.85 implies roughly 50 cycles to failure” from LCO data and applies it unchanged to LFP, where the mapping is not valid. The result still correlates with SOH and therefore appears accurate, but the model is reading from a lookup table. Three independent observations support this reading: (i) the with-SOH AUC reaches 1.000 on Oxford, a value that vanishes the moment SOH is removed; (ii) the GRU, whose distributed hidden state cannot isolate SOH in a single split, behaves very differently under shift (Section IV-D); and (iii) SHAP attributions (Section IV-G) show SOH dominating split decisions by a wide margin, with every other feature contributing negligibly.</w:t>
      </w:r>
    </w:p>
    <w:p>
      <w:pPr>
        <w:pStyle w:val="Heading2"/>
      </w:pPr>
      <w:r>
        <w:rPr>
          <w:rFonts w:ascii="Times New Roman" w:hAnsi="Times New Roman"/>
        </w:rPr>
        <w:t>D. GRU entanglement under distribution shift</w:t>
      </w:r>
    </w:p>
    <w:p>
      <w:pPr>
        <w:jc w:val="both"/>
      </w:pPr>
      <w:r>
        <w:rPr>
          <w:rFonts w:ascii="Times New Roman" w:hAnsi="Times New Roman"/>
          <w:b w:val="0"/>
          <w:i w:val="0"/>
          <w:sz w:val="20"/>
        </w:rPr>
        <w:t>The GRU exhibits an architecture-specific failure mode that is qualitatively distinct from the tree behavior. Its eight-dimensional hidden state compresses SOH together with voltage, current, and cycle trends over the 10-step window. Under LCO → LFP covariate shift the entangled voltage and cycle components carry distribution-mismatched signal that partially corrupts the SOH channel. The visible consequence is extreme horizon sensitivity: at H = 10, AUC can fall to 0.017, while at H = 50 it can climb to 0.978, all within the same training configuration (NASA → Oxford with SOH). The swing is not noise — it reflects a gradual signal-to-noise crossover in the shared representation as the prediction window lengthens and the accumulated SOH signal overpowers the entangled noise.</w:t>
      </w:r>
    </w:p>
    <w:p>
      <w:pPr>
        <w:jc w:val="both"/>
      </w:pPr>
      <w:r>
        <w:rPr>
          <w:rFonts w:ascii="Times New Roman" w:hAnsi="Times New Roman"/>
          <w:b w:val="0"/>
          <w:i w:val="0"/>
          <w:sz w:val="20"/>
        </w:rPr>
        <w:t>Tree models are immune to this fragility because each hard split examines a single feature in isolation, so the SOH split transfers across chemistries without contamination from the other inputs. A separate mechanism drives a CALCE-trained GRU to invert its Oxford rankings (AUC ≈ 0.03–0.12): CALCE's 92% composite-failure rate saturates the model's decision boundary, and the saturated boundary generalizes to a systematically inverted ranking on Oxford's feature distribution. We report raw AUC rather than max(AUC, 1−AUC) because the inversion is a substantive failure, not an arbitrary label-polarity choice. Stripping SOH from the input drives the GRU's cross-chemistry AUC down to 0.014–0.128, matching the trees' near-chance range and confirming that no tested model class — including sequence-aware deep learning — achieves genuine cross-chemistry transfer once SOH is excluded.</w:t>
      </w:r>
    </w:p>
    <w:p>
      <w:pPr>
        <w:pStyle w:val="Heading2"/>
      </w:pPr>
      <w:r>
        <w:rPr>
          <w:rFonts w:ascii="Times New Roman" w:hAnsi="Times New Roman"/>
        </w:rPr>
        <w:t>E. Calibration methods themselves fail to transfer</w:t>
      </w:r>
    </w:p>
    <w:p>
      <w:pPr>
        <w:jc w:val="both"/>
      </w:pPr>
      <w:r>
        <w:rPr>
          <w:rFonts w:ascii="Times New Roman" w:hAnsi="Times New Roman"/>
          <w:b w:val="0"/>
          <w:i w:val="0"/>
          <w:sz w:val="20"/>
        </w:rPr>
        <w:t>A second, independent failure mode appears in the cross-chemistry columns of Table III when isotonic calibration is applied. XGBoost trained on ALL-LCO achieves raw AUC = 0.979 with SOH at H = 20, yet isotonic calibration collapses this to 0.510. The same pattern repeats across configurations: isotonic loses 0.14–0.48 AUC points under cross-chemistry shift even when the raw scores carry genuine signal. The cause is the same step-function degeneration seen within-dataset, now amplified: under covariate shift many test scores fall into the same isotonic bin and receive identical calibrated probabilities, and the resulting ties crush the pairwise ranking that AUC measures. Platt calibration also destabilizes under shift, but less catastrophically. The practical implication is that post-hoc calibration cannot be applied blindly under distribution shift; raw discriminative scores are the safer primary metric when training and test distributions differ.</w:t>
      </w:r>
    </w:p>
    <w:p>
      <w:pPr>
        <w:pStyle w:val="Heading2"/>
      </w:pPr>
      <w:r>
        <w:rPr>
          <w:rFonts w:ascii="Times New Roman" w:hAnsi="Times New Roman"/>
        </w:rPr>
        <w:t>F. DeLong test: statistical significance of the SOH ablation</w:t>
      </w:r>
    </w:p>
    <w:p>
      <w:pPr>
        <w:jc w:val="both"/>
      </w:pPr>
      <w:r>
        <w:rPr>
          <w:rFonts w:ascii="Times New Roman" w:hAnsi="Times New Roman"/>
          <w:b w:val="0"/>
          <w:i w:val="0"/>
          <w:sz w:val="20"/>
        </w:rPr>
        <w:t>The DeLong nonparametric test [20] formalizes the SOH-ablation comparison by accounting for the correlation between with-SOH and without-SOH AUCs computed on the same test instances. Table IV reports p-values for ALL-LCO → LFP at H = 20. On Oxford, p-values range from 7.2 × 10⁻⁵¹ (XGBoost) to 2.6 × 10⁻⁶⁴ (LightGBM); on Severson they fall below 10⁻¹⁰⁰ for all three tree models. These values reflect both the large effect size (ΔAUC = 0.35–0.64) and the paired nature of the comparison, which removes the between-model variance that would otherwise dilute the test. Within-dataset model-pair comparisons tell a more nuanced story: on NASA only the XGBoost–LightGBM pair reaches significance (p = 0.014), whereas on CALCE all three pairs reach p &lt; 10⁻⁵ thanks to the much larger cycle count. The SOH-ablation result is therefore not an artifact of a small or peculiar test set; it reproduces on two independent LFP populations of very different sizes.</w:t>
      </w:r>
    </w:p>
    <w:p>
      <w:pPr>
        <w:spacing w:before="80" w:after="40"/>
        <w:jc w:val="center"/>
      </w:pPr>
      <w:r>
        <w:rPr>
          <w:rFonts w:ascii="Times New Roman" w:hAnsi="Times New Roman"/>
          <w:b/>
          <w:i w:val="0"/>
          <w:sz w:val="18"/>
        </w:rPr>
        <w:t>Table IV. DeLong test p-values for the SOH ablation (ALL-LCO → LFP, H = 20). All comparisons are significant at α = 0.05.</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val="clear" w:color="auto" w:fill="E8E8E8"/>
          </w:tcPr>
          <w:p>
            <w:pPr>
              <w:jc w:val="center"/>
            </w:pPr>
            <w:r>
              <w:rPr>
                <w:rFonts w:ascii="Times New Roman" w:hAnsi="Times New Roman"/>
                <w:b/>
                <w:i w:val="0"/>
                <w:sz w:val="17"/>
              </w:rPr>
              <w:t>Test set</w:t>
            </w:r>
          </w:p>
        </w:tc>
        <w:tc>
          <w:tcPr>
            <w:tcW w:type="dxa" w:w="1680"/>
            <w:shd w:val="clear" w:color="auto" w:fill="E8E8E8"/>
          </w:tcPr>
          <w:p>
            <w:pPr>
              <w:jc w:val="center"/>
            </w:pPr>
            <w:r>
              <w:rPr>
                <w:rFonts w:ascii="Times New Roman" w:hAnsi="Times New Roman"/>
                <w:b/>
                <w:i w:val="0"/>
                <w:sz w:val="17"/>
              </w:rPr>
              <w:t>Model</w:t>
            </w:r>
          </w:p>
        </w:tc>
        <w:tc>
          <w:tcPr>
            <w:tcW w:type="dxa" w:w="1680"/>
            <w:shd w:val="clear" w:color="auto" w:fill="E8E8E8"/>
          </w:tcPr>
          <w:p>
            <w:pPr>
              <w:jc w:val="center"/>
            </w:pPr>
            <w:r>
              <w:rPr>
                <w:rFonts w:ascii="Times New Roman" w:hAnsi="Times New Roman"/>
                <w:b/>
                <w:i w:val="0"/>
                <w:sz w:val="17"/>
              </w:rPr>
              <w:t>With-SOH AUC</w:t>
            </w:r>
          </w:p>
        </w:tc>
        <w:tc>
          <w:tcPr>
            <w:tcW w:type="dxa" w:w="1680"/>
            <w:shd w:val="clear" w:color="auto" w:fill="E8E8E8"/>
          </w:tcPr>
          <w:p>
            <w:pPr>
              <w:jc w:val="center"/>
            </w:pPr>
            <w:r>
              <w:rPr>
                <w:rFonts w:ascii="Times New Roman" w:hAnsi="Times New Roman"/>
                <w:b/>
                <w:i w:val="0"/>
                <w:sz w:val="17"/>
              </w:rPr>
              <w:t>Without-SOH AUC</w:t>
            </w:r>
          </w:p>
        </w:tc>
        <w:tc>
          <w:tcPr>
            <w:tcW w:type="dxa" w:w="1680"/>
            <w:shd w:val="clear" w:color="auto" w:fill="E8E8E8"/>
          </w:tcPr>
          <w:p>
            <w:pPr>
              <w:jc w:val="center"/>
            </w:pPr>
            <w:r>
              <w:rPr>
                <w:rFonts w:ascii="Times New Roman" w:hAnsi="Times New Roman"/>
                <w:b/>
                <w:i w:val="0"/>
                <w:sz w:val="17"/>
              </w:rPr>
              <w:t>p-value</w:t>
            </w:r>
          </w:p>
        </w:tc>
        <w:tc>
          <w:tcPr>
            <w:tcW w:type="dxa" w:w="1680"/>
            <w:shd w:val="clear" w:color="auto" w:fill="E8E8E8"/>
          </w:tcPr>
          <w:p>
            <w:pPr>
              <w:jc w:val="center"/>
            </w:pPr>
            <w:r>
              <w:rPr>
                <w:rFonts w:ascii="Times New Roman" w:hAnsi="Times New Roman"/>
                <w:b/>
                <w:i w:val="0"/>
                <w:sz w:val="17"/>
              </w:rPr>
              <w:t>Significant</w:t>
            </w:r>
          </w:p>
        </w:tc>
      </w:tr>
      <w:tr>
        <w:tc>
          <w:tcPr>
            <w:tcW w:type="dxa" w:w="1680"/>
          </w:tcPr>
          <w:p>
            <w:pPr>
              <w:jc w:val="center"/>
            </w:pPr>
            <w:r>
              <w:rPr>
                <w:rFonts w:ascii="Times New Roman" w:hAnsi="Times New Roman"/>
                <w:b w:val="0"/>
                <w:i w:val="0"/>
                <w:sz w:val="17"/>
              </w:rPr>
              <w:t>Oxford (5)</w:t>
            </w:r>
          </w:p>
        </w:tc>
        <w:tc>
          <w:tcPr>
            <w:tcW w:type="dxa" w:w="1680"/>
          </w:tcPr>
          <w:p>
            <w:pPr>
              <w:jc w:val="center"/>
            </w:pPr>
            <w:r>
              <w:rPr>
                <w:rFonts w:ascii="Times New Roman" w:hAnsi="Times New Roman"/>
                <w:b w:val="0"/>
                <w:i w:val="0"/>
                <w:sz w:val="17"/>
              </w:rPr>
              <w:t>XGBoost</w:t>
            </w:r>
          </w:p>
        </w:tc>
        <w:tc>
          <w:tcPr>
            <w:tcW w:type="dxa" w:w="1680"/>
          </w:tcPr>
          <w:p>
            <w:pPr>
              <w:jc w:val="center"/>
            </w:pPr>
            <w:r>
              <w:rPr>
                <w:rFonts w:ascii="Times New Roman" w:hAnsi="Times New Roman"/>
                <w:b w:val="0"/>
                <w:i w:val="0"/>
                <w:sz w:val="17"/>
              </w:rPr>
              <w:t>0.917</w:t>
            </w:r>
          </w:p>
        </w:tc>
        <w:tc>
          <w:tcPr>
            <w:tcW w:type="dxa" w:w="1680"/>
          </w:tcPr>
          <w:p>
            <w:pPr>
              <w:jc w:val="center"/>
            </w:pPr>
            <w:r>
              <w:rPr>
                <w:rFonts w:ascii="Times New Roman" w:hAnsi="Times New Roman"/>
                <w:b w:val="0"/>
                <w:i w:val="0"/>
                <w:sz w:val="17"/>
              </w:rPr>
              <w:t>0.429</w:t>
            </w:r>
          </w:p>
        </w:tc>
        <w:tc>
          <w:tcPr>
            <w:tcW w:type="dxa" w:w="1680"/>
          </w:tcPr>
          <w:p>
            <w:pPr>
              <w:jc w:val="center"/>
            </w:pPr>
            <w:r>
              <w:rPr>
                <w:rFonts w:ascii="Times New Roman" w:hAnsi="Times New Roman"/>
                <w:b w:val="0"/>
                <w:i w:val="0"/>
                <w:sz w:val="17"/>
              </w:rPr>
              <w:t>7.2 × 10⁻⁵¹</w:t>
            </w:r>
          </w:p>
        </w:tc>
        <w:tc>
          <w:tcPr>
            <w:tcW w:type="dxa" w:w="1680"/>
          </w:tcPr>
          <w:p>
            <w:pPr>
              <w:jc w:val="center"/>
            </w:pPr>
            <w:r>
              <w:rPr>
                <w:rFonts w:ascii="Times New Roman" w:hAnsi="Times New Roman"/>
                <w:b w:val="0"/>
                <w:i w:val="0"/>
                <w:sz w:val="17"/>
              </w:rPr>
              <w:t>Yes</w:t>
            </w:r>
          </w:p>
        </w:tc>
      </w:tr>
      <w:tr>
        <w:tc>
          <w:tcPr>
            <w:tcW w:type="dxa" w:w="1680"/>
          </w:tcPr>
          <w:p>
            <w:pPr>
              <w:jc w:val="center"/>
            </w:pPr>
            <w:r>
              <w:rPr>
                <w:rFonts w:ascii="Times New Roman" w:hAnsi="Times New Roman"/>
                <w:b w:val="0"/>
                <w:i w:val="0"/>
                <w:sz w:val="17"/>
              </w:rPr>
              <w:t>Oxford (5)</w:t>
            </w:r>
          </w:p>
        </w:tc>
        <w:tc>
          <w:tcPr>
            <w:tcW w:type="dxa" w:w="1680"/>
          </w:tcPr>
          <w:p>
            <w:pPr>
              <w:jc w:val="center"/>
            </w:pPr>
            <w:r>
              <w:rPr>
                <w:rFonts w:ascii="Times New Roman" w:hAnsi="Times New Roman"/>
                <w:b w:val="0"/>
                <w:i w:val="0"/>
                <w:sz w:val="17"/>
              </w:rPr>
              <w:t>LightGBM</w:t>
            </w:r>
          </w:p>
        </w:tc>
        <w:tc>
          <w:tcPr>
            <w:tcW w:type="dxa" w:w="1680"/>
          </w:tcPr>
          <w:p>
            <w:pPr>
              <w:jc w:val="center"/>
            </w:pPr>
            <w:r>
              <w:rPr>
                <w:rFonts w:ascii="Times New Roman" w:hAnsi="Times New Roman"/>
                <w:b w:val="0"/>
                <w:i w:val="0"/>
                <w:sz w:val="17"/>
              </w:rPr>
              <w:t>0.971</w:t>
            </w:r>
          </w:p>
        </w:tc>
        <w:tc>
          <w:tcPr>
            <w:tcW w:type="dxa" w:w="1680"/>
          </w:tcPr>
          <w:p>
            <w:pPr>
              <w:jc w:val="center"/>
            </w:pPr>
            <w:r>
              <w:rPr>
                <w:rFonts w:ascii="Times New Roman" w:hAnsi="Times New Roman"/>
                <w:b w:val="0"/>
                <w:i w:val="0"/>
                <w:sz w:val="17"/>
              </w:rPr>
              <w:t>0.332</w:t>
            </w:r>
          </w:p>
        </w:tc>
        <w:tc>
          <w:tcPr>
            <w:tcW w:type="dxa" w:w="1680"/>
          </w:tcPr>
          <w:p>
            <w:pPr>
              <w:jc w:val="center"/>
            </w:pPr>
            <w:r>
              <w:rPr>
                <w:rFonts w:ascii="Times New Roman" w:hAnsi="Times New Roman"/>
                <w:b w:val="0"/>
                <w:i w:val="0"/>
                <w:sz w:val="17"/>
              </w:rPr>
              <w:t>2.6 × 10⁻⁶⁴</w:t>
            </w:r>
          </w:p>
        </w:tc>
        <w:tc>
          <w:tcPr>
            <w:tcW w:type="dxa" w:w="1680"/>
          </w:tcPr>
          <w:p>
            <w:pPr>
              <w:jc w:val="center"/>
            </w:pPr>
            <w:r>
              <w:rPr>
                <w:rFonts w:ascii="Times New Roman" w:hAnsi="Times New Roman"/>
                <w:b w:val="0"/>
                <w:i w:val="0"/>
                <w:sz w:val="17"/>
              </w:rPr>
              <w:t>Yes</w:t>
            </w:r>
          </w:p>
        </w:tc>
      </w:tr>
      <w:tr>
        <w:tc>
          <w:tcPr>
            <w:tcW w:type="dxa" w:w="1680"/>
          </w:tcPr>
          <w:p>
            <w:pPr>
              <w:jc w:val="center"/>
            </w:pPr>
            <w:r>
              <w:rPr>
                <w:rFonts w:ascii="Times New Roman" w:hAnsi="Times New Roman"/>
                <w:b w:val="0"/>
                <w:i w:val="0"/>
                <w:sz w:val="17"/>
              </w:rPr>
              <w:t>Oxford (5)</w:t>
            </w:r>
          </w:p>
        </w:tc>
        <w:tc>
          <w:tcPr>
            <w:tcW w:type="dxa" w:w="1680"/>
          </w:tcPr>
          <w:p>
            <w:pPr>
              <w:jc w:val="center"/>
            </w:pPr>
            <w:r>
              <w:rPr>
                <w:rFonts w:ascii="Times New Roman" w:hAnsi="Times New Roman"/>
                <w:b w:val="0"/>
                <w:i w:val="0"/>
                <w:sz w:val="17"/>
              </w:rPr>
              <w:t>Random Forest</w:t>
            </w:r>
          </w:p>
        </w:tc>
        <w:tc>
          <w:tcPr>
            <w:tcW w:type="dxa" w:w="1680"/>
          </w:tcPr>
          <w:p>
            <w:pPr>
              <w:jc w:val="center"/>
            </w:pPr>
            <w:r>
              <w:rPr>
                <w:rFonts w:ascii="Times New Roman" w:hAnsi="Times New Roman"/>
                <w:b w:val="0"/>
                <w:i w:val="0"/>
                <w:sz w:val="17"/>
              </w:rPr>
              <w:t>0.989</w:t>
            </w:r>
          </w:p>
        </w:tc>
        <w:tc>
          <w:tcPr>
            <w:tcW w:type="dxa" w:w="1680"/>
          </w:tcPr>
          <w:p>
            <w:pPr>
              <w:jc w:val="center"/>
            </w:pPr>
            <w:r>
              <w:rPr>
                <w:rFonts w:ascii="Times New Roman" w:hAnsi="Times New Roman"/>
                <w:b w:val="0"/>
                <w:i w:val="0"/>
                <w:sz w:val="17"/>
              </w:rPr>
              <w:t>0.581</w:t>
            </w:r>
          </w:p>
        </w:tc>
        <w:tc>
          <w:tcPr>
            <w:tcW w:type="dxa" w:w="1680"/>
          </w:tcPr>
          <w:p>
            <w:pPr>
              <w:jc w:val="center"/>
            </w:pPr>
            <w:r>
              <w:rPr>
                <w:rFonts w:ascii="Times New Roman" w:hAnsi="Times New Roman"/>
                <w:b w:val="0"/>
                <w:i w:val="0"/>
                <w:sz w:val="17"/>
              </w:rPr>
              <w:t>6.5 × 10⁻³⁶</w:t>
            </w:r>
          </w:p>
        </w:tc>
        <w:tc>
          <w:tcPr>
            <w:tcW w:type="dxa" w:w="1680"/>
          </w:tcPr>
          <w:p>
            <w:pPr>
              <w:jc w:val="center"/>
            </w:pPr>
            <w:r>
              <w:rPr>
                <w:rFonts w:ascii="Times New Roman" w:hAnsi="Times New Roman"/>
                <w:b w:val="0"/>
                <w:i w:val="0"/>
                <w:sz w:val="17"/>
              </w:rPr>
              <w:t>Yes</w:t>
            </w:r>
          </w:p>
        </w:tc>
      </w:tr>
      <w:tr>
        <w:tc>
          <w:tcPr>
            <w:tcW w:type="dxa" w:w="1680"/>
          </w:tcPr>
          <w:p>
            <w:pPr>
              <w:jc w:val="center"/>
            </w:pPr>
            <w:r>
              <w:rPr>
                <w:rFonts w:ascii="Times New Roman" w:hAnsi="Times New Roman"/>
                <w:b w:val="0"/>
                <w:i w:val="0"/>
                <w:sz w:val="17"/>
              </w:rPr>
              <w:t>Severson (141)</w:t>
            </w:r>
          </w:p>
        </w:tc>
        <w:tc>
          <w:tcPr>
            <w:tcW w:type="dxa" w:w="1680"/>
          </w:tcPr>
          <w:p>
            <w:pPr>
              <w:jc w:val="center"/>
            </w:pPr>
            <w:r>
              <w:rPr>
                <w:rFonts w:ascii="Times New Roman" w:hAnsi="Times New Roman"/>
                <w:b w:val="0"/>
                <w:i w:val="0"/>
                <w:sz w:val="17"/>
              </w:rPr>
              <w:t>XGBoost</w:t>
            </w:r>
          </w:p>
        </w:tc>
        <w:tc>
          <w:tcPr>
            <w:tcW w:type="dxa" w:w="1680"/>
          </w:tcPr>
          <w:p>
            <w:pPr>
              <w:jc w:val="center"/>
            </w:pPr>
            <w:r>
              <w:rPr>
                <w:rFonts w:ascii="Times New Roman" w:hAnsi="Times New Roman"/>
                <w:b w:val="0"/>
                <w:i w:val="0"/>
                <w:sz w:val="17"/>
              </w:rPr>
              <w:t>0.896</w:t>
            </w:r>
          </w:p>
        </w:tc>
        <w:tc>
          <w:tcPr>
            <w:tcW w:type="dxa" w:w="1680"/>
          </w:tcPr>
          <w:p>
            <w:pPr>
              <w:jc w:val="center"/>
            </w:pPr>
            <w:r>
              <w:rPr>
                <w:rFonts w:ascii="Times New Roman" w:hAnsi="Times New Roman"/>
                <w:b w:val="0"/>
                <w:i w:val="0"/>
                <w:sz w:val="17"/>
              </w:rPr>
              <w:t>0.750</w:t>
            </w:r>
          </w:p>
        </w:tc>
        <w:tc>
          <w:tcPr>
            <w:tcW w:type="dxa" w:w="1680"/>
          </w:tcPr>
          <w:p>
            <w:pPr>
              <w:jc w:val="center"/>
            </w:pPr>
            <w:r>
              <w:rPr>
                <w:rFonts w:ascii="Times New Roman" w:hAnsi="Times New Roman"/>
                <w:b w:val="0"/>
                <w:i w:val="0"/>
                <w:sz w:val="17"/>
              </w:rPr>
              <w:t>&lt; 10⁻¹⁰⁰</w:t>
            </w:r>
          </w:p>
        </w:tc>
        <w:tc>
          <w:tcPr>
            <w:tcW w:type="dxa" w:w="1680"/>
          </w:tcPr>
          <w:p>
            <w:pPr>
              <w:jc w:val="center"/>
            </w:pPr>
            <w:r>
              <w:rPr>
                <w:rFonts w:ascii="Times New Roman" w:hAnsi="Times New Roman"/>
                <w:b w:val="0"/>
                <w:i w:val="0"/>
                <w:sz w:val="17"/>
              </w:rPr>
              <w:t>Yes</w:t>
            </w:r>
          </w:p>
        </w:tc>
      </w:tr>
      <w:tr>
        <w:tc>
          <w:tcPr>
            <w:tcW w:type="dxa" w:w="1680"/>
          </w:tcPr>
          <w:p>
            <w:pPr>
              <w:jc w:val="center"/>
            </w:pPr>
            <w:r>
              <w:rPr>
                <w:rFonts w:ascii="Times New Roman" w:hAnsi="Times New Roman"/>
                <w:b w:val="0"/>
                <w:i w:val="0"/>
                <w:sz w:val="17"/>
              </w:rPr>
              <w:t>Severson (141)</w:t>
            </w:r>
          </w:p>
        </w:tc>
        <w:tc>
          <w:tcPr>
            <w:tcW w:type="dxa" w:w="1680"/>
          </w:tcPr>
          <w:p>
            <w:pPr>
              <w:jc w:val="center"/>
            </w:pPr>
            <w:r>
              <w:rPr>
                <w:rFonts w:ascii="Times New Roman" w:hAnsi="Times New Roman"/>
                <w:b w:val="0"/>
                <w:i w:val="0"/>
                <w:sz w:val="17"/>
              </w:rPr>
              <w:t>LightGBM</w:t>
            </w:r>
          </w:p>
        </w:tc>
        <w:tc>
          <w:tcPr>
            <w:tcW w:type="dxa" w:w="1680"/>
          </w:tcPr>
          <w:p>
            <w:pPr>
              <w:jc w:val="center"/>
            </w:pPr>
            <w:r>
              <w:rPr>
                <w:rFonts w:ascii="Times New Roman" w:hAnsi="Times New Roman"/>
                <w:b w:val="0"/>
                <w:i w:val="0"/>
                <w:sz w:val="17"/>
              </w:rPr>
              <w:t>0.882</w:t>
            </w:r>
          </w:p>
        </w:tc>
        <w:tc>
          <w:tcPr>
            <w:tcW w:type="dxa" w:w="1680"/>
          </w:tcPr>
          <w:p>
            <w:pPr>
              <w:jc w:val="center"/>
            </w:pPr>
            <w:r>
              <w:rPr>
                <w:rFonts w:ascii="Times New Roman" w:hAnsi="Times New Roman"/>
                <w:b w:val="0"/>
                <w:i w:val="0"/>
                <w:sz w:val="17"/>
              </w:rPr>
              <w:t>0.718</w:t>
            </w:r>
          </w:p>
        </w:tc>
        <w:tc>
          <w:tcPr>
            <w:tcW w:type="dxa" w:w="1680"/>
          </w:tcPr>
          <w:p>
            <w:pPr>
              <w:jc w:val="center"/>
            </w:pPr>
            <w:r>
              <w:rPr>
                <w:rFonts w:ascii="Times New Roman" w:hAnsi="Times New Roman"/>
                <w:b w:val="0"/>
                <w:i w:val="0"/>
                <w:sz w:val="17"/>
              </w:rPr>
              <w:t>&lt; 10⁻¹⁰⁰</w:t>
            </w:r>
          </w:p>
        </w:tc>
        <w:tc>
          <w:tcPr>
            <w:tcW w:type="dxa" w:w="1680"/>
          </w:tcPr>
          <w:p>
            <w:pPr>
              <w:jc w:val="center"/>
            </w:pPr>
            <w:r>
              <w:rPr>
                <w:rFonts w:ascii="Times New Roman" w:hAnsi="Times New Roman"/>
                <w:b w:val="0"/>
                <w:i w:val="0"/>
                <w:sz w:val="17"/>
              </w:rPr>
              <w:t>Yes</w:t>
            </w:r>
          </w:p>
        </w:tc>
      </w:tr>
      <w:tr>
        <w:tc>
          <w:tcPr>
            <w:tcW w:type="dxa" w:w="1680"/>
          </w:tcPr>
          <w:p>
            <w:pPr>
              <w:jc w:val="center"/>
            </w:pPr>
            <w:r>
              <w:rPr>
                <w:rFonts w:ascii="Times New Roman" w:hAnsi="Times New Roman"/>
                <w:b w:val="0"/>
                <w:i w:val="0"/>
                <w:sz w:val="17"/>
              </w:rPr>
              <w:t>Severson (141)</w:t>
            </w:r>
          </w:p>
        </w:tc>
        <w:tc>
          <w:tcPr>
            <w:tcW w:type="dxa" w:w="1680"/>
          </w:tcPr>
          <w:p>
            <w:pPr>
              <w:jc w:val="center"/>
            </w:pPr>
            <w:r>
              <w:rPr>
                <w:rFonts w:ascii="Times New Roman" w:hAnsi="Times New Roman"/>
                <w:b w:val="0"/>
                <w:i w:val="0"/>
                <w:sz w:val="17"/>
              </w:rPr>
              <w:t>Random Forest</w:t>
            </w:r>
          </w:p>
        </w:tc>
        <w:tc>
          <w:tcPr>
            <w:tcW w:type="dxa" w:w="1680"/>
          </w:tcPr>
          <w:p>
            <w:pPr>
              <w:jc w:val="center"/>
            </w:pPr>
            <w:r>
              <w:rPr>
                <w:rFonts w:ascii="Times New Roman" w:hAnsi="Times New Roman"/>
                <w:b w:val="0"/>
                <w:i w:val="0"/>
                <w:sz w:val="17"/>
              </w:rPr>
              <w:t>0.889</w:t>
            </w:r>
          </w:p>
        </w:tc>
        <w:tc>
          <w:tcPr>
            <w:tcW w:type="dxa" w:w="1680"/>
          </w:tcPr>
          <w:p>
            <w:pPr>
              <w:jc w:val="center"/>
            </w:pPr>
            <w:r>
              <w:rPr>
                <w:rFonts w:ascii="Times New Roman" w:hAnsi="Times New Roman"/>
                <w:b w:val="0"/>
                <w:i w:val="0"/>
                <w:sz w:val="17"/>
              </w:rPr>
              <w:t>0.746</w:t>
            </w:r>
          </w:p>
        </w:tc>
        <w:tc>
          <w:tcPr>
            <w:tcW w:type="dxa" w:w="1680"/>
          </w:tcPr>
          <w:p>
            <w:pPr>
              <w:jc w:val="center"/>
            </w:pPr>
            <w:r>
              <w:rPr>
                <w:rFonts w:ascii="Times New Roman" w:hAnsi="Times New Roman"/>
                <w:b w:val="0"/>
                <w:i w:val="0"/>
                <w:sz w:val="17"/>
              </w:rPr>
              <w:t>&lt; 10⁻¹⁰⁰</w:t>
            </w:r>
          </w:p>
        </w:tc>
        <w:tc>
          <w:tcPr>
            <w:tcW w:type="dxa" w:w="1680"/>
          </w:tcPr>
          <w:p>
            <w:pPr>
              <w:jc w:val="center"/>
            </w:pPr>
            <w:r>
              <w:rPr>
                <w:rFonts w:ascii="Times New Roman" w:hAnsi="Times New Roman"/>
                <w:b w:val="0"/>
                <w:i w:val="0"/>
                <w:sz w:val="17"/>
              </w:rPr>
              <w:t>Yes</w:t>
            </w:r>
          </w:p>
        </w:tc>
      </w:tr>
    </w:tbl>
    <w:p>
      <w:pPr>
        <w:spacing w:after="40"/>
      </w:pPr>
    </w:p>
    <w:p>
      <w:pPr>
        <w:pStyle w:val="Heading2"/>
      </w:pPr>
      <w:r>
        <w:rPr>
          <w:rFonts w:ascii="Times New Roman" w:hAnsi="Times New Roman"/>
        </w:rPr>
        <w:t>G. SHAP feature importance</w:t>
      </w:r>
    </w:p>
    <w:p>
      <w:pPr>
        <w:jc w:val="both"/>
      </w:pPr>
      <w:r>
        <w:rPr>
          <w:rFonts w:ascii="Times New Roman" w:hAnsi="Times New Roman"/>
          <w:b w:val="0"/>
          <w:i w:val="0"/>
          <w:sz w:val="20"/>
        </w:rPr>
        <w:t>Tree-based SHAP values [21] provide a direct test of the lookup-table hypothesis. With SOH included in NASA → Oxford transfer at H = 20, SHAP attributions for XGBoost, LightGBM, and Random Forest all show SOH dominating by a wide margin, with cycle index a distant second and the voltage, current, temperature, and duration features contributing negligibly. When the same models are retrained without SOH and re-explained, every remaining feature collapses to a near-zero SHAP spread with no meaningful ranking signal. The paired contrast — SOH present versus SOH absent — is a one-glance demonstration of the central negative result: the apparent cross-chemistry transfer rests on a single feature acting as a chemistry-specific proxy, and once that feature is unavailable the model has nothing else to exploit. The SHAP pictures also rule out an alternative explanation in which several features jointly carry transferable signal; if that were the case, removing SOH would redistribute importance rather than annihilate it.</w:t>
      </w:r>
    </w:p>
    <w:p>
      <w:pPr>
        <w:pStyle w:val="Heading2"/>
      </w:pPr>
      <w:r>
        <w:rPr>
          <w:rFonts w:ascii="Times New Roman" w:hAnsi="Times New Roman"/>
        </w:rPr>
        <w:t>H. Embedded deployment validation</w:t>
      </w:r>
    </w:p>
    <w:p>
      <w:pPr>
        <w:jc w:val="both"/>
      </w:pPr>
      <w:r>
        <w:rPr>
          <w:rFonts w:ascii="Times New Roman" w:hAnsi="Times New Roman"/>
          <w:b w:val="0"/>
          <w:i w:val="0"/>
          <w:sz w:val="20"/>
        </w:rPr>
        <w:t>Three independent validation stages confirm that the C tree engine reproduces the Python training libraries. Stage one verifies that manual tree-walk predictions match predict_proba() for every extracted tree, aborting on any mismatch above 1 × 10⁻⁵. Stage two runs the Python tree walker on the full 1,028-row validation set against freshly trained models. Stage three compiles the C engine, loads the binary, and compares C predictions against the trained libraries' predict_proba() on the same 1,028 rows. Table V reports the results. Maximum absolute error across all rows and all three models is at most 1.8 × 10⁻⁷, with LightGBM and Random Forest reaching sub-nanosecond-scale numerical noise. On a PC with gcc -O2, the full three-model inference takes 20.8 μs; projected ESP32-S3 timing is roughly 600 μs, leaving a comfortable margin against a 100 ms inference budget.</w:t>
      </w:r>
    </w:p>
    <w:p>
      <w:pPr>
        <w:spacing w:before="80" w:after="40"/>
        <w:jc w:val="center"/>
      </w:pPr>
      <w:r>
        <w:rPr>
          <w:rFonts w:ascii="Times New Roman" w:hAnsi="Times New Roman"/>
          <w:b/>
          <w:i w:val="0"/>
          <w:sz w:val="18"/>
        </w:rPr>
        <w:t>Table V. Embedded deployment validation and inference timing. C engine predictions compared against scikit-learn / xgboost / lightgbm predict_proba() on 1,028 rows.</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val="clear" w:color="auto" w:fill="E8E8E8"/>
          </w:tcPr>
          <w:p>
            <w:pPr>
              <w:jc w:val="center"/>
            </w:pPr>
            <w:r>
              <w:rPr>
                <w:rFonts w:ascii="Times New Roman" w:hAnsi="Times New Roman"/>
                <w:b/>
                <w:i w:val="0"/>
                <w:sz w:val="17"/>
              </w:rPr>
              <w:t>Model</w:t>
            </w:r>
          </w:p>
        </w:tc>
        <w:tc>
          <w:tcPr>
            <w:tcW w:type="dxa" w:w="1680"/>
            <w:shd w:val="clear" w:color="auto" w:fill="E8E8E8"/>
          </w:tcPr>
          <w:p>
            <w:pPr>
              <w:jc w:val="center"/>
            </w:pPr>
            <w:r>
              <w:rPr>
                <w:rFonts w:ascii="Times New Roman" w:hAnsi="Times New Roman"/>
                <w:b/>
                <w:i w:val="0"/>
                <w:sz w:val="17"/>
              </w:rPr>
              <w:t>Trees</w:t>
            </w:r>
          </w:p>
        </w:tc>
        <w:tc>
          <w:tcPr>
            <w:tcW w:type="dxa" w:w="1680"/>
            <w:shd w:val="clear" w:color="auto" w:fill="E8E8E8"/>
          </w:tcPr>
          <w:p>
            <w:pPr>
              <w:jc w:val="center"/>
            </w:pPr>
            <w:r>
              <w:rPr>
                <w:rFonts w:ascii="Times New Roman" w:hAnsi="Times New Roman"/>
                <w:b/>
                <w:i w:val="0"/>
                <w:sz w:val="17"/>
              </w:rPr>
              <w:t>Nodes</w:t>
            </w:r>
          </w:p>
        </w:tc>
        <w:tc>
          <w:tcPr>
            <w:tcW w:type="dxa" w:w="1680"/>
            <w:shd w:val="clear" w:color="auto" w:fill="E8E8E8"/>
          </w:tcPr>
          <w:p>
            <w:pPr>
              <w:jc w:val="center"/>
            </w:pPr>
            <w:r>
              <w:rPr>
                <w:rFonts w:ascii="Times New Roman" w:hAnsi="Times New Roman"/>
                <w:b/>
                <w:i w:val="0"/>
                <w:sz w:val="17"/>
              </w:rPr>
              <w:t>Max error (1028 rows)</w:t>
            </w:r>
          </w:p>
        </w:tc>
        <w:tc>
          <w:tcPr>
            <w:tcW w:type="dxa" w:w="1680"/>
            <w:shd w:val="clear" w:color="auto" w:fill="E8E8E8"/>
          </w:tcPr>
          <w:p>
            <w:pPr>
              <w:jc w:val="center"/>
            </w:pPr>
            <w:r>
              <w:rPr>
                <w:rFonts w:ascii="Times New Roman" w:hAnsi="Times New Roman"/>
                <w:b/>
                <w:i w:val="0"/>
                <w:sz w:val="17"/>
              </w:rPr>
              <w:t>PC time</w:t>
            </w:r>
          </w:p>
        </w:tc>
        <w:tc>
          <w:tcPr>
            <w:tcW w:type="dxa" w:w="1680"/>
            <w:shd w:val="clear" w:color="auto" w:fill="E8E8E8"/>
          </w:tcPr>
          <w:p>
            <w:pPr>
              <w:jc w:val="center"/>
            </w:pPr>
            <w:r>
              <w:rPr>
                <w:rFonts w:ascii="Times New Roman" w:hAnsi="Times New Roman"/>
                <w:b/>
                <w:i w:val="0"/>
                <w:sz w:val="17"/>
              </w:rPr>
              <w:t>ESP32-S3 (proj.)</w:t>
            </w:r>
          </w:p>
        </w:tc>
      </w:tr>
      <w:tr>
        <w:tc>
          <w:tcPr>
            <w:tcW w:type="dxa" w:w="1680"/>
          </w:tcPr>
          <w:p>
            <w:pPr>
              <w:jc w:val="center"/>
            </w:pPr>
            <w:r>
              <w:rPr>
                <w:rFonts w:ascii="Times New Roman" w:hAnsi="Times New Roman"/>
                <w:b w:val="0"/>
                <w:i w:val="0"/>
                <w:sz w:val="17"/>
              </w:rPr>
              <w:t>XGBoost</w:t>
            </w:r>
          </w:p>
        </w:tc>
        <w:tc>
          <w:tcPr>
            <w:tcW w:type="dxa" w:w="1680"/>
          </w:tcPr>
          <w:p>
            <w:pPr>
              <w:jc w:val="center"/>
            </w:pPr>
            <w:r>
              <w:rPr>
                <w:rFonts w:ascii="Times New Roman" w:hAnsi="Times New Roman"/>
                <w:b w:val="0"/>
                <w:i w:val="0"/>
                <w:sz w:val="17"/>
              </w:rPr>
              <w:t>300</w:t>
            </w:r>
          </w:p>
        </w:tc>
        <w:tc>
          <w:tcPr>
            <w:tcW w:type="dxa" w:w="1680"/>
          </w:tcPr>
          <w:p>
            <w:pPr>
              <w:jc w:val="center"/>
            </w:pPr>
            <w:r>
              <w:rPr>
                <w:rFonts w:ascii="Times New Roman" w:hAnsi="Times New Roman"/>
                <w:b w:val="0"/>
                <w:i w:val="0"/>
                <w:sz w:val="17"/>
              </w:rPr>
              <w:t>3,242</w:t>
            </w:r>
          </w:p>
        </w:tc>
        <w:tc>
          <w:tcPr>
            <w:tcW w:type="dxa" w:w="1680"/>
          </w:tcPr>
          <w:p>
            <w:pPr>
              <w:jc w:val="center"/>
            </w:pPr>
            <w:r>
              <w:rPr>
                <w:rFonts w:ascii="Times New Roman" w:hAnsi="Times New Roman"/>
                <w:b w:val="0"/>
                <w:i w:val="0"/>
                <w:sz w:val="17"/>
              </w:rPr>
              <w:t>1.80 × 10⁻⁷</w:t>
            </w:r>
          </w:p>
        </w:tc>
        <w:tc>
          <w:tcPr>
            <w:tcW w:type="dxa" w:w="1680"/>
          </w:tcPr>
          <w:p>
            <w:pPr>
              <w:jc w:val="center"/>
            </w:pPr>
            <w:r>
              <w:rPr>
                <w:rFonts w:ascii="Times New Roman" w:hAnsi="Times New Roman"/>
                <w:b w:val="0"/>
                <w:i w:val="0"/>
                <w:sz w:val="17"/>
              </w:rPr>
              <w:t>7.6 μs</w:t>
            </w:r>
          </w:p>
        </w:tc>
        <w:tc>
          <w:tcPr>
            <w:tcW w:type="dxa" w:w="1680"/>
          </w:tcPr>
          <w:p>
            <w:pPr>
              <w:jc w:val="center"/>
            </w:pPr>
            <w:r>
              <w:rPr>
                <w:rFonts w:ascii="Times New Roman" w:hAnsi="Times New Roman"/>
                <w:b w:val="0"/>
                <w:i w:val="0"/>
                <w:sz w:val="17"/>
              </w:rPr>
              <w:t>~200 μs</w:t>
            </w:r>
          </w:p>
        </w:tc>
      </w:tr>
      <w:tr>
        <w:tc>
          <w:tcPr>
            <w:tcW w:type="dxa" w:w="1680"/>
          </w:tcPr>
          <w:p>
            <w:pPr>
              <w:jc w:val="center"/>
            </w:pPr>
            <w:r>
              <w:rPr>
                <w:rFonts w:ascii="Times New Roman" w:hAnsi="Times New Roman"/>
                <w:b w:val="0"/>
                <w:i w:val="0"/>
                <w:sz w:val="17"/>
              </w:rPr>
              <w:t>LightGBM</w:t>
            </w:r>
          </w:p>
        </w:tc>
        <w:tc>
          <w:tcPr>
            <w:tcW w:type="dxa" w:w="1680"/>
          </w:tcPr>
          <w:p>
            <w:pPr>
              <w:jc w:val="center"/>
            </w:pPr>
            <w:r>
              <w:rPr>
                <w:rFonts w:ascii="Times New Roman" w:hAnsi="Times New Roman"/>
                <w:b w:val="0"/>
                <w:i w:val="0"/>
                <w:sz w:val="17"/>
              </w:rPr>
              <w:t>300</w:t>
            </w:r>
          </w:p>
        </w:tc>
        <w:tc>
          <w:tcPr>
            <w:tcW w:type="dxa" w:w="1680"/>
          </w:tcPr>
          <w:p>
            <w:pPr>
              <w:jc w:val="center"/>
            </w:pPr>
            <w:r>
              <w:rPr>
                <w:rFonts w:ascii="Times New Roman" w:hAnsi="Times New Roman"/>
                <w:b w:val="0"/>
                <w:i w:val="0"/>
                <w:sz w:val="17"/>
              </w:rPr>
              <w:t>7,000</w:t>
            </w:r>
          </w:p>
        </w:tc>
        <w:tc>
          <w:tcPr>
            <w:tcW w:type="dxa" w:w="1680"/>
          </w:tcPr>
          <w:p>
            <w:pPr>
              <w:jc w:val="center"/>
            </w:pPr>
            <w:r>
              <w:rPr>
                <w:rFonts w:ascii="Times New Roman" w:hAnsi="Times New Roman"/>
                <w:b w:val="0"/>
                <w:i w:val="0"/>
                <w:sz w:val="17"/>
              </w:rPr>
              <w:t>1.25 × 10⁻⁹</w:t>
            </w:r>
          </w:p>
        </w:tc>
        <w:tc>
          <w:tcPr>
            <w:tcW w:type="dxa" w:w="1680"/>
          </w:tcPr>
          <w:p>
            <w:pPr>
              <w:jc w:val="center"/>
            </w:pPr>
            <w:r>
              <w:rPr>
                <w:rFonts w:ascii="Times New Roman" w:hAnsi="Times New Roman"/>
                <w:b w:val="0"/>
                <w:i w:val="0"/>
                <w:sz w:val="17"/>
              </w:rPr>
              <w:t>5.1 μs</w:t>
            </w:r>
          </w:p>
        </w:tc>
        <w:tc>
          <w:tcPr>
            <w:tcW w:type="dxa" w:w="1680"/>
          </w:tcPr>
          <w:p>
            <w:pPr>
              <w:jc w:val="center"/>
            </w:pPr>
            <w:r>
              <w:rPr>
                <w:rFonts w:ascii="Times New Roman" w:hAnsi="Times New Roman"/>
                <w:b w:val="0"/>
                <w:i w:val="0"/>
                <w:sz w:val="17"/>
              </w:rPr>
              <w:t>~150 μs</w:t>
            </w:r>
          </w:p>
        </w:tc>
      </w:tr>
      <w:tr>
        <w:tc>
          <w:tcPr>
            <w:tcW w:type="dxa" w:w="1680"/>
          </w:tcPr>
          <w:p>
            <w:pPr>
              <w:jc w:val="center"/>
            </w:pPr>
            <w:r>
              <w:rPr>
                <w:rFonts w:ascii="Times New Roman" w:hAnsi="Times New Roman"/>
                <w:b w:val="0"/>
                <w:i w:val="0"/>
                <w:sz w:val="17"/>
              </w:rPr>
              <w:t>Random Forest</w:t>
            </w:r>
          </w:p>
        </w:tc>
        <w:tc>
          <w:tcPr>
            <w:tcW w:type="dxa" w:w="1680"/>
          </w:tcPr>
          <w:p>
            <w:pPr>
              <w:jc w:val="center"/>
            </w:pPr>
            <w:r>
              <w:rPr>
                <w:rFonts w:ascii="Times New Roman" w:hAnsi="Times New Roman"/>
                <w:b w:val="0"/>
                <w:i w:val="0"/>
                <w:sz w:val="17"/>
              </w:rPr>
              <w:t>300</w:t>
            </w:r>
          </w:p>
        </w:tc>
        <w:tc>
          <w:tcPr>
            <w:tcW w:type="dxa" w:w="1680"/>
          </w:tcPr>
          <w:p>
            <w:pPr>
              <w:jc w:val="center"/>
            </w:pPr>
            <w:r>
              <w:rPr>
                <w:rFonts w:ascii="Times New Roman" w:hAnsi="Times New Roman"/>
                <w:b w:val="0"/>
                <w:i w:val="0"/>
                <w:sz w:val="17"/>
              </w:rPr>
              <w:t>16,064</w:t>
            </w:r>
          </w:p>
        </w:tc>
        <w:tc>
          <w:tcPr>
            <w:tcW w:type="dxa" w:w="1680"/>
          </w:tcPr>
          <w:p>
            <w:pPr>
              <w:jc w:val="center"/>
            </w:pPr>
            <w:r>
              <w:rPr>
                <w:rFonts w:ascii="Times New Roman" w:hAnsi="Times New Roman"/>
                <w:b w:val="0"/>
                <w:i w:val="0"/>
                <w:sz w:val="17"/>
              </w:rPr>
              <w:t>2.04 × 10⁻⁹</w:t>
            </w:r>
          </w:p>
        </w:tc>
        <w:tc>
          <w:tcPr>
            <w:tcW w:type="dxa" w:w="1680"/>
          </w:tcPr>
          <w:p>
            <w:pPr>
              <w:jc w:val="center"/>
            </w:pPr>
            <w:r>
              <w:rPr>
                <w:rFonts w:ascii="Times New Roman" w:hAnsi="Times New Roman"/>
                <w:b w:val="0"/>
                <w:i w:val="0"/>
                <w:sz w:val="17"/>
              </w:rPr>
              <w:t>8.1 μs</w:t>
            </w:r>
          </w:p>
        </w:tc>
        <w:tc>
          <w:tcPr>
            <w:tcW w:type="dxa" w:w="1680"/>
          </w:tcPr>
          <w:p>
            <w:pPr>
              <w:jc w:val="center"/>
            </w:pPr>
            <w:r>
              <w:rPr>
                <w:rFonts w:ascii="Times New Roman" w:hAnsi="Times New Roman"/>
                <w:b w:val="0"/>
                <w:i w:val="0"/>
                <w:sz w:val="17"/>
              </w:rPr>
              <w:t>~250 μs</w:t>
            </w:r>
          </w:p>
        </w:tc>
      </w:tr>
      <w:tr>
        <w:tc>
          <w:tcPr>
            <w:tcW w:type="dxa" w:w="1680"/>
          </w:tcPr>
          <w:p>
            <w:pPr>
              <w:jc w:val="center"/>
            </w:pPr>
            <w:r>
              <w:rPr>
                <w:rFonts w:ascii="Times New Roman" w:hAnsi="Times New Roman"/>
                <w:b w:val="0"/>
                <w:i w:val="0"/>
                <w:sz w:val="17"/>
              </w:rPr>
              <w:t>All three</w:t>
            </w:r>
          </w:p>
        </w:tc>
        <w:tc>
          <w:tcPr>
            <w:tcW w:type="dxa" w:w="1680"/>
          </w:tcPr>
          <w:p>
            <w:pPr>
              <w:jc w:val="center"/>
            </w:pPr>
            <w:r>
              <w:rPr>
                <w:rFonts w:ascii="Times New Roman" w:hAnsi="Times New Roman"/>
                <w:b w:val="0"/>
                <w:i w:val="0"/>
                <w:sz w:val="17"/>
              </w:rPr>
              <w:t>900</w:t>
            </w:r>
          </w:p>
        </w:tc>
        <w:tc>
          <w:tcPr>
            <w:tcW w:type="dxa" w:w="1680"/>
          </w:tcPr>
          <w:p>
            <w:pPr>
              <w:jc w:val="center"/>
            </w:pPr>
            <w:r>
              <w:rPr>
                <w:rFonts w:ascii="Times New Roman" w:hAnsi="Times New Roman"/>
                <w:b w:val="0"/>
                <w:i w:val="0"/>
                <w:sz w:val="17"/>
              </w:rPr>
              <w:t>26,306</w:t>
            </w:r>
          </w:p>
        </w:tc>
        <w:tc>
          <w:tcPr>
            <w:tcW w:type="dxa" w:w="1680"/>
          </w:tcPr>
          <w:p>
            <w:pPr>
              <w:jc w:val="center"/>
            </w:pPr>
            <w:r>
              <w:rPr>
                <w:rFonts w:ascii="Times New Roman" w:hAnsi="Times New Roman"/>
                <w:b w:val="0"/>
                <w:i w:val="0"/>
                <w:sz w:val="17"/>
              </w:rPr>
              <w:t>—</w:t>
            </w:r>
          </w:p>
        </w:tc>
        <w:tc>
          <w:tcPr>
            <w:tcW w:type="dxa" w:w="1680"/>
          </w:tcPr>
          <w:p>
            <w:pPr>
              <w:jc w:val="center"/>
            </w:pPr>
            <w:r>
              <w:rPr>
                <w:rFonts w:ascii="Times New Roman" w:hAnsi="Times New Roman"/>
                <w:b w:val="0"/>
                <w:i w:val="0"/>
                <w:sz w:val="17"/>
              </w:rPr>
              <w:t>20.8 μs</w:t>
            </w:r>
          </w:p>
        </w:tc>
        <w:tc>
          <w:tcPr>
            <w:tcW w:type="dxa" w:w="1680"/>
          </w:tcPr>
          <w:p>
            <w:pPr>
              <w:jc w:val="center"/>
            </w:pPr>
            <w:r>
              <w:rPr>
                <w:rFonts w:ascii="Times New Roman" w:hAnsi="Times New Roman"/>
                <w:b w:val="0"/>
                <w:i w:val="0"/>
                <w:sz w:val="17"/>
              </w:rPr>
              <w:t>~600 μs</w:t>
            </w:r>
          </w:p>
        </w:tc>
      </w:tr>
    </w:tbl>
    <w:p>
      <w:pPr>
        <w:spacing w:after="40"/>
      </w:pPr>
    </w:p>
    <w:p>
      <w:pPr>
        <w:pStyle w:val="Heading1"/>
      </w:pPr>
      <w:r>
        <w:rPr>
          <w:rFonts w:ascii="Times New Roman" w:hAnsi="Times New Roman"/>
        </w:rPr>
        <w:t>V. Discussion</w:t>
      </w:r>
    </w:p>
    <w:p>
      <w:pPr>
        <w:pStyle w:val="Heading2"/>
      </w:pPr>
      <w:r>
        <w:rPr>
          <w:rFonts w:ascii="Times New Roman" w:hAnsi="Times New Roman"/>
        </w:rPr>
        <w:t>A. The SOH-as-lookup-table mechanism</w:t>
      </w:r>
    </w:p>
    <w:p>
      <w:pPr>
        <w:jc w:val="both"/>
      </w:pPr>
      <w:r>
        <w:rPr>
          <w:rFonts w:ascii="Times New Roman" w:hAnsi="Times New Roman"/>
          <w:b w:val="0"/>
          <w:i w:val="0"/>
          <w:sz w:val="20"/>
        </w:rPr>
        <w:t>The central negative result is best understood as a leakage diagnosis rather than a generic failure of transfer learning. SOH is a capacity ratio, and capacity decays with age in both LCO and LFP cells, so SOH values from 1.0 down to 0.8 are traversed by both chemistries. What differs between chemistries is the mapping from SOH to remaining cycles. For LCO under accelerated aging, SOH decay is roughly linear in cycle count; for LFP, the flat voltage plateau decouples voltage-based features from capacity loss, and the SOH-to-horizon relationship is different. A tree that learns “SOH = 0.85 corresponds to about 50 cycles to failure” from LCO data will apply that same mapping to LFP regardless of whether it holds, and the resulting predictions will still correlate with SOH and therefore still rank cells in an order that produces high AUC. The model is not generalizing; it is reusing a key. The SHAP analysis, the GRU's distinct failure mode, and the DeLong significance all converge on this reading.</w:t>
      </w:r>
    </w:p>
    <w:p>
      <w:pPr>
        <w:pStyle w:val="Heading2"/>
      </w:pPr>
      <w:r>
        <w:rPr>
          <w:rFonts w:ascii="Times New Roman" w:hAnsi="Times New Roman"/>
        </w:rPr>
        <w:t>B. Implications for battery management practitioners</w:t>
      </w:r>
    </w:p>
    <w:p>
      <w:pPr>
        <w:jc w:val="both"/>
      </w:pPr>
      <w:r>
        <w:rPr>
          <w:rFonts w:ascii="Times New Roman" w:hAnsi="Times New Roman"/>
          <w:b w:val="0"/>
          <w:i w:val="0"/>
          <w:sz w:val="20"/>
        </w:rPr>
        <w:t>Three actionable implications follow. First, within-chemistry hazard models built only from standard charge and discharge features (voltage, current, temperature, cycle count) are reliable: AUC values of 0.85 and above are achievable with Platt calibration, and the embedded deployment results show that such models fit within the budget of an inexpensive microcontroller. Second, cross-chemistry transfer without chemistry-specific feature engineering is not feasible with the model classes tested here. A BMS deployed across a mixed-chemistry fleet must either train per chemistry or incorporate genuinely chemistry-invariant features such as incremental-capacity or differential-voltage signatures derived from low-rate charge intervals. Third, post-hoc calibration should not be applied under distribution shift without re-validation; a raw discriminative score is a more trustworthy operating signal than a calibrator that has been fit on a different distribution.</w:t>
      </w:r>
    </w:p>
    <w:p>
      <w:pPr>
        <w:pStyle w:val="Heading2"/>
      </w:pPr>
      <w:r>
        <w:rPr>
          <w:rFonts w:ascii="Times New Roman" w:hAnsi="Times New Roman"/>
        </w:rPr>
        <w:t>C. Limitations</w:t>
      </w:r>
    </w:p>
    <w:p>
      <w:pPr>
        <w:jc w:val="both"/>
      </w:pPr>
      <w:r>
        <w:rPr>
          <w:rFonts w:ascii="Times New Roman" w:hAnsi="Times New Roman"/>
          <w:b w:val="0"/>
          <w:i w:val="0"/>
          <w:sz w:val="20"/>
        </w:rPr>
        <w:t>Several limitations bound these conclusions. The Oxford set contains only five cells, which is too small for reliable within-dataset evaluation and limits the precision of the per-cell standard deviation estimate; the 141-cell Severson set is included specifically to mitigate this, and it reproduces every qualitative finding, but the small-Oxford caveat still applies to absolute numbers. The transfer evaluation is unidirectional (LCO training, LFP testing) and may not extend to other chemistry pairs. The GRU is evaluated at a single seed with a deliberately compact architecture; multi-seed runs or larger hidden sizes might reduce the entanglement-driven instability, though the mechanism itself — distributed representations mixing SOH with chemistry-specific signals — would persist. Two CALCE features (temperature and duration) are entirely missing and zero-filled, which is a dataset fingerprint rather than an informative input. Finally, the composite failure label uses fixed thresholds adopted from [1] without chemistry-specific tuning; a sensitivity analysis suggests that ±0.05 in the SOH threshold or ±0.02 in the voltage threshold shifts positive rates by about ±3–5% but cannot account for a 40–60 AUC-point collapse, so the SOH-ablation result holds across threshold choices by magnitude.</w:t>
      </w:r>
    </w:p>
    <w:p>
      <w:pPr>
        <w:pStyle w:val="Heading1"/>
      </w:pPr>
      <w:r>
        <w:rPr>
          <w:rFonts w:ascii="Times New Roman" w:hAnsi="Times New Roman"/>
        </w:rPr>
        <w:t>VI. Conclusion and Future Work</w:t>
      </w:r>
    </w:p>
    <w:p>
      <w:pPr>
        <w:jc w:val="both"/>
      </w:pPr>
      <w:r>
        <w:rPr>
          <w:rFonts w:ascii="Times New Roman" w:hAnsi="Times New Roman"/>
          <w:b w:val="0"/>
          <w:i w:val="0"/>
          <w:sz w:val="20"/>
        </w:rPr>
        <w:t>This study widens a multi-horizon hazard classification framework, originally demonstrated on one model and one dataset, to four model families on two LCO datasets, with cross-chemistry transfer evaluated on two independent LFP targets and with a complete embedded deployment on an ESP32-S3. Three findings stand out. Within LCO, Platt calibration universally outperforms isotonic regression, and the gap is largest on datasets with long-tailed degradation; within-dataset AUC of 0.85–0.95 is a reproducible baseline. Across chemistries, the apparent transfer seen when SOH is retained is an artifact of SOH acting as a chemistry-specific lookup key: removing SOH collapses raw AUC from 0.84–1.00 to 0.33–0.62 on Oxford and to 0.60–0.85 on Severson, with DeLong p-values below 10⁻³⁶, and no tested model class — tree-based or sequence-aware — exceeds chance once SOH is excluded. Post-hoc calibration is itself a third failure mode: isotonic regression systematically destroys AUC under covariate shift by collapsing test scores into shared bins.</w:t>
      </w:r>
    </w:p>
    <w:p>
      <w:pPr>
        <w:jc w:val="both"/>
      </w:pPr>
      <w:r>
        <w:rPr>
          <w:rFonts w:ascii="Times New Roman" w:hAnsi="Times New Roman"/>
          <w:b w:val="0"/>
          <w:i w:val="0"/>
          <w:sz w:val="20"/>
        </w:rPr>
        <w:t>The embedded deployment results complement these findings with a practical positive result. Three tree ensembles totaling 900 trees and 26,306 nodes fit into 372 kB, run on a $12 microcontroller in under a millisecond, and reproduce the Python training libraries to sub-microsecond precision across more than a thousand validation rows. A within-chemistry hazard monitor is therefore deployable today on inexpensive hardware; the open problem is cross-chemistry generalization. Several directions look promising: physics-informed feature engineering through incremental-capacity and differential-voltage analysis, few-shot fine-tuning on early LFP cycles, and domain-adversarial training that explicitly minimizes the distributional distance between chemistry representations. The GRU entanglement result suggests that architecture choice — not only capacity or regularization — is a first-class variable for cross-chemistry transfer, and that feature-isolated learners may be preferable to distributed-representation learners in regimes where leakage features are present.</w:t>
      </w:r>
    </w:p>
    <w:p>
      <w:pPr>
        <w:pStyle w:val="Heading1"/>
      </w:pPr>
      <w:r>
        <w:rPr>
          <w:rFonts w:ascii="Times New Roman" w:hAnsi="Times New Roman"/>
        </w:rPr>
        <w:t>Acknowledgments and Statements</w:t>
      </w:r>
    </w:p>
    <w:p>
      <w:pPr>
        <w:jc w:val="both"/>
      </w:pPr>
      <w:r>
        <w:rPr>
          <w:rFonts w:ascii="Times New Roman" w:hAnsi="Times New Roman"/>
          <w:b w:val="0"/>
          <w:i w:val="0"/>
          <w:sz w:val="20"/>
        </w:rPr>
        <w:t>No external funding was received for this work. The authors declare no conflicts of interest. The complete source code, data processing scripts, trained models, embedded firmware, and validation pipeline are publicly available at https://github.com/touhidsiddiqueeraj-bit/Multi-Horizon-Hazard-Models-for-Battery-Failure-Prediction.</w:t>
      </w:r>
    </w:p>
    <w:p>
      <w:pPr>
        <w:pStyle w:val="Heading1"/>
      </w:pPr>
      <w:r>
        <w:rPr>
          <w:rFonts w:ascii="Times New Roman" w:hAnsi="Times New Roman"/>
        </w:rPr>
        <w:t>References</w:t>
      </w:r>
    </w:p>
    <w:p>
      <w:pPr>
        <w:spacing w:after="40"/>
        <w:ind w:left="360" w:hanging="360"/>
        <w:jc w:val="both"/>
      </w:pPr>
      <w:r>
        <w:rPr>
          <w:rFonts w:ascii="Times New Roman" w:hAnsi="Times New Roman"/>
          <w:b w:val="0"/>
          <w:i w:val="0"/>
          <w:sz w:val="17"/>
        </w:rPr>
        <w:t>[1] T. A. Shikdar and H. Laaksonen, “Learning when not to use a battery: Multihorizon failure intelligence,” International Transactions on Electrical Energy Systems, vol. 36, Art. no. 6000810, 2026. doi: 10.1155/etep/6000810.</w:t>
      </w:r>
    </w:p>
    <w:p>
      <w:pPr>
        <w:spacing w:after="40"/>
        <w:ind w:left="360" w:hanging="360"/>
        <w:jc w:val="both"/>
      </w:pPr>
      <w:r>
        <w:rPr>
          <w:rFonts w:ascii="Times New Roman" w:hAnsi="Times New Roman"/>
          <w:b w:val="0"/>
          <w:i w:val="0"/>
          <w:sz w:val="17"/>
        </w:rPr>
        <w:t>[2] H. Meng and Y. Li, “A review on prognostics and health management (PHM) methods of lithium-ion batteries,” Renewable and Sustainable Energy Reviews, vol. 116, Art. no. 109405, 2019. doi: 10.1016/j.rser.2019.109405.</w:t>
      </w:r>
    </w:p>
    <w:p>
      <w:pPr>
        <w:spacing w:after="40"/>
        <w:ind w:left="360" w:hanging="360"/>
        <w:jc w:val="both"/>
      </w:pPr>
      <w:r>
        <w:rPr>
          <w:rFonts w:ascii="Times New Roman" w:hAnsi="Times New Roman"/>
          <w:b w:val="0"/>
          <w:i w:val="0"/>
          <w:sz w:val="17"/>
        </w:rPr>
        <w:t>[3] L. Breiman, “Random forests,” Machine Learning, vol. 45, no. 1, pp. 5–32, 2001. doi: 10.1023/A:1010933404324.</w:t>
      </w:r>
    </w:p>
    <w:p>
      <w:pPr>
        <w:spacing w:after="40"/>
        <w:ind w:left="360" w:hanging="360"/>
        <w:jc w:val="both"/>
      </w:pPr>
      <w:r>
        <w:rPr>
          <w:rFonts w:ascii="Times New Roman" w:hAnsi="Times New Roman"/>
          <w:b w:val="0"/>
          <w:i w:val="0"/>
          <w:sz w:val="17"/>
        </w:rPr>
        <w:t>[4] T. Chen and C. Guestrin, “XGBoost: A scalable tree boosting system,” in Proc. 22nd ACM SIGKDD Int. Conf. Knowledge Discovery and Data Mining, 2016, pp. 785–794. doi: 10.1145/2939672.2939785.</w:t>
      </w:r>
    </w:p>
    <w:p>
      <w:pPr>
        <w:spacing w:after="40"/>
        <w:ind w:left="360" w:hanging="360"/>
        <w:jc w:val="both"/>
      </w:pPr>
      <w:r>
        <w:rPr>
          <w:rFonts w:ascii="Times New Roman" w:hAnsi="Times New Roman"/>
          <w:b w:val="0"/>
          <w:i w:val="0"/>
          <w:sz w:val="17"/>
        </w:rPr>
        <w:t>[5] G. Ke, Q. Meng, T. Finley, T. Wang, W. Chen, W. Ma, Q. Ye, and T.-Y. Liu, “LightGBM: A highly efficient gradient boosting decision tree,” in Advances in Neural Information Processing Systems, vol. 30, 2017, pp. 3146–3154.</w:t>
      </w:r>
    </w:p>
    <w:p>
      <w:pPr>
        <w:spacing w:after="40"/>
        <w:ind w:left="360" w:hanging="360"/>
        <w:jc w:val="both"/>
      </w:pPr>
      <w:r>
        <w:rPr>
          <w:rFonts w:ascii="Times New Roman" w:hAnsi="Times New Roman"/>
          <w:b w:val="0"/>
          <w:i w:val="0"/>
          <w:sz w:val="17"/>
        </w:rPr>
        <w:t>[6] B. Saha and K. Goebel, “Battery data set,” NASA Ames Prognostics Data Repository, NASA Ames Research Center, Moffett Field, CA, USA, 2007.</w:t>
      </w:r>
    </w:p>
    <w:p>
      <w:pPr>
        <w:spacing w:after="40"/>
        <w:ind w:left="360" w:hanging="360"/>
        <w:jc w:val="both"/>
      </w:pPr>
      <w:r>
        <w:rPr>
          <w:rFonts w:ascii="Times New Roman" w:hAnsi="Times New Roman"/>
          <w:b w:val="0"/>
          <w:i w:val="0"/>
          <w:sz w:val="17"/>
        </w:rPr>
        <w:t>[7] CALCE Battery Research Group, “Battery aging datasets,” Center for Advanced Life Cycle Engineering, University of Maryland, College Park, MD, USA, 2023.</w:t>
      </w:r>
    </w:p>
    <w:p>
      <w:pPr>
        <w:spacing w:after="40"/>
        <w:ind w:left="360" w:hanging="360"/>
        <w:jc w:val="both"/>
      </w:pPr>
      <w:r>
        <w:rPr>
          <w:rFonts w:ascii="Times New Roman" w:hAnsi="Times New Roman"/>
          <w:b w:val="0"/>
          <w:i w:val="0"/>
          <w:sz w:val="17"/>
        </w:rPr>
        <w:t>[8] D. A. Howey and C. R. Birkl, “Oxford battery degradation dataset 1,” Department of Engineering Science, University of Oxford, Oxford, U.K., 2017. [Online]. Available: https://ora.ox.ac.uk/objects/uuid:03ba4b01-cfed-46d3-9b1a-7d4a7bdf6fac</w:t>
      </w:r>
    </w:p>
    <w:p>
      <w:pPr>
        <w:spacing w:after="40"/>
        <w:ind w:left="360" w:hanging="360"/>
        <w:jc w:val="both"/>
      </w:pPr>
      <w:r>
        <w:rPr>
          <w:rFonts w:ascii="Times New Roman" w:hAnsi="Times New Roman"/>
          <w:b w:val="0"/>
          <w:i w:val="0"/>
          <w:sz w:val="17"/>
        </w:rPr>
        <w:t>[9] C. R. Birkl, E. McTurk, M. R. Roberts, P. G. Bruce, and D. A. Howey, “A parametric open circuit voltage model for lithium ion batteries,” Journal of The Electrochemical Society, vol. 162, no. 12, pp. A2271–A2280, 2015. doi: 10.1149/2.0331512jes.</w:t>
      </w:r>
    </w:p>
    <w:p>
      <w:pPr>
        <w:spacing w:after="40"/>
        <w:ind w:left="360" w:hanging="360"/>
        <w:jc w:val="both"/>
      </w:pPr>
      <w:r>
        <w:rPr>
          <w:rFonts w:ascii="Times New Roman" w:hAnsi="Times New Roman"/>
          <w:b w:val="0"/>
          <w:i w:val="0"/>
          <w:sz w:val="17"/>
        </w:rPr>
        <w:t>[10] K. A. Severson, P. M. Attia, N. Jin, N. Perkins, B. Jiang, Z. Yang, M. H. Chen, M. Aykol, P. K. Herring, D. Fraggedakis, M. Z. Bazant, S. J. Harris, W. C. Chueh, and R. D. Braatz, “Data-driven prediction of battery cycle life before capacity degradation,” Nature Energy, vol. 4, no. 5, pp. 383–391, 2019. doi: 10.1038/s41560-019-0356-8.</w:t>
      </w:r>
    </w:p>
    <w:p>
      <w:pPr>
        <w:spacing w:after="40"/>
        <w:ind w:left="360" w:hanging="360"/>
        <w:jc w:val="both"/>
      </w:pPr>
      <w:r>
        <w:rPr>
          <w:rFonts w:ascii="Times New Roman" w:hAnsi="Times New Roman"/>
          <w:b w:val="0"/>
          <w:i w:val="0"/>
          <w:sz w:val="17"/>
        </w:rPr>
        <w:t>[11] S. Sahoo, K. S. Hariharan, S. Agarwal, S. B. Swernath, R. Bharti, S. Han, and S. Lee, “Transfer learning based generalized framework for state of health estimation of Li-ion cells,” Scientific Reports, vol. 12, Art. no. 13173, 2022. doi: 10.1038/s41598-022-16692-4.</w:t>
      </w:r>
    </w:p>
    <w:p>
      <w:pPr>
        <w:spacing w:after="40"/>
        <w:ind w:left="360" w:hanging="360"/>
        <w:jc w:val="both"/>
      </w:pPr>
      <w:r>
        <w:rPr>
          <w:rFonts w:ascii="Times New Roman" w:hAnsi="Times New Roman"/>
          <w:b w:val="0"/>
          <w:i w:val="0"/>
          <w:sz w:val="17"/>
        </w:rPr>
        <w:t>[12] J. Lu, R. Xiong, J. Tian, C. Wang, and F. Sun, “Deep learning to estimate lithium-ion battery state of health without additional degradation experiments,” Nature Communications, vol. 14, Art. no. 2760, 2023. doi: 10.1038/s41467-023-38458-w.</w:t>
      </w:r>
    </w:p>
    <w:p>
      <w:pPr>
        <w:spacing w:after="40"/>
        <w:ind w:left="360" w:hanging="360"/>
        <w:jc w:val="both"/>
      </w:pPr>
      <w:r>
        <w:rPr>
          <w:rFonts w:ascii="Times New Roman" w:hAnsi="Times New Roman"/>
          <w:b w:val="0"/>
          <w:i w:val="0"/>
          <w:sz w:val="17"/>
        </w:rPr>
        <w:t>[13] Y. Choi, S. Ryu, K. Park, and H. Kim, “Machine learning-based lithium-ion battery capacity estimation exploiting multi-channel charging profiles,” IEEE Access, vol. 7, pp. 75143–75152, 2019. doi: 10.1109/ACCESS.2019.2921009.</w:t>
      </w:r>
    </w:p>
    <w:p>
      <w:pPr>
        <w:spacing w:after="40"/>
        <w:ind w:left="360" w:hanging="360"/>
        <w:jc w:val="both"/>
      </w:pPr>
      <w:r>
        <w:rPr>
          <w:rFonts w:ascii="Times New Roman" w:hAnsi="Times New Roman"/>
          <w:b w:val="0"/>
          <w:i w:val="0"/>
          <w:sz w:val="17"/>
        </w:rPr>
        <w:t>[14] J. C. Platt, “Probabilistic outputs for support vector machines and comparisons to regularized likelihood methods,” in Advances in Large Margin Classifiers, A. J. Smola, P. Bartlett, B. Schölkopf, and D. Schuurmans, Eds. Cambridge, MA, USA: MIT Press, 1999, pp. 61–74.</w:t>
      </w:r>
    </w:p>
    <w:p>
      <w:pPr>
        <w:spacing w:after="40"/>
        <w:ind w:left="360" w:hanging="360"/>
        <w:jc w:val="both"/>
      </w:pPr>
      <w:r>
        <w:rPr>
          <w:rFonts w:ascii="Times New Roman" w:hAnsi="Times New Roman"/>
          <w:b w:val="0"/>
          <w:i w:val="0"/>
          <w:sz w:val="17"/>
        </w:rPr>
        <w:t>[15] B. Zadrozny and C. Elkan, “Transforming classifier scores into accurate multiclass probability estimates,” in Proc. 8th ACM SIGKDD Int. Conf. Knowledge Discovery and Data Mining, 2002, pp. 694–699. doi: 10.1145/775047.775151.</w:t>
      </w:r>
    </w:p>
    <w:p>
      <w:pPr>
        <w:spacing w:after="40"/>
        <w:ind w:left="360" w:hanging="360"/>
        <w:jc w:val="both"/>
      </w:pPr>
      <w:r>
        <w:rPr>
          <w:rFonts w:ascii="Times New Roman" w:hAnsi="Times New Roman"/>
          <w:b w:val="0"/>
          <w:i w:val="0"/>
          <w:sz w:val="17"/>
        </w:rPr>
        <w:t>[16] A. Niculescu-Mizil and R. Caruana, “Predicting good probabilities with supervised learning,” in Proc. 22nd Int. Conf. Machine Learning (ICML), 2005, pp. 625–632. doi: 10.1145/1102351.1102430.</w:t>
      </w:r>
    </w:p>
    <w:p>
      <w:pPr>
        <w:spacing w:after="40"/>
        <w:ind w:left="360" w:hanging="360"/>
        <w:jc w:val="both"/>
      </w:pPr>
      <w:r>
        <w:rPr>
          <w:rFonts w:ascii="Times New Roman" w:hAnsi="Times New Roman"/>
          <w:b w:val="0"/>
          <w:i w:val="0"/>
          <w:sz w:val="17"/>
        </w:rPr>
        <w:t>[17] L. Huang, J. Zhao, B. Zhu, H. Chen, and S. K. L. M. v. Broucke, “An experimental investigation of calibration techniques for imbalanced data,” IEEE Access, vol. 8, pp. 127343–127352, 2020. doi: 10.1109/ACCESS.2020.3008150.</w:t>
      </w:r>
    </w:p>
    <w:p>
      <w:pPr>
        <w:spacing w:after="40"/>
        <w:ind w:left="360" w:hanging="360"/>
        <w:jc w:val="both"/>
      </w:pPr>
      <w:r>
        <w:rPr>
          <w:rFonts w:ascii="Times New Roman" w:hAnsi="Times New Roman"/>
          <w:b w:val="0"/>
          <w:i w:val="0"/>
          <w:sz w:val="17"/>
        </w:rPr>
        <w:t>[18] B. Böken, “On the appropriateness of Platt scaling in classifier calibration,” Omega, vol. 100, Art. no. 102259, 2021. doi: 10.1016/j.omega.2019.102259.</w:t>
      </w:r>
    </w:p>
    <w:p>
      <w:pPr>
        <w:spacing w:after="40"/>
        <w:ind w:left="360" w:hanging="360"/>
        <w:jc w:val="both"/>
      </w:pPr>
      <w:r>
        <w:rPr>
          <w:rFonts w:ascii="Times New Roman" w:hAnsi="Times New Roman"/>
          <w:b w:val="0"/>
          <w:i w:val="0"/>
          <w:sz w:val="17"/>
        </w:rPr>
        <w:t>[19] H. Song, M. Perello-Nieto, R. Santos-Rodriguez, M. Kull, and P. Flach, “Classifier calibration: A survey on how to assess and improve predicted class probabilities,” Machine Learning, vol. 113, Art. no. 58, 2024. doi: 10.1007/s10994-023-06336-7.</w:t>
      </w:r>
    </w:p>
    <w:p>
      <w:pPr>
        <w:spacing w:after="40"/>
        <w:ind w:left="360" w:hanging="360"/>
        <w:jc w:val="both"/>
      </w:pPr>
      <w:r>
        <w:rPr>
          <w:rFonts w:ascii="Times New Roman" w:hAnsi="Times New Roman"/>
          <w:b w:val="0"/>
          <w:i w:val="0"/>
          <w:sz w:val="17"/>
        </w:rPr>
        <w:t>[20] E. R. DeLong, D. M. DeLong, and D. L. Clarke-Pearson, “Comparing the areas under two or more correlated receiver operating characteristic curves: A nonparametric approach,” Biometrics, vol. 44, no. 3, pp. 837–845, 1988. doi: 10.2307/2531595.</w:t>
      </w:r>
    </w:p>
    <w:p>
      <w:pPr>
        <w:spacing w:after="40"/>
        <w:ind w:left="360" w:hanging="360"/>
        <w:jc w:val="both"/>
      </w:pPr>
      <w:r>
        <w:rPr>
          <w:rFonts w:ascii="Times New Roman" w:hAnsi="Times New Roman"/>
          <w:b w:val="0"/>
          <w:i w:val="0"/>
          <w:sz w:val="17"/>
        </w:rPr>
        <w:t>[21] S. M. Lundberg, G. G. Erion, H. Chen, A. DeGrave, J. M. Prutkin, B. Nair, R. Katz, J. Himmelfarb, N. Bansal, and S.-I. Lee, “From local explanations to global understanding with explainable AI for trees,” Nature Machine Intelligence, vol. 2, no. 1, pp. 56–67, 2020. doi: 10.1038/s42256-019-0138-9.</w:t>
      </w:r>
    </w:p>
    <w:p>
      <w:pPr>
        <w:spacing w:after="40"/>
        <w:ind w:left="360" w:hanging="360"/>
        <w:jc w:val="both"/>
      </w:pPr>
      <w:r>
        <w:rPr>
          <w:rFonts w:ascii="Times New Roman" w:hAnsi="Times New Roman"/>
          <w:b w:val="0"/>
          <w:i w:val="0"/>
          <w:sz w:val="17"/>
        </w:rPr>
        <w:t>[22] C. Gupta and A. Ramdas, “Online Platt scaling with calibeating,” in Proc. 40th Int. Conf. Machine Learning (ICML), PMLR, vol. 202, 2023, pp. 12182–12204.</w:t>
      </w:r>
    </w:p>
    <w:p>
      <w:pPr>
        <w:spacing w:after="40"/>
        <w:ind w:left="360" w:hanging="360"/>
        <w:jc w:val="both"/>
      </w:pPr>
      <w:r>
        <w:rPr>
          <w:rFonts w:ascii="Times New Roman" w:hAnsi="Times New Roman"/>
          <w:b w:val="0"/>
          <w:i w:val="0"/>
          <w:sz w:val="17"/>
        </w:rPr>
        <w:t>[23] R. S. D. Teixeira, R. F. Calili, M. F. Almeida, and D. R. Louzada, “Recurrent neural networks for estimating the state of health of lithium-ion batteries,” Batteries, vol. 10, no. 3, Art. no. 111, 2024. doi: 10.3390/batteries10030111.</w:t>
      </w:r>
    </w:p>
    <w:p>
      <w:pPr>
        <w:spacing w:after="40"/>
        <w:ind w:left="360" w:hanging="360"/>
        <w:jc w:val="both"/>
      </w:pPr>
      <w:r>
        <w:rPr>
          <w:rFonts w:ascii="Times New Roman" w:hAnsi="Times New Roman"/>
          <w:b w:val="0"/>
          <w:i w:val="0"/>
          <w:sz w:val="17"/>
        </w:rPr>
        <w:t>[24] P. Grzesik and D. Mrozek, “Combining machine learning and edge computing: Opportunities, challenges, platforms, frameworks, and use cases,” Electronics, vol. 13, no. 3, Art. no. 640, 2024. doi: 10.3390/electronics13030640.</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59"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jc w:val="center"/>
      <w:outlineLvl w:val="0"/>
    </w:pPr>
    <w:rPr>
      <w:rFonts w:asciiTheme="majorHAnsi" w:eastAsiaTheme="majorEastAsia" w:hAnsiTheme="majorHAnsi" w:cstheme="majorBidi" w:ascii="Times New Roman" w:hAnsi="Times New Roman"/>
      <w:b/>
      <w:bCs/>
      <w:i w:val="0"/>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200" w:after="60"/>
      <w:jc w:val="left"/>
      <w:outlineLvl w:val="1"/>
    </w:pPr>
    <w:rPr>
      <w:rFonts w:asciiTheme="majorHAnsi" w:eastAsiaTheme="majorEastAsia" w:hAnsiTheme="majorHAnsi" w:cstheme="majorBidi" w:ascii="Times New Roman" w:hAnsi="Times New Roman"/>
      <w:b/>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