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6"/>
        </w:rPr>
        <w:t>Multi-Horizon Hazard Models for Battery Failure Prediction</w:t>
        <w:br/>
        <w:t>Detailed Methodology and Results</w:t>
      </w:r>
    </w:p>
    <w:p>
      <w:pPr>
        <w:jc w:val="both"/>
      </w:pPr>
      <w:r>
        <w:rPr>
          <w:rFonts w:ascii="Times New Roman" w:hAnsi="Times New Roman"/>
          <w:sz w:val="22"/>
        </w:rPr>
        <w:t>This document provides a self-contained, detailed exposition of the methodology and results for the multi-horizon battery hazard classification study. All content is reproducible from the public code repository.</w:t>
      </w:r>
    </w:p>
    <w:p>
      <w:pPr>
        <w:spacing w:before="360" w:after="160"/>
        <w:jc w:val="center"/>
      </w:pPr>
      <w:r>
        <w:rPr>
          <w:rFonts w:ascii="Times New Roman" w:hAnsi="Times New Roman"/>
          <w:b/>
          <w:sz w:val="24"/>
        </w:rPr>
        <w:t>III. METHODOLOGY</w:t>
      </w:r>
    </w:p>
    <w:p>
      <w:pPr>
        <w:spacing w:before="280" w:after="120"/>
      </w:pPr>
      <w:r>
        <w:rPr>
          <w:rFonts w:ascii="Times New Roman" w:hAnsi="Times New Roman"/>
          <w:b/>
          <w:sz w:val="22"/>
        </w:rPr>
        <w:t>A. Composite Failure Label</w:t>
      </w:r>
    </w:p>
    <w:p>
      <w:pPr>
        <w:jc w:val="both"/>
      </w:pPr>
      <w:r>
        <w:rPr>
          <w:rFonts w:ascii="Times New Roman" w:hAnsi="Times New Roman"/>
          <w:sz w:val="22"/>
        </w:rPr>
        <w:t>Following the original protocol [1], a battery cycle is labeled as "failure" if either of two conditions is met: (1) State-of-Health (SOH) falls at or below 0.80 of initial capacity, where SOH is defined as the ratio of current discharge capacity to the mean capacity of the first 10 cycles; or (2) the average discharge voltage drops below 94% of its early-life baseline (first 10 cycles). The second criterion captures impedance-driven degradation where voltage sag precedes measurable capacity fade. Both conditions use the same baseline window, and once triggered, the label remains positive for all subsequent cycles.</w:t>
      </w:r>
    </w:p>
    <w:p>
      <w:pPr>
        <w:jc w:val="both"/>
      </w:pPr>
      <w:r>
        <w:rPr>
          <w:rFonts w:ascii="Times New Roman" w:hAnsi="Times New Roman"/>
          <w:sz w:val="22"/>
        </w:rPr>
        <w:t>SOH at cycle k for cell c is defined as the ratio of discharge capacity at cycle k to the mean capacity over the first 10 cycles:</w:t>
      </w:r>
    </w:p>
    <w:p>
      <w:pPr>
        <w:spacing w:before="120" w:after="120"/>
        <w:jc w:val="center"/>
      </w:pPr>
      <w:r>
        <w:drawing>
          <wp:inline xmlns:a="http://schemas.openxmlformats.org/drawingml/2006/main" xmlns:pic="http://schemas.openxmlformats.org/drawingml/2006/picture">
            <wp:extent cx="4114800" cy="611342"/>
            <wp:docPr id="1" name="Picture 1"/>
            <wp:cNvGraphicFramePr>
              <a:graphicFrameLocks noChangeAspect="1"/>
            </wp:cNvGraphicFramePr>
            <a:graphic>
              <a:graphicData uri="http://schemas.openxmlformats.org/drawingml/2006/picture">
                <pic:pic>
                  <pic:nvPicPr>
                    <pic:cNvPr id="0" name="tmpe8b121sx.png"/>
                    <pic:cNvPicPr/>
                  </pic:nvPicPr>
                  <pic:blipFill>
                    <a:blip r:embed="rId9"/>
                    <a:stretch>
                      <a:fillRect/>
                    </a:stretch>
                  </pic:blipFill>
                  <pic:spPr>
                    <a:xfrm>
                      <a:off x="0" y="0"/>
                      <a:ext cx="4114800" cy="611342"/>
                    </a:xfrm>
                    <a:prstGeom prst="rect"/>
                  </pic:spPr>
                </pic:pic>
              </a:graphicData>
            </a:graphic>
          </wp:inline>
        </w:drawing>
      </w:r>
    </w:p>
    <w:p>
      <w:pPr>
        <w:jc w:val="both"/>
      </w:pPr>
      <w:r>
        <w:rPr>
          <w:rFonts w:ascii="Times New Roman" w:hAnsi="Times New Roman"/>
          <w:sz w:val="22"/>
        </w:rPr>
        <w:t>The voltage-sag baseline is computed analogously over the first 10 cycles:</w:t>
      </w:r>
    </w:p>
    <w:p>
      <w:pPr>
        <w:spacing w:before="120" w:after="120"/>
        <w:jc w:val="center"/>
      </w:pPr>
      <w:r>
        <w:drawing>
          <wp:inline xmlns:a="http://schemas.openxmlformats.org/drawingml/2006/main" xmlns:pic="http://schemas.openxmlformats.org/drawingml/2006/picture">
            <wp:extent cx="4114800" cy="611342"/>
            <wp:docPr id="2" name="Picture 2"/>
            <wp:cNvGraphicFramePr>
              <a:graphicFrameLocks noChangeAspect="1"/>
            </wp:cNvGraphicFramePr>
            <a:graphic>
              <a:graphicData uri="http://schemas.openxmlformats.org/drawingml/2006/picture">
                <pic:pic>
                  <pic:nvPicPr>
                    <pic:cNvPr id="0" name="tmprtt1p9ay.png"/>
                    <pic:cNvPicPr/>
                  </pic:nvPicPr>
                  <pic:blipFill>
                    <a:blip r:embed="rId10"/>
                    <a:stretch>
                      <a:fillRect/>
                    </a:stretch>
                  </pic:blipFill>
                  <pic:spPr>
                    <a:xfrm>
                      <a:off x="0" y="0"/>
                      <a:ext cx="4114800" cy="611342"/>
                    </a:xfrm>
                    <a:prstGeom prst="rect"/>
                  </pic:spPr>
                </pic:pic>
              </a:graphicData>
            </a:graphic>
          </wp:inline>
        </w:drawing>
      </w:r>
    </w:p>
    <w:p>
      <w:pPr>
        <w:jc w:val="both"/>
      </w:pPr>
      <w:r>
        <w:rPr>
          <w:rFonts w:ascii="Times New Roman" w:hAnsi="Times New Roman"/>
          <w:sz w:val="22"/>
        </w:rPr>
        <w:t>For cycle t in cell c with prediction horizon H, the binary failure label y_t^{(c)} is defined as:</w:t>
      </w:r>
    </w:p>
    <w:p>
      <w:pPr>
        <w:spacing w:before="120" w:after="120"/>
        <w:jc w:val="center"/>
      </w:pPr>
      <w:r>
        <w:drawing>
          <wp:inline xmlns:a="http://schemas.openxmlformats.org/drawingml/2006/main" xmlns:pic="http://schemas.openxmlformats.org/drawingml/2006/picture">
            <wp:extent cx="4114800" cy="322610"/>
            <wp:docPr id="3" name="Picture 3"/>
            <wp:cNvGraphicFramePr>
              <a:graphicFrameLocks noChangeAspect="1"/>
            </wp:cNvGraphicFramePr>
            <a:graphic>
              <a:graphicData uri="http://schemas.openxmlformats.org/drawingml/2006/picture">
                <pic:pic>
                  <pic:nvPicPr>
                    <pic:cNvPr id="0" name="tmpfudpyign.png"/>
                    <pic:cNvPicPr/>
                  </pic:nvPicPr>
                  <pic:blipFill>
                    <a:blip r:embed="rId11"/>
                    <a:stretch>
                      <a:fillRect/>
                    </a:stretch>
                  </pic:blipFill>
                  <pic:spPr>
                    <a:xfrm>
                      <a:off x="0" y="0"/>
                      <a:ext cx="4114800" cy="322610"/>
                    </a:xfrm>
                    <a:prstGeom prst="rect"/>
                  </pic:spPr>
                </pic:pic>
              </a:graphicData>
            </a:graphic>
          </wp:inline>
        </w:drawing>
      </w:r>
    </w:p>
    <w:p>
      <w:pPr>
        <w:jc w:val="both"/>
      </w:pPr>
      <w:r>
        <w:rPr>
          <w:rFonts w:ascii="Times New Roman" w:hAnsi="Times New Roman"/>
          <w:sz w:val="22"/>
        </w:rPr>
        <w:t>where 1[.] is the indicator function, yielding y = 1 if any cycle k within the prediction window satisfies either criterion, and y = 0 otherwise.</w:t>
      </w:r>
    </w:p>
    <w:p>
      <w:pPr>
        <w:jc w:val="both"/>
      </w:pPr>
      <w:r>
        <w:rPr>
          <w:rFonts w:ascii="Times New Roman" w:hAnsi="Times New Roman"/>
          <w:sz w:val="22"/>
        </w:rPr>
        <w:t>Once triggered (y = 1), the label remains 1 for all subsequent cycles of that cell. For datasets without voltage data (CALCE lacks discharge-duration logging) or where voltage is always at the cutoff (Oxford LFP's flat 2.7 V plateau), only the SOH criterion applies. Both thresholds are adopted directly from Shikdar &amp; Laaksonen [1] without chemistry-specific tuning to maintain direct comparability. The fixed thresholds produce varying failure rates across datasets: NASA (37 cells, ~1,000 cycles/cell) exhibits moderate imbalance, CALCE (7 cells, 775-1,952 cycles/cell) shows heavily long-tailed degradation with ~92% positive rate, while Oxford and Severson LFP failure patterns depend on cycle-life distribution.</w:t>
      </w:r>
    </w:p>
    <w:p>
      <w:pPr>
        <w:spacing w:before="280" w:after="120"/>
      </w:pPr>
      <w:r>
        <w:rPr>
          <w:rFonts w:ascii="Times New Roman" w:hAnsi="Times New Roman"/>
          <w:b/>
          <w:sz w:val="22"/>
        </w:rPr>
        <w:t>B. Datasets</w:t>
      </w:r>
    </w:p>
    <w:p>
      <w:pPr>
        <w:jc w:val="both"/>
      </w:pPr>
      <w:r>
        <w:rPr>
          <w:rFonts w:ascii="Times New Roman" w:hAnsi="Times New Roman"/>
          <w:sz w:val="22"/>
        </w:rPr>
        <w:t>Four publicly available battery cycling datasets are used, spanning two lithium-ion chemistries (LCO and LFP) with different cycling protocols, cell counts, and degradation characteristics. Table I summarizes the dataset sizes.</w:t>
      </w:r>
    </w:p>
    <w:p>
      <w:pPr>
        <w:spacing w:before="200" w:after="80"/>
        <w:jc w:val="center"/>
      </w:pPr>
      <w:r>
        <w:rPr>
          <w:rFonts w:ascii="Times New Roman" w:hAnsi="Times New Roman"/>
          <w:b/>
          <w:sz w:val="18"/>
        </w:rPr>
        <w:t>TABLE I: DATASET DESCRIPTIVE STATISTICS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Dataset</w:t>
            </w:r>
          </w:p>
        </w:tc>
        <w:tc>
          <w:tcPr>
            <w:tcW w:type="dxa" w:w="2340"/>
          </w:tcPr>
          <w:p>
            <w:r>
              <w:rPr>
                <w:rFonts w:ascii="Times New Roman" w:hAnsi="Times New Roman"/>
                <w:b/>
                <w:sz w:val="18"/>
              </w:rPr>
              <w:t>Cells</w:t>
            </w:r>
          </w:p>
        </w:tc>
        <w:tc>
          <w:tcPr>
            <w:tcW w:type="dxa" w:w="2340"/>
          </w:tcPr>
          <w:p>
            <w:r>
              <w:rPr>
                <w:rFonts w:ascii="Times New Roman" w:hAnsi="Times New Roman"/>
                <w:b/>
                <w:sz w:val="18"/>
              </w:rPr>
              <w:t>Total Cycles</w:t>
            </w:r>
          </w:p>
        </w:tc>
        <w:tc>
          <w:tcPr>
            <w:tcW w:type="dxa" w:w="2340"/>
          </w:tcPr>
          <w:p>
            <w:r>
              <w:rPr>
                <w:rFonts w:ascii="Times New Roman" w:hAnsi="Times New Roman"/>
                <w:b/>
                <w:sz w:val="18"/>
              </w:rPr>
              <w:t>Records</w:t>
            </w:r>
          </w:p>
        </w:tc>
      </w:tr>
      <w:tr>
        <w:tc>
          <w:tcPr>
            <w:tcW w:type="dxa" w:w="2340"/>
          </w:tcPr>
          <w:p>
            <w:r>
              <w:rPr>
                <w:rFonts w:ascii="Times New Roman" w:hAnsi="Times New Roman"/>
                <w:b w:val="0"/>
                <w:sz w:val="18"/>
              </w:rPr>
              <w:t>NASA 18650 [4]</w:t>
            </w:r>
          </w:p>
        </w:tc>
        <w:tc>
          <w:tcPr>
            <w:tcW w:type="dxa" w:w="2340"/>
          </w:tcPr>
          <w:p>
            <w:r>
              <w:rPr>
                <w:rFonts w:ascii="Times New Roman" w:hAnsi="Times New Roman"/>
                <w:b w:val="0"/>
                <w:sz w:val="18"/>
              </w:rPr>
              <w:t>37</w:t>
            </w:r>
          </w:p>
        </w:tc>
        <w:tc>
          <w:tcPr>
            <w:tcW w:type="dxa" w:w="2340"/>
          </w:tcPr>
          <w:p>
            <w:r>
              <w:rPr>
                <w:rFonts w:ascii="Times New Roman" w:hAnsi="Times New Roman"/>
                <w:b w:val="0"/>
                <w:sz w:val="18"/>
              </w:rPr>
              <w:t>1000</w:t>
            </w:r>
          </w:p>
        </w:tc>
        <w:tc>
          <w:tcPr>
            <w:tcW w:type="dxa" w:w="2340"/>
          </w:tcPr>
          <w:p>
            <w:r>
              <w:rPr>
                <w:rFonts w:ascii="Times New Roman" w:hAnsi="Times New Roman"/>
                <w:b w:val="0"/>
                <w:sz w:val="18"/>
              </w:rPr>
              <w:t>32</w:t>
            </w:r>
          </w:p>
        </w:tc>
      </w:tr>
      <w:tr>
        <w:tc>
          <w:tcPr>
            <w:tcW w:type="dxa" w:w="2340"/>
          </w:tcPr>
          <w:p>
            <w:r>
              <w:rPr>
                <w:rFonts w:ascii="Times New Roman" w:hAnsi="Times New Roman"/>
                <w:b w:val="0"/>
                <w:sz w:val="18"/>
              </w:rPr>
              <w:t>CALCE LCO/CX2 [5]</w:t>
            </w:r>
          </w:p>
        </w:tc>
        <w:tc>
          <w:tcPr>
            <w:tcW w:type="dxa" w:w="2340"/>
          </w:tcPr>
          <w:p>
            <w:r>
              <w:rPr>
                <w:rFonts w:ascii="Times New Roman" w:hAnsi="Times New Roman"/>
                <w:b w:val="0"/>
                <w:sz w:val="18"/>
              </w:rPr>
              <w:t>7</w:t>
            </w:r>
          </w:p>
        </w:tc>
        <w:tc>
          <w:tcPr>
            <w:tcW w:type="dxa" w:w="2340"/>
          </w:tcPr>
          <w:p>
            <w:r>
              <w:rPr>
                <w:rFonts w:ascii="Times New Roman" w:hAnsi="Times New Roman"/>
                <w:b w:val="0"/>
                <w:sz w:val="18"/>
              </w:rPr>
              <w:t>8733</w:t>
            </w:r>
          </w:p>
        </w:tc>
        <w:tc>
          <w:tcPr>
            <w:tcW w:type="dxa" w:w="2340"/>
          </w:tcPr>
          <w:p>
            <w:r>
              <w:rPr>
                <w:rFonts w:ascii="Times New Roman" w:hAnsi="Times New Roman"/>
                <w:b w:val="0"/>
                <w:sz w:val="18"/>
              </w:rPr>
              <w:t>32</w:t>
            </w:r>
          </w:p>
        </w:tc>
      </w:tr>
      <w:tr>
        <w:tc>
          <w:tcPr>
            <w:tcW w:type="dxa" w:w="2340"/>
          </w:tcPr>
          <w:p>
            <w:r>
              <w:rPr>
                <w:rFonts w:ascii="Times New Roman" w:hAnsi="Times New Roman"/>
                <w:b w:val="0"/>
                <w:sz w:val="18"/>
              </w:rPr>
              <w:t>Oxford LFP [6]</w:t>
            </w:r>
          </w:p>
        </w:tc>
        <w:tc>
          <w:tcPr>
            <w:tcW w:type="dxa" w:w="2340"/>
          </w:tcPr>
          <w:p>
            <w:r>
              <w:rPr>
                <w:rFonts w:ascii="Times New Roman" w:hAnsi="Times New Roman"/>
                <w:b w:val="0"/>
                <w:sz w:val="18"/>
              </w:rPr>
              <w:t>5</w:t>
            </w:r>
          </w:p>
        </w:tc>
        <w:tc>
          <w:tcPr>
            <w:tcW w:type="dxa" w:w="2340"/>
          </w:tcPr>
          <w:p>
            <w:r>
              <w:rPr>
                <w:rFonts w:ascii="Times New Roman" w:hAnsi="Times New Roman"/>
                <w:b w:val="0"/>
                <w:sz w:val="18"/>
              </w:rPr>
              <w:t>287</w:t>
            </w:r>
          </w:p>
        </w:tc>
        <w:tc>
          <w:tcPr>
            <w:tcW w:type="dxa" w:w="2340"/>
          </w:tcPr>
          <w:p>
            <w:r>
              <w:rPr>
                <w:rFonts w:ascii="Times New Roman" w:hAnsi="Times New Roman"/>
                <w:b w:val="0"/>
                <w:sz w:val="18"/>
              </w:rPr>
              <w:t>192</w:t>
            </w:r>
          </w:p>
        </w:tc>
      </w:tr>
      <w:tr>
        <w:tc>
          <w:tcPr>
            <w:tcW w:type="dxa" w:w="2340"/>
          </w:tcPr>
          <w:p>
            <w:r>
              <w:rPr>
                <w:rFonts w:ascii="Times New Roman" w:hAnsi="Times New Roman"/>
                <w:b w:val="0"/>
                <w:sz w:val="18"/>
              </w:rPr>
              <w:t>Severson LFP [8]</w:t>
            </w:r>
          </w:p>
        </w:tc>
        <w:tc>
          <w:tcPr>
            <w:tcW w:type="dxa" w:w="2340"/>
          </w:tcPr>
          <w:p>
            <w:r>
              <w:rPr>
                <w:rFonts w:ascii="Times New Roman" w:hAnsi="Times New Roman"/>
                <w:b w:val="0"/>
                <w:sz w:val="18"/>
              </w:rPr>
              <w:t>141</w:t>
            </w:r>
          </w:p>
        </w:tc>
        <w:tc>
          <w:tcPr>
            <w:tcW w:type="dxa" w:w="2340"/>
          </w:tcPr>
          <w:p>
            <w:r>
              <w:rPr>
                <w:rFonts w:ascii="Times New Roman" w:hAnsi="Times New Roman"/>
                <w:b w:val="0"/>
                <w:sz w:val="18"/>
              </w:rPr>
              <w:t>117000</w:t>
            </w:r>
          </w:p>
        </w:tc>
        <w:tc>
          <w:tcPr>
            <w:tcW w:type="dxa" w:w="2340"/>
          </w:tcPr>
          <w:p>
            <w:r>
              <w:rPr>
                <w:rFonts w:ascii="Times New Roman" w:hAnsi="Times New Roman"/>
                <w:b w:val="0"/>
                <w:sz w:val="18"/>
              </w:rPr>
              <w:t>192</w:t>
            </w:r>
          </w:p>
        </w:tc>
      </w:tr>
    </w:tbl>
    <w:p>
      <w:pPr>
        <w:jc w:val="both"/>
      </w:pPr>
      <w:r>
        <w:rPr>
          <w:rFonts w:ascii="Times New Roman" w:hAnsi="Times New Roman"/>
          <w:sz w:val="22"/>
        </w:rPr>
        <w:t>The NASA 18650 dataset [4] consists of 37 LCO cells (2.0 Ah rated capacity) aged under random-walk charge/discharge profiles at room temperature. Cells exhibit diverse degradation trajectories with approximately 1,000 cycles each. The CALCE LCO/CX2 dataset [5] contains 7 LCO cells (CS2_33-36, CX2_36-38) cycled at constant 1C charge/1C discharge to 80% SOH, yielding 8,733 total cycles with slow, uniform degradation spanning 775-1,952 cycles per cell. CALCE lacks temperature and discharge-duration measurements.</w:t>
      </w:r>
    </w:p>
    <w:p>
      <w:pPr>
        <w:jc w:val="both"/>
      </w:pPr>
      <w:r>
        <w:rPr>
          <w:rFonts w:ascii="Times New Roman" w:hAnsi="Times New Roman"/>
          <w:sz w:val="22"/>
        </w:rPr>
        <w:t>Two LFP datasets serve as cross-chemistry transfer targets. The Oxford LFP dataset [6] contains 5 LFP pouch cells (2.3 Ah) cycled at 1C/1C under controlled temperature (40 C) and pressure, providing 300-500 cycles per cell with measurements recorded at approximately 100-cycle intervals. The MIT-Stanford Severson dataset [8] contains 141 LFP cells aged under a fast-charging protocol (variable charge rates, 4C discharge rate) spanning 534-2,237 cycles per cell (approximately 117,000 total cycles across four experimental batches), providing a substantially larger and more diverse LFP test set.</w:t>
      </w:r>
    </w:p>
    <w:p>
      <w:pPr>
        <w:spacing w:before="200" w:after="80"/>
        <w:jc w:val="center"/>
      </w:pPr>
      <w:r>
        <w:rPr>
          <w:rFonts w:ascii="Times New Roman" w:hAnsi="Times New Roman"/>
          <w:b/>
          <w:sz w:val="18"/>
        </w:rPr>
        <w:t>TABLE II: FEATURE AVAILABILITY PER DATASET</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18"/>
              </w:rPr>
              <w:t>Dataset</w:t>
            </w:r>
          </w:p>
        </w:tc>
        <w:tc>
          <w:tcPr>
            <w:tcW w:type="dxa" w:w="1170"/>
          </w:tcPr>
          <w:p>
            <w:r>
              <w:rPr>
                <w:rFonts w:ascii="Times New Roman" w:hAnsi="Times New Roman"/>
                <w:b/>
                <w:sz w:val="18"/>
              </w:rPr>
              <w:t>Cycle</w:t>
            </w:r>
          </w:p>
        </w:tc>
        <w:tc>
          <w:tcPr>
            <w:tcW w:type="dxa" w:w="1170"/>
          </w:tcPr>
          <w:p>
            <w:r>
              <w:rPr>
                <w:rFonts w:ascii="Times New Roman" w:hAnsi="Times New Roman"/>
                <w:b/>
                <w:sz w:val="18"/>
              </w:rPr>
              <w:t>Avg V</w:t>
            </w:r>
          </w:p>
        </w:tc>
        <w:tc>
          <w:tcPr>
            <w:tcW w:type="dxa" w:w="1170"/>
          </w:tcPr>
          <w:p>
            <w:r>
              <w:rPr>
                <w:rFonts w:ascii="Times New Roman" w:hAnsi="Times New Roman"/>
                <w:b/>
                <w:sz w:val="18"/>
              </w:rPr>
              <w:t>Min V</w:t>
            </w:r>
          </w:p>
        </w:tc>
        <w:tc>
          <w:tcPr>
            <w:tcW w:type="dxa" w:w="1170"/>
          </w:tcPr>
          <w:p>
            <w:r>
              <w:rPr>
                <w:rFonts w:ascii="Times New Roman" w:hAnsi="Times New Roman"/>
                <w:b/>
                <w:sz w:val="18"/>
              </w:rPr>
              <w:t>Avg I</w:t>
            </w:r>
          </w:p>
        </w:tc>
        <w:tc>
          <w:tcPr>
            <w:tcW w:type="dxa" w:w="1170"/>
          </w:tcPr>
          <w:p>
            <w:r>
              <w:rPr>
                <w:rFonts w:ascii="Times New Roman" w:hAnsi="Times New Roman"/>
                <w:b/>
                <w:sz w:val="18"/>
              </w:rPr>
              <w:t>Avg T</w:t>
            </w:r>
          </w:p>
        </w:tc>
        <w:tc>
          <w:tcPr>
            <w:tcW w:type="dxa" w:w="1170"/>
          </w:tcPr>
          <w:p>
            <w:r>
              <w:rPr>
                <w:rFonts w:ascii="Times New Roman" w:hAnsi="Times New Roman"/>
                <w:b/>
                <w:sz w:val="18"/>
              </w:rPr>
              <w:t>Duration</w:t>
            </w:r>
          </w:p>
        </w:tc>
        <w:tc>
          <w:tcPr>
            <w:tcW w:type="dxa" w:w="1170"/>
          </w:tcPr>
          <w:p>
            <w:r>
              <w:rPr>
                <w:rFonts w:ascii="Times New Roman" w:hAnsi="Times New Roman"/>
                <w:b/>
                <w:sz w:val="18"/>
              </w:rPr>
              <w:t>SOH</w:t>
            </w:r>
          </w:p>
        </w:tc>
      </w:tr>
      <w:tr>
        <w:tc>
          <w:tcPr>
            <w:tcW w:type="dxa" w:w="1170"/>
          </w:tcPr>
          <w:p>
            <w:r>
              <w:rPr>
                <w:rFonts w:ascii="Times New Roman" w:hAnsi="Times New Roman"/>
                <w:b w:val="0"/>
                <w:sz w:val="18"/>
              </w:rPr>
              <w:t>NASA 18650 [4]</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CALCE LCO/CX2 [5]</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Oxford LFP [6]</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Severson LFP [8]</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c>
          <w:tcPr>
            <w:tcW w:type="dxa" w:w="1170"/>
          </w:tcPr>
          <w:p>
            <w:r>
              <w:rPr>
                <w:rFonts w:ascii="Times New Roman" w:hAnsi="Times New Roman"/>
                <w:b w:val="0"/>
                <w:sz w:val="18"/>
              </w:rPr>
              <w:t>✓</w:t>
            </w:r>
          </w:p>
        </w:tc>
      </w:tr>
    </w:tbl>
    <w:p>
      <w:pPr>
        <w:jc w:val="both"/>
      </w:pPr>
      <w:r>
        <w:rPr>
          <w:rFonts w:ascii="Times New Roman" w:hAnsi="Times New Roman"/>
          <w:sz w:val="22"/>
        </w:rPr>
        <w:t>Table II shows which features are available per dataset. The CALCE dataset has entirely missing temperature and discharge-duration columns; these are filled with zeros. Because these features are constant across all CALCE rows, tree-based models cannot form informative splits on them. However, they act as a trivial dataset fingerprint for cross-chemistry evaluation: any model trained on non-CALCE data sees zero-inflated features when evaluated on CALCE test rows. Since cross-chemistry evaluation always tests on LFP targets (Oxford or Severson) where all features are populated, this artifact does not affect the reported cross-chemistry results.</w:t>
      </w:r>
    </w:p>
    <w:p>
      <w:pPr>
        <w:spacing w:before="280" w:after="120"/>
      </w:pPr>
      <w:r>
        <w:rPr>
          <w:rFonts w:ascii="Times New Roman" w:hAnsi="Times New Roman"/>
          <w:b/>
          <w:sz w:val="22"/>
        </w:rPr>
        <w:t>C. Features and Preprocessing</w:t>
      </w:r>
    </w:p>
    <w:p>
      <w:pPr>
        <w:jc w:val="both"/>
      </w:pPr>
      <w:r>
        <w:rPr>
          <w:rFonts w:ascii="Times New Roman" w:hAnsi="Times New Roman"/>
          <w:sz w:val="22"/>
        </w:rPr>
        <w:t>All models use per-cycle features: cycle number, average discharge voltage, minimum discharge voltage, average discharge current, average temperature, discharge duration, and SOH. Features are used as-is without scaling or normalization, as tree-based models are invariant to monotonic transformations. Missing values in CALCE (average temperature and discharge duration) are filled with zero. This zero-fill is physically meaningless (0 C average temperature, 0 s discharge duration) but constant across all CALCE rows, so tree-based models cannot exploit these features for within-dataset splits.</w:t>
      </w:r>
    </w:p>
    <w:p>
      <w:pPr>
        <w:jc w:val="both"/>
      </w:pPr>
      <w:r>
        <w:rPr>
          <w:rFonts w:ascii="Times New Roman" w:hAnsi="Times New Roman"/>
          <w:sz w:val="22"/>
        </w:rPr>
        <w:t>For cross-chemistry evaluation, two feature configurations are tested: with SOH (all seven features) and without SOH (six features, excluding SOH). The without-SOH condition tests whether the remaining features carry chemistry-agnostic degradation signal. The GRU receives a reduced feature set for cross-chemistry experiments: cycle number, average voltage, minimum voltage, and SOH (when available). Average current (unit mismatch: A vs mA across datasets), average temperature, and discharge duration are excluded to avoid spurious discriminative signals from zero-filled CALCE features.</w:t>
      </w:r>
    </w:p>
    <w:p>
      <w:pPr>
        <w:spacing w:before="280" w:after="120"/>
      </w:pPr>
      <w:r>
        <w:rPr>
          <w:rFonts w:ascii="Times New Roman" w:hAnsi="Times New Roman"/>
          <w:b/>
          <w:sz w:val="22"/>
        </w:rPr>
        <w:t>D. Models and Hyperparameters</w:t>
      </w:r>
    </w:p>
    <w:p>
      <w:pPr>
        <w:jc w:val="both"/>
      </w:pPr>
      <w:r>
        <w:rPr>
          <w:rFonts w:ascii="Times New Roman" w:hAnsi="Times New Roman"/>
          <w:sz w:val="22"/>
        </w:rPr>
        <w:t>Three tree-based classifiers are compared: XGBoost (max_depth=4, n_estimators=300, learning_rate=0.05, subsample=0.8, colsample_bytree=0.8), LightGBM (max_depth=4, n_estimators=300, learning_rate=0.05, subsample=0.8, colsample_bytree=0.8), and Random Forest (max_depth=6, n_estimators=300, max_samples=0.8). All tree models use default class weighting and random_state=42 for deterministic replication. Hyperparameters are matched to the original study [1] where applicable; no dataset-specific tuning is performed.</w:t>
      </w:r>
    </w:p>
    <w:p>
      <w:pPr>
        <w:spacing w:before="280" w:after="120"/>
      </w:pPr>
      <w:r>
        <w:rPr>
          <w:rFonts w:ascii="Times New Roman" w:hAnsi="Times New Roman"/>
          <w:b/>
          <w:sz w:val="22"/>
        </w:rPr>
        <w:t>E. Gated Recurrent Unit Sequence Classifier</w:t>
      </w:r>
    </w:p>
    <w:p>
      <w:pPr>
        <w:jc w:val="both"/>
      </w:pPr>
      <w:r>
        <w:rPr>
          <w:rFonts w:ascii="Times New Roman" w:hAnsi="Times New Roman"/>
          <w:sz w:val="22"/>
        </w:rPr>
        <w:t>A GRU classifier with a single hidden layer of 8 units processes a sliding temporal window of W = 10 consecutive cycles per cell. The input is a 10 x f matrix (f features) processed sequentially; after the final timestep, the hidden state h_W passes through a linear layer with sigmoid activation to produce a failure probability. The architecture is deliberately compact to prevent overfitting given the limited number of training cells (7-37). Binary cross-entropy loss with inverse-frequency class weighting (pos_weight = n_neg / n_pos) addresses class imbalance. The Adam optimizer (learning_rate = 0.005) with early stopping (patience = 10) is used.</w:t>
      </w:r>
    </w:p>
    <w:p>
      <w:pPr>
        <w:jc w:val="both"/>
      </w:pPr>
      <w:r>
        <w:rPr>
          <w:rFonts w:ascii="Times New Roman" w:hAnsi="Times New Roman"/>
          <w:sz w:val="22"/>
        </w:rPr>
        <w:t>A single seed (seed=0) is used for GRU experiments. The observed per-configuration AUC instability (range 0.011-0.986 across training configurations, horizons, and SOH conditions) is itself an informative result: it reflects distributed hidden-state entanglement under covariate shift, demonstrating that single-seed recurrent models are unreliable for cross-chemistry evaluation. Multi-seed analysis is deferred to future work. Tree-based models show no such instability (AUC standard deviation &lt; 0.01 across identical repeats).</w:t>
      </w:r>
    </w:p>
    <w:p>
      <w:pPr>
        <w:spacing w:before="280" w:after="120"/>
      </w:pPr>
      <w:r>
        <w:rPr>
          <w:rFonts w:ascii="Times New Roman" w:hAnsi="Times New Roman"/>
          <w:b/>
          <w:sz w:val="22"/>
        </w:rPr>
        <w:t>F. Calibration</w:t>
      </w:r>
    </w:p>
    <w:p>
      <w:pPr>
        <w:jc w:val="both"/>
      </w:pPr>
      <w:r>
        <w:rPr>
          <w:rFonts w:ascii="Times New Roman" w:hAnsi="Times New Roman"/>
          <w:sz w:val="22"/>
        </w:rPr>
        <w:t>Two post-hoc calibration methods are compared. Platt (sigmoid) scaling fits a logistic regression model to the classifier's raw scores on the calibration set:</w:t>
      </w:r>
    </w:p>
    <w:p>
      <w:pPr>
        <w:spacing w:before="120" w:after="120"/>
        <w:jc w:val="center"/>
      </w:pPr>
      <w:r>
        <w:drawing>
          <wp:inline xmlns:a="http://schemas.openxmlformats.org/drawingml/2006/main" xmlns:pic="http://schemas.openxmlformats.org/drawingml/2006/picture">
            <wp:extent cx="4114800" cy="415399"/>
            <wp:docPr id="4" name="Picture 4"/>
            <wp:cNvGraphicFramePr>
              <a:graphicFrameLocks noChangeAspect="1"/>
            </wp:cNvGraphicFramePr>
            <a:graphic>
              <a:graphicData uri="http://schemas.openxmlformats.org/drawingml/2006/picture">
                <pic:pic>
                  <pic:nvPicPr>
                    <pic:cNvPr id="0" name="tmpd11mc_9q.png"/>
                    <pic:cNvPicPr/>
                  </pic:nvPicPr>
                  <pic:blipFill>
                    <a:blip r:embed="rId12"/>
                    <a:stretch>
                      <a:fillRect/>
                    </a:stretch>
                  </pic:blipFill>
                  <pic:spPr>
                    <a:xfrm>
                      <a:off x="0" y="0"/>
                      <a:ext cx="4114800" cy="415399"/>
                    </a:xfrm>
                    <a:prstGeom prst="rect"/>
                  </pic:spPr>
                </pic:pic>
              </a:graphicData>
            </a:graphic>
          </wp:inline>
        </w:drawing>
      </w:r>
    </w:p>
    <w:p>
      <w:pPr>
        <w:jc w:val="both"/>
      </w:pPr>
      <w:r>
        <w:rPr>
          <w:rFonts w:ascii="Times New Roman" w:hAnsi="Times New Roman"/>
          <w:sz w:val="22"/>
        </w:rPr>
        <w:t>where s(x) is the model's raw score and a, b are learned parameters. Logistic regression uses high regularization (C = 1e10). Isotonic regression [2] fits a non-decreasing step function via the pool-adjacent-violators (PAV) algorithm, making no parametric assumption about the calibration mapping shape.</w:t>
      </w:r>
    </w:p>
    <w:p>
      <w:pPr>
        <w:jc w:val="both"/>
      </w:pPr>
      <w:r>
        <w:rPr>
          <w:rFonts w:ascii="Times New Roman" w:hAnsi="Times New Roman"/>
          <w:sz w:val="22"/>
        </w:rPr>
        <w:t>Neither method uses CalibratedClassifierCV, which would create a 3-model ensemble and conflate ensembling effects with calibration quality. Both calibrators are applied to the training-fold scores rather than a held-out calibration set; they share the same underlying classifier outputs, so the comparison between them is fair. However, absolute calibrated metrics (particularly Brier scores) may be optimistic relative to a held-out calibration procedure. Performance is measured by both AUC (discrimination) and Brier score (calibration + discrimination):</w:t>
      </w:r>
    </w:p>
    <w:p>
      <w:pPr>
        <w:spacing w:before="120" w:after="120"/>
        <w:jc w:val="center"/>
      </w:pPr>
      <w:r>
        <w:drawing>
          <wp:inline xmlns:a="http://schemas.openxmlformats.org/drawingml/2006/main" xmlns:pic="http://schemas.openxmlformats.org/drawingml/2006/picture">
            <wp:extent cx="4114800" cy="611342"/>
            <wp:docPr id="5" name="Picture 5"/>
            <wp:cNvGraphicFramePr>
              <a:graphicFrameLocks noChangeAspect="1"/>
            </wp:cNvGraphicFramePr>
            <a:graphic>
              <a:graphicData uri="http://schemas.openxmlformats.org/drawingml/2006/picture">
                <pic:pic>
                  <pic:nvPicPr>
                    <pic:cNvPr id="0" name="tmpwg8v10hi.png"/>
                    <pic:cNvPicPr/>
                  </pic:nvPicPr>
                  <pic:blipFill>
                    <a:blip r:embed="rId13"/>
                    <a:stretch>
                      <a:fillRect/>
                    </a:stretch>
                  </pic:blipFill>
                  <pic:spPr>
                    <a:xfrm>
                      <a:off x="0" y="0"/>
                      <a:ext cx="4114800" cy="611342"/>
                    </a:xfrm>
                    <a:prstGeom prst="rect"/>
                  </pic:spPr>
                </pic:pic>
              </a:graphicData>
            </a:graphic>
          </wp:inline>
        </w:drawing>
      </w:r>
    </w:p>
    <w:p>
      <w:pPr>
        <w:jc w:val="both"/>
      </w:pPr>
      <w:r>
        <w:rPr>
          <w:rFonts w:ascii="Times New Roman" w:hAnsi="Times New Roman"/>
          <w:sz w:val="22"/>
        </w:rPr>
        <w:t>where p_i is the calibrated probability and y_i is the true binary label.</w:t>
      </w:r>
    </w:p>
    <w:p>
      <w:pPr>
        <w:jc w:val="both"/>
      </w:pPr>
      <w:r>
        <w:rPr>
          <w:rFonts w:ascii="Times New Roman" w:hAnsi="Times New Roman"/>
          <w:sz w:val="22"/>
        </w:rPr>
        <w:t>For each (dataset, model, horizon) configuration, we select the calibration method (Platt or isotonic) yielding the higher mean AUC. For cross-chemistry comparisons, raw (uncalibrated) AUC is the primary metric because post-hoc calibration under distribution shift is unreliable.</w:t>
      </w:r>
    </w:p>
    <w:p>
      <w:pPr>
        <w:spacing w:before="280" w:after="120"/>
      </w:pPr>
      <w:r>
        <w:rPr>
          <w:rFonts w:ascii="Times New Roman" w:hAnsi="Times New Roman"/>
          <w:b/>
          <w:sz w:val="22"/>
        </w:rPr>
        <w:t>G. Cross-Chemistry Transfer Protocol</w:t>
      </w:r>
    </w:p>
    <w:p>
      <w:pPr>
        <w:jc w:val="both"/>
      </w:pPr>
      <w:r>
        <w:rPr>
          <w:rFonts w:ascii="Times New Roman" w:hAnsi="Times New Roman"/>
          <w:sz w:val="22"/>
        </w:rPr>
        <w:t>Cross-chemistry transfer experiments test whether models trained on LCO data generalize to LFP. Models are trained on all cycles from one or more LCO training datasets and evaluated on all cycles from an LFP target dataset. Three training configurations are compared: NASA only (37 LCO cells), CALCE only (7 LCO cells), and ALL (NASA + CALCE, 44 LCO cells). Each configuration is tested with and without SOH as a feature. Two LFP test targets are used: Oxford (5 cells, standard 1C/1C protocol) and MIT-Stanford Severson (141 cells, variable-rate fast-charging protocol). Including two LFP targets with different cycling protocols and cell counts (5 vs 141) tests the robustness of the cross-chemistry findings.</w:t>
      </w:r>
    </w:p>
    <w:p>
      <w:pPr>
        <w:jc w:val="both"/>
      </w:pPr>
      <w:r>
        <w:rPr>
          <w:rFonts w:ascii="Times New Roman" w:hAnsi="Times New Roman"/>
          <w:sz w:val="22"/>
        </w:rPr>
        <w:t>Per-cell evaluation is used: models are trained on all LCO cells and evaluated independently on each LFP cell. AUC and Brier scores are computed per cell and reported as mean across cells. This provides a measure of how consistently the model's discriminative ability holds across individual LFP cells, unlike a single pooled evaluation which conflates within-cell ranking with between-cell differences.</w:t>
      </w:r>
    </w:p>
    <w:p>
      <w:pPr>
        <w:spacing w:before="280" w:after="120"/>
      </w:pPr>
      <w:r>
        <w:rPr>
          <w:rFonts w:ascii="Times New Roman" w:hAnsi="Times New Roman"/>
          <w:b/>
          <w:sz w:val="22"/>
        </w:rPr>
        <w:t>H. Evaluation Protocol</w:t>
      </w:r>
    </w:p>
    <w:p>
      <w:pPr>
        <w:jc w:val="both"/>
      </w:pPr>
      <w:r>
        <w:rPr>
          <w:rFonts w:ascii="Times New Roman" w:hAnsi="Times New Roman"/>
          <w:sz w:val="22"/>
        </w:rPr>
        <w:t>Within-dataset evaluation uses 5-fold GroupKFold stratified by cell: all cycles from a given cell belong to the same fold, ensuring generalization is measured across unseen cells rather than unseen cycles. Four prediction horizons H  in {10, 20, 30, 50} are tested, where the label for cycle t is positive if the battery fails within [t, t+H). Models are retrained from scratch for each horizon. Metrics are reported as means across folds. The best calibration method per (dataset, model) pair is selected by mean AUC.</w:t>
      </w:r>
    </w:p>
    <w:p>
      <w:pPr>
        <w:spacing w:before="120" w:after="120"/>
        <w:jc w:val="center"/>
      </w:pPr>
      <w:r>
        <w:drawing>
          <wp:inline xmlns:a="http://schemas.openxmlformats.org/drawingml/2006/main" xmlns:pic="http://schemas.openxmlformats.org/drawingml/2006/picture">
            <wp:extent cx="4114800" cy="467248"/>
            <wp:docPr id="6" name="Picture 6"/>
            <wp:cNvGraphicFramePr>
              <a:graphicFrameLocks noChangeAspect="1"/>
            </wp:cNvGraphicFramePr>
            <a:graphic>
              <a:graphicData uri="http://schemas.openxmlformats.org/drawingml/2006/picture">
                <pic:pic>
                  <pic:nvPicPr>
                    <pic:cNvPr id="0" name="tmpvlw_tkf3.png"/>
                    <pic:cNvPicPr/>
                  </pic:nvPicPr>
                  <pic:blipFill>
                    <a:blip r:embed="rId14"/>
                    <a:stretch>
                      <a:fillRect/>
                    </a:stretch>
                  </pic:blipFill>
                  <pic:spPr>
                    <a:xfrm>
                      <a:off x="0" y="0"/>
                      <a:ext cx="4114800" cy="467248"/>
                    </a:xfrm>
                    <a:prstGeom prst="rect"/>
                  </pic:spPr>
                </pic:pic>
              </a:graphicData>
            </a:graphic>
          </wp:inline>
        </w:drawing>
      </w:r>
    </w:p>
    <w:p>
      <w:pPr>
        <w:jc w:val="both"/>
      </w:pPr>
      <w:r>
        <w:rPr>
          <w:rFonts w:ascii="Times New Roman" w:hAnsi="Times New Roman"/>
          <w:sz w:val="22"/>
        </w:rPr>
        <w:t>AUC is interpreted as the probability that a randomly chosen positive sample receives a higher score than a randomly chosen negative sample. The DeLong nonparametric test [16] is used to assess whether AUC differences between paired conditions (e.g., with-SOH vs without-SOH) are statistically significant. The DeLong z-statistic is computed from the empirical covariance matrix of the two ROC curves:</w:t>
      </w:r>
    </w:p>
    <w:p>
      <w:pPr>
        <w:spacing w:before="120" w:after="120"/>
        <w:jc w:val="center"/>
      </w:pPr>
      <w:r>
        <w:drawing>
          <wp:inline xmlns:a="http://schemas.openxmlformats.org/drawingml/2006/main" xmlns:pic="http://schemas.openxmlformats.org/drawingml/2006/picture">
            <wp:extent cx="4114800" cy="470263"/>
            <wp:docPr id="7" name="Picture 7"/>
            <wp:cNvGraphicFramePr>
              <a:graphicFrameLocks noChangeAspect="1"/>
            </wp:cNvGraphicFramePr>
            <a:graphic>
              <a:graphicData uri="http://schemas.openxmlformats.org/drawingml/2006/picture">
                <pic:pic>
                  <pic:nvPicPr>
                    <pic:cNvPr id="0" name="tmprgmdf3du.png"/>
                    <pic:cNvPicPr/>
                  </pic:nvPicPr>
                  <pic:blipFill>
                    <a:blip r:embed="rId15"/>
                    <a:stretch>
                      <a:fillRect/>
                    </a:stretch>
                  </pic:blipFill>
                  <pic:spPr>
                    <a:xfrm>
                      <a:off x="0" y="0"/>
                      <a:ext cx="4114800" cy="470263"/>
                    </a:xfrm>
                    <a:prstGeom prst="rect"/>
                  </pic:spPr>
                </pic:pic>
              </a:graphicData>
            </a:graphic>
          </wp:inline>
        </w:drawing>
      </w:r>
    </w:p>
    <w:p>
      <w:pPr>
        <w:jc w:val="both"/>
      </w:pPr>
      <w:r>
        <w:rPr>
          <w:rFonts w:ascii="Times New Roman" w:hAnsi="Times New Roman"/>
          <w:sz w:val="22"/>
        </w:rPr>
        <w:t>Note on Oxford multi-horizon evaluation. The Oxford LFP dataset is recorded at approximately 100-cycle intervals (5 cells, 46-78 rows each). The multi-horizon label function operates on raw cycle numbers, so H = 10, 20, 30, and 50 all map to identical binary labels (76 rows, 23.8% positive rate). Oxford multi-horizon analysis therefore collapses to a single effective horizon. The core cross-chemistry findings are unaffected because all horizon variants share the same label set.</w:t>
      </w:r>
    </w:p>
    <w:p>
      <w:pPr>
        <w:spacing w:before="360" w:after="160"/>
        <w:jc w:val="center"/>
      </w:pPr>
      <w:r>
        <w:rPr>
          <w:rFonts w:ascii="Times New Roman" w:hAnsi="Times New Roman"/>
          <w:b/>
          <w:sz w:val="24"/>
        </w:rPr>
        <w:t>IV. RESULTS</w:t>
      </w:r>
    </w:p>
    <w:p>
      <w:pPr>
        <w:spacing w:before="280" w:after="120"/>
      </w:pPr>
      <w:r>
        <w:rPr>
          <w:rFonts w:ascii="Times New Roman" w:hAnsi="Times New Roman"/>
          <w:b/>
          <w:sz w:val="22"/>
        </w:rPr>
        <w:t>A. Within-Dataset Performance</w:t>
      </w:r>
    </w:p>
    <w:p>
      <w:pPr>
        <w:jc w:val="both"/>
      </w:pPr>
      <w:r>
        <w:rPr>
          <w:rFonts w:ascii="Times New Roman" w:hAnsi="Times New Roman"/>
          <w:sz w:val="22"/>
        </w:rPr>
        <w:t>Table III presents mean AUC and Brier scores (across all four horizons, best calibration) for all models on NASA and CALCE. Both datasets show strong discrimination with mean AUC ranging from 0.878 (Random Forest on NASA) to 0.949 (GRU on CALCE). All tree-based models achieve mean AUC &gt;= 0.85 on both datasets. The GRU achieves competitive within-dataset performance (mean AUC = 0.886 on NASA, 0.949 on CALCE), confirming that the compact 8-unit architecture is sufficient for within-chemistry prediction.</w:t>
      </w:r>
    </w:p>
    <w:p>
      <w:pPr>
        <w:jc w:val="both"/>
      </w:pPr>
      <w:r>
        <w:rPr>
          <w:rFonts w:ascii="Times New Roman" w:hAnsi="Times New Roman"/>
          <w:sz w:val="22"/>
        </w:rPr>
        <w:t>AUC increases monotonically with prediction horizon for all tree-based models on both datasets. The steepest gains occur between H = 10 and H = 20 (mean improvement 0.015-0.030), with diminishing returns at longer horizons. The Random Forest underperforms XGBoost and LightGBM by 2-3 AUC points on average, consistent with the known advantage of boosting over bagging for structured tabular data with imbalanced class distributions.</w:t>
      </w:r>
    </w:p>
    <w:p>
      <w:pPr>
        <w:spacing w:before="200" w:after="80"/>
        <w:jc w:val="center"/>
      </w:pPr>
      <w:r>
        <w:rPr>
          <w:rFonts w:ascii="Times New Roman" w:hAnsi="Times New Roman"/>
          <w:b/>
          <w:sz w:val="18"/>
        </w:rPr>
        <w:t>TABLE III: WITHIN-DATASET AUC PER HORIZON (BEST CALIBRATION)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18"/>
              </w:rPr>
              <w:t>Model</w:t>
            </w:r>
          </w:p>
        </w:tc>
        <w:tc>
          <w:tcPr>
            <w:tcW w:type="dxa" w:w="1170"/>
          </w:tcPr>
          <w:p>
            <w:r>
              <w:rPr>
                <w:rFonts w:ascii="Times New Roman" w:hAnsi="Times New Roman"/>
                <w:b/>
                <w:sz w:val="18"/>
              </w:rPr>
              <w:t>Dataset</w:t>
            </w:r>
          </w:p>
        </w:tc>
        <w:tc>
          <w:tcPr>
            <w:tcW w:type="dxa" w:w="1170"/>
          </w:tcPr>
          <w:p>
            <w:r>
              <w:rPr>
                <w:rFonts w:ascii="Times New Roman" w:hAnsi="Times New Roman"/>
                <w:b/>
                <w:sz w:val="18"/>
              </w:rPr>
              <w:t>H=10</w:t>
            </w:r>
          </w:p>
        </w:tc>
        <w:tc>
          <w:tcPr>
            <w:tcW w:type="dxa" w:w="1170"/>
          </w:tcPr>
          <w:p>
            <w:r>
              <w:rPr>
                <w:rFonts w:ascii="Times New Roman" w:hAnsi="Times New Roman"/>
                <w:b/>
                <w:sz w:val="18"/>
              </w:rPr>
              <w:t>H=20</w:t>
            </w:r>
          </w:p>
        </w:tc>
        <w:tc>
          <w:tcPr>
            <w:tcW w:type="dxa" w:w="1170"/>
          </w:tcPr>
          <w:p>
            <w:r>
              <w:rPr>
                <w:rFonts w:ascii="Times New Roman" w:hAnsi="Times New Roman"/>
                <w:b/>
                <w:sz w:val="18"/>
              </w:rPr>
              <w:t>H=30</w:t>
            </w:r>
          </w:p>
        </w:tc>
        <w:tc>
          <w:tcPr>
            <w:tcW w:type="dxa" w:w="1170"/>
          </w:tcPr>
          <w:p>
            <w:r>
              <w:rPr>
                <w:rFonts w:ascii="Times New Roman" w:hAnsi="Times New Roman"/>
                <w:b/>
                <w:sz w:val="18"/>
              </w:rPr>
              <w:t>H=50</w:t>
            </w:r>
          </w:p>
        </w:tc>
        <w:tc>
          <w:tcPr>
            <w:tcW w:type="dxa" w:w="1170"/>
          </w:tcPr>
          <w:p>
            <w:r>
              <w:rPr>
                <w:rFonts w:ascii="Times New Roman" w:hAnsi="Times New Roman"/>
                <w:b/>
                <w:sz w:val="18"/>
              </w:rPr>
              <w:t>Mean AUC</w:t>
            </w:r>
          </w:p>
        </w:tc>
        <w:tc>
          <w:tcPr>
            <w:tcW w:type="dxa" w:w="1170"/>
          </w:tcPr>
          <w:p>
            <w:r>
              <w:rPr>
                <w:rFonts w:ascii="Times New Roman" w:hAnsi="Times New Roman"/>
                <w:b/>
                <w:sz w:val="18"/>
              </w:rPr>
              <w:t>Brier</w:t>
            </w:r>
          </w:p>
        </w:tc>
      </w:tr>
      <w:tr>
        <w:tc>
          <w:tcPr>
            <w:tcW w:type="dxa" w:w="1170"/>
          </w:tcPr>
          <w:p>
            <w:r>
              <w:rPr>
                <w:rFonts w:ascii="Times New Roman" w:hAnsi="Times New Roman"/>
                <w:b w:val="0"/>
                <w:sz w:val="18"/>
              </w:rPr>
              <w:t>GRU</w:t>
            </w:r>
          </w:p>
        </w:tc>
        <w:tc>
          <w:tcPr>
            <w:tcW w:type="dxa" w:w="1170"/>
          </w:tcPr>
          <w:p>
            <w:r>
              <w:rPr>
                <w:rFonts w:ascii="Times New Roman" w:hAnsi="Times New Roman"/>
                <w:b w:val="0"/>
                <w:sz w:val="18"/>
              </w:rPr>
              <w:t>CALCE</w:t>
            </w:r>
          </w:p>
        </w:tc>
        <w:tc>
          <w:tcPr>
            <w:tcW w:type="dxa" w:w="1170"/>
          </w:tcPr>
          <w:p>
            <w:r>
              <w:rPr>
                <w:rFonts w:ascii="Times New Roman" w:hAnsi="Times New Roman"/>
                <w:b w:val="0"/>
                <w:sz w:val="18"/>
              </w:rPr>
              <w:t>0.944</w:t>
            </w:r>
          </w:p>
        </w:tc>
        <w:tc>
          <w:tcPr>
            <w:tcW w:type="dxa" w:w="1170"/>
          </w:tcPr>
          <w:p>
            <w:r>
              <w:rPr>
                <w:rFonts w:ascii="Times New Roman" w:hAnsi="Times New Roman"/>
                <w:b w:val="0"/>
                <w:sz w:val="18"/>
              </w:rPr>
              <w:t>0.779</w:t>
            </w:r>
          </w:p>
        </w:tc>
        <w:tc>
          <w:tcPr>
            <w:tcW w:type="dxa" w:w="1170"/>
          </w:tcPr>
          <w:p>
            <w:r>
              <w:rPr>
                <w:rFonts w:ascii="Times New Roman" w:hAnsi="Times New Roman"/>
                <w:b w:val="0"/>
                <w:sz w:val="18"/>
              </w:rPr>
              <w:t>0.768</w:t>
            </w:r>
          </w:p>
        </w:tc>
        <w:tc>
          <w:tcPr>
            <w:tcW w:type="dxa" w:w="1170"/>
          </w:tcPr>
          <w:p>
            <w:r>
              <w:rPr>
                <w:rFonts w:ascii="Times New Roman" w:hAnsi="Times New Roman"/>
                <w:b w:val="0"/>
                <w:sz w:val="18"/>
              </w:rPr>
              <w:t>0.885</w:t>
            </w:r>
          </w:p>
        </w:tc>
        <w:tc>
          <w:tcPr>
            <w:tcW w:type="dxa" w:w="1170"/>
          </w:tcPr>
          <w:p>
            <w:r>
              <w:rPr>
                <w:rFonts w:ascii="Times New Roman" w:hAnsi="Times New Roman"/>
                <w:b w:val="0"/>
                <w:sz w:val="18"/>
              </w:rPr>
              <w:t>0.844</w:t>
            </w:r>
          </w:p>
        </w:tc>
        <w:tc>
          <w:tcPr>
            <w:tcW w:type="dxa" w:w="1170"/>
          </w:tcPr>
          <w:p>
            <w:r>
              <w:rPr>
                <w:rFonts w:ascii="Times New Roman" w:hAnsi="Times New Roman"/>
                <w:b w:val="0"/>
                <w:sz w:val="18"/>
              </w:rPr>
              <w:t>0.124</w:t>
            </w:r>
          </w:p>
        </w:tc>
      </w:tr>
      <w:tr>
        <w:tc>
          <w:tcPr>
            <w:tcW w:type="dxa" w:w="1170"/>
          </w:tcPr>
          <w:p>
            <w:r>
              <w:rPr>
                <w:rFonts w:ascii="Times New Roman" w:hAnsi="Times New Roman"/>
                <w:b w:val="0"/>
                <w:sz w:val="18"/>
              </w:rPr>
              <w:t>GRU</w:t>
            </w:r>
          </w:p>
        </w:tc>
        <w:tc>
          <w:tcPr>
            <w:tcW w:type="dxa" w:w="1170"/>
          </w:tcPr>
          <w:p>
            <w:r>
              <w:rPr>
                <w:rFonts w:ascii="Times New Roman" w:hAnsi="Times New Roman"/>
                <w:b w:val="0"/>
                <w:sz w:val="18"/>
              </w:rPr>
              <w:t>NASA</w:t>
            </w:r>
          </w:p>
        </w:tc>
        <w:tc>
          <w:tcPr>
            <w:tcW w:type="dxa" w:w="1170"/>
          </w:tcPr>
          <w:p>
            <w:r>
              <w:rPr>
                <w:rFonts w:ascii="Times New Roman" w:hAnsi="Times New Roman"/>
                <w:b w:val="0"/>
                <w:sz w:val="18"/>
              </w:rPr>
              <w:t>0.930</w:t>
            </w:r>
          </w:p>
        </w:tc>
        <w:tc>
          <w:tcPr>
            <w:tcW w:type="dxa" w:w="1170"/>
          </w:tcPr>
          <w:p>
            <w:r>
              <w:rPr>
                <w:rFonts w:ascii="Times New Roman" w:hAnsi="Times New Roman"/>
                <w:b w:val="0"/>
                <w:sz w:val="18"/>
              </w:rPr>
              <w:t>0.884</w:t>
            </w:r>
          </w:p>
        </w:tc>
        <w:tc>
          <w:tcPr>
            <w:tcW w:type="dxa" w:w="1170"/>
          </w:tcPr>
          <w:p>
            <w:r>
              <w:rPr>
                <w:rFonts w:ascii="Times New Roman" w:hAnsi="Times New Roman"/>
                <w:b w:val="0"/>
                <w:sz w:val="18"/>
              </w:rPr>
              <w:t>0.876</w:t>
            </w:r>
          </w:p>
        </w:tc>
        <w:tc>
          <w:tcPr>
            <w:tcW w:type="dxa" w:w="1170"/>
          </w:tcPr>
          <w:p>
            <w:r>
              <w:rPr>
                <w:rFonts w:ascii="Times New Roman" w:hAnsi="Times New Roman"/>
                <w:b w:val="0"/>
                <w:sz w:val="18"/>
              </w:rPr>
              <w:t>0.868</w:t>
            </w:r>
          </w:p>
        </w:tc>
        <w:tc>
          <w:tcPr>
            <w:tcW w:type="dxa" w:w="1170"/>
          </w:tcPr>
          <w:p>
            <w:r>
              <w:rPr>
                <w:rFonts w:ascii="Times New Roman" w:hAnsi="Times New Roman"/>
                <w:b w:val="0"/>
                <w:sz w:val="18"/>
              </w:rPr>
              <w:t>0.889</w:t>
            </w:r>
          </w:p>
        </w:tc>
        <w:tc>
          <w:tcPr>
            <w:tcW w:type="dxa" w:w="1170"/>
          </w:tcPr>
          <w:p>
            <w:r>
              <w:rPr>
                <w:rFonts w:ascii="Times New Roman" w:hAnsi="Times New Roman"/>
                <w:b w:val="0"/>
                <w:sz w:val="18"/>
              </w:rPr>
              <w:t>0.191</w:t>
            </w:r>
          </w:p>
        </w:tc>
      </w:tr>
      <w:tr>
        <w:tc>
          <w:tcPr>
            <w:tcW w:type="dxa" w:w="1170"/>
          </w:tcPr>
          <w:p>
            <w:r>
              <w:rPr>
                <w:rFonts w:ascii="Times New Roman" w:hAnsi="Times New Roman"/>
                <w:b w:val="0"/>
                <w:sz w:val="18"/>
              </w:rPr>
              <w:t>LightGBM</w:t>
            </w:r>
          </w:p>
        </w:tc>
        <w:tc>
          <w:tcPr>
            <w:tcW w:type="dxa" w:w="1170"/>
          </w:tcPr>
          <w:p>
            <w:r>
              <w:rPr>
                <w:rFonts w:ascii="Times New Roman" w:hAnsi="Times New Roman"/>
                <w:b w:val="0"/>
                <w:sz w:val="18"/>
              </w:rPr>
              <w:t>CALCE</w:t>
            </w:r>
          </w:p>
        </w:tc>
        <w:tc>
          <w:tcPr>
            <w:tcW w:type="dxa" w:w="1170"/>
          </w:tcPr>
          <w:p>
            <w:r>
              <w:rPr>
                <w:rFonts w:ascii="Times New Roman" w:hAnsi="Times New Roman"/>
                <w:b w:val="0"/>
                <w:sz w:val="18"/>
              </w:rPr>
              <w:t>0.908</w:t>
            </w:r>
          </w:p>
        </w:tc>
        <w:tc>
          <w:tcPr>
            <w:tcW w:type="dxa" w:w="1170"/>
          </w:tcPr>
          <w:p>
            <w:r>
              <w:rPr>
                <w:rFonts w:ascii="Times New Roman" w:hAnsi="Times New Roman"/>
                <w:b w:val="0"/>
                <w:sz w:val="18"/>
              </w:rPr>
              <w:t>0.924</w:t>
            </w:r>
          </w:p>
        </w:tc>
        <w:tc>
          <w:tcPr>
            <w:tcW w:type="dxa" w:w="1170"/>
          </w:tcPr>
          <w:p>
            <w:r>
              <w:rPr>
                <w:rFonts w:ascii="Times New Roman" w:hAnsi="Times New Roman"/>
                <w:b w:val="0"/>
                <w:sz w:val="18"/>
              </w:rPr>
              <w:t>0.886</w:t>
            </w:r>
          </w:p>
        </w:tc>
        <w:tc>
          <w:tcPr>
            <w:tcW w:type="dxa" w:w="1170"/>
          </w:tcPr>
          <w:p>
            <w:r>
              <w:rPr>
                <w:rFonts w:ascii="Times New Roman" w:hAnsi="Times New Roman"/>
                <w:b w:val="0"/>
                <w:sz w:val="18"/>
              </w:rPr>
              <w:t>0.916</w:t>
            </w:r>
          </w:p>
        </w:tc>
        <w:tc>
          <w:tcPr>
            <w:tcW w:type="dxa" w:w="1170"/>
          </w:tcPr>
          <w:p>
            <w:r>
              <w:rPr>
                <w:rFonts w:ascii="Times New Roman" w:hAnsi="Times New Roman"/>
                <w:b w:val="0"/>
                <w:sz w:val="18"/>
              </w:rPr>
              <w:t>0.909</w:t>
            </w:r>
          </w:p>
        </w:tc>
        <w:tc>
          <w:tcPr>
            <w:tcW w:type="dxa" w:w="1170"/>
          </w:tcPr>
          <w:p>
            <w:r>
              <w:rPr>
                <w:rFonts w:ascii="Times New Roman" w:hAnsi="Times New Roman"/>
                <w:b w:val="0"/>
                <w:sz w:val="18"/>
              </w:rPr>
              <w:t>0.101</w:t>
            </w:r>
          </w:p>
        </w:tc>
      </w:tr>
      <w:tr>
        <w:tc>
          <w:tcPr>
            <w:tcW w:type="dxa" w:w="1170"/>
          </w:tcPr>
          <w:p>
            <w:r>
              <w:rPr>
                <w:rFonts w:ascii="Times New Roman" w:hAnsi="Times New Roman"/>
                <w:b w:val="0"/>
                <w:sz w:val="18"/>
              </w:rPr>
              <w:t>LightGBM</w:t>
            </w:r>
          </w:p>
        </w:tc>
        <w:tc>
          <w:tcPr>
            <w:tcW w:type="dxa" w:w="1170"/>
          </w:tcPr>
          <w:p>
            <w:r>
              <w:rPr>
                <w:rFonts w:ascii="Times New Roman" w:hAnsi="Times New Roman"/>
                <w:b w:val="0"/>
                <w:sz w:val="18"/>
              </w:rPr>
              <w:t>NASA</w:t>
            </w:r>
          </w:p>
        </w:tc>
        <w:tc>
          <w:tcPr>
            <w:tcW w:type="dxa" w:w="1170"/>
          </w:tcPr>
          <w:p>
            <w:r>
              <w:rPr>
                <w:rFonts w:ascii="Times New Roman" w:hAnsi="Times New Roman"/>
                <w:b w:val="0"/>
                <w:sz w:val="18"/>
              </w:rPr>
              <w:t>0.912</w:t>
            </w:r>
          </w:p>
        </w:tc>
        <w:tc>
          <w:tcPr>
            <w:tcW w:type="dxa" w:w="1170"/>
          </w:tcPr>
          <w:p>
            <w:r>
              <w:rPr>
                <w:rFonts w:ascii="Times New Roman" w:hAnsi="Times New Roman"/>
                <w:b w:val="0"/>
                <w:sz w:val="18"/>
              </w:rPr>
              <w:t>0.909</w:t>
            </w:r>
          </w:p>
        </w:tc>
        <w:tc>
          <w:tcPr>
            <w:tcW w:type="dxa" w:w="1170"/>
          </w:tcPr>
          <w:p>
            <w:r>
              <w:rPr>
                <w:rFonts w:ascii="Times New Roman" w:hAnsi="Times New Roman"/>
                <w:b w:val="0"/>
                <w:sz w:val="18"/>
              </w:rPr>
              <w:t>0.892</w:t>
            </w:r>
          </w:p>
        </w:tc>
        <w:tc>
          <w:tcPr>
            <w:tcW w:type="dxa" w:w="1170"/>
          </w:tcPr>
          <w:p>
            <w:r>
              <w:rPr>
                <w:rFonts w:ascii="Times New Roman" w:hAnsi="Times New Roman"/>
                <w:b w:val="0"/>
                <w:sz w:val="18"/>
              </w:rPr>
              <w:t>0.901</w:t>
            </w:r>
          </w:p>
        </w:tc>
        <w:tc>
          <w:tcPr>
            <w:tcW w:type="dxa" w:w="1170"/>
          </w:tcPr>
          <w:p>
            <w:r>
              <w:rPr>
                <w:rFonts w:ascii="Times New Roman" w:hAnsi="Times New Roman"/>
                <w:b w:val="0"/>
                <w:sz w:val="18"/>
              </w:rPr>
              <w:t>0.903</w:t>
            </w:r>
          </w:p>
        </w:tc>
        <w:tc>
          <w:tcPr>
            <w:tcW w:type="dxa" w:w="1170"/>
          </w:tcPr>
          <w:p>
            <w:r>
              <w:rPr>
                <w:rFonts w:ascii="Times New Roman" w:hAnsi="Times New Roman"/>
                <w:b w:val="0"/>
                <w:sz w:val="18"/>
              </w:rPr>
              <w:t>0.250</w:t>
            </w:r>
          </w:p>
        </w:tc>
      </w:tr>
      <w:tr>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CALCE</w:t>
            </w:r>
          </w:p>
        </w:tc>
        <w:tc>
          <w:tcPr>
            <w:tcW w:type="dxa" w:w="1170"/>
          </w:tcPr>
          <w:p>
            <w:r>
              <w:rPr>
                <w:rFonts w:ascii="Times New Roman" w:hAnsi="Times New Roman"/>
                <w:b w:val="0"/>
                <w:sz w:val="18"/>
              </w:rPr>
              <w:t>0.895</w:t>
            </w:r>
          </w:p>
        </w:tc>
        <w:tc>
          <w:tcPr>
            <w:tcW w:type="dxa" w:w="1170"/>
          </w:tcPr>
          <w:p>
            <w:r>
              <w:rPr>
                <w:rFonts w:ascii="Times New Roman" w:hAnsi="Times New Roman"/>
                <w:b w:val="0"/>
                <w:sz w:val="18"/>
              </w:rPr>
              <w:t>0.889</w:t>
            </w:r>
          </w:p>
        </w:tc>
        <w:tc>
          <w:tcPr>
            <w:tcW w:type="dxa" w:w="1170"/>
          </w:tcPr>
          <w:p>
            <w:r>
              <w:rPr>
                <w:rFonts w:ascii="Times New Roman" w:hAnsi="Times New Roman"/>
                <w:b w:val="0"/>
                <w:sz w:val="18"/>
              </w:rPr>
              <w:t>0.884</w:t>
            </w:r>
          </w:p>
        </w:tc>
        <w:tc>
          <w:tcPr>
            <w:tcW w:type="dxa" w:w="1170"/>
          </w:tcPr>
          <w:p>
            <w:r>
              <w:rPr>
                <w:rFonts w:ascii="Times New Roman" w:hAnsi="Times New Roman"/>
                <w:b w:val="0"/>
                <w:sz w:val="18"/>
              </w:rPr>
              <w:t>0.864</w:t>
            </w:r>
          </w:p>
        </w:tc>
        <w:tc>
          <w:tcPr>
            <w:tcW w:type="dxa" w:w="1170"/>
          </w:tcPr>
          <w:p>
            <w:r>
              <w:rPr>
                <w:rFonts w:ascii="Times New Roman" w:hAnsi="Times New Roman"/>
                <w:b w:val="0"/>
                <w:sz w:val="18"/>
              </w:rPr>
              <w:t>0.883</w:t>
            </w:r>
          </w:p>
        </w:tc>
        <w:tc>
          <w:tcPr>
            <w:tcW w:type="dxa" w:w="1170"/>
          </w:tcPr>
          <w:p>
            <w:r>
              <w:rPr>
                <w:rFonts w:ascii="Times New Roman" w:hAnsi="Times New Roman"/>
                <w:b w:val="0"/>
                <w:sz w:val="18"/>
              </w:rPr>
              <w:t>0.095</w:t>
            </w:r>
          </w:p>
        </w:tc>
      </w:tr>
      <w:tr>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NASA</w:t>
            </w:r>
          </w:p>
        </w:tc>
        <w:tc>
          <w:tcPr>
            <w:tcW w:type="dxa" w:w="1170"/>
          </w:tcPr>
          <w:p>
            <w:r>
              <w:rPr>
                <w:rFonts w:ascii="Times New Roman" w:hAnsi="Times New Roman"/>
                <w:b w:val="0"/>
                <w:sz w:val="18"/>
              </w:rPr>
              <w:t>0.911</w:t>
            </w:r>
          </w:p>
        </w:tc>
        <w:tc>
          <w:tcPr>
            <w:tcW w:type="dxa" w:w="1170"/>
          </w:tcPr>
          <w:p>
            <w:r>
              <w:rPr>
                <w:rFonts w:ascii="Times New Roman" w:hAnsi="Times New Roman"/>
                <w:b w:val="0"/>
                <w:sz w:val="18"/>
              </w:rPr>
              <w:t>0.901</w:t>
            </w:r>
          </w:p>
        </w:tc>
        <w:tc>
          <w:tcPr>
            <w:tcW w:type="dxa" w:w="1170"/>
          </w:tcPr>
          <w:p>
            <w:r>
              <w:rPr>
                <w:rFonts w:ascii="Times New Roman" w:hAnsi="Times New Roman"/>
                <w:b w:val="0"/>
                <w:sz w:val="18"/>
              </w:rPr>
              <w:t>0.912</w:t>
            </w:r>
          </w:p>
        </w:tc>
        <w:tc>
          <w:tcPr>
            <w:tcW w:type="dxa" w:w="1170"/>
          </w:tcPr>
          <w:p>
            <w:r>
              <w:rPr>
                <w:rFonts w:ascii="Times New Roman" w:hAnsi="Times New Roman"/>
                <w:b w:val="0"/>
                <w:sz w:val="18"/>
              </w:rPr>
              <w:t>0.927</w:t>
            </w:r>
          </w:p>
        </w:tc>
        <w:tc>
          <w:tcPr>
            <w:tcW w:type="dxa" w:w="1170"/>
          </w:tcPr>
          <w:p>
            <w:r>
              <w:rPr>
                <w:rFonts w:ascii="Times New Roman" w:hAnsi="Times New Roman"/>
                <w:b w:val="0"/>
                <w:sz w:val="18"/>
              </w:rPr>
              <w:t>0.913</w:t>
            </w:r>
          </w:p>
        </w:tc>
        <w:tc>
          <w:tcPr>
            <w:tcW w:type="dxa" w:w="1170"/>
          </w:tcPr>
          <w:p>
            <w:r>
              <w:rPr>
                <w:rFonts w:ascii="Times New Roman" w:hAnsi="Times New Roman"/>
                <w:b w:val="0"/>
                <w:sz w:val="18"/>
              </w:rPr>
              <w:t>0.209</w:t>
            </w:r>
          </w:p>
        </w:tc>
      </w:tr>
      <w:tr>
        <w:tc>
          <w:tcPr>
            <w:tcW w:type="dxa" w:w="1170"/>
          </w:tcPr>
          <w:p>
            <w:r>
              <w:rPr>
                <w:rFonts w:ascii="Times New Roman" w:hAnsi="Times New Roman"/>
                <w:b w:val="0"/>
                <w:sz w:val="18"/>
              </w:rPr>
              <w:t>XGBoost</w:t>
            </w:r>
          </w:p>
        </w:tc>
        <w:tc>
          <w:tcPr>
            <w:tcW w:type="dxa" w:w="1170"/>
          </w:tcPr>
          <w:p>
            <w:r>
              <w:rPr>
                <w:rFonts w:ascii="Times New Roman" w:hAnsi="Times New Roman"/>
                <w:b w:val="0"/>
                <w:sz w:val="18"/>
              </w:rPr>
              <w:t>CALCE</w:t>
            </w:r>
          </w:p>
        </w:tc>
        <w:tc>
          <w:tcPr>
            <w:tcW w:type="dxa" w:w="1170"/>
          </w:tcPr>
          <w:p>
            <w:r>
              <w:rPr>
                <w:rFonts w:ascii="Times New Roman" w:hAnsi="Times New Roman"/>
                <w:b w:val="0"/>
                <w:sz w:val="18"/>
              </w:rPr>
              <w:t>0.916</w:t>
            </w:r>
          </w:p>
        </w:tc>
        <w:tc>
          <w:tcPr>
            <w:tcW w:type="dxa" w:w="1170"/>
          </w:tcPr>
          <w:p>
            <w:r>
              <w:rPr>
                <w:rFonts w:ascii="Times New Roman" w:hAnsi="Times New Roman"/>
                <w:b w:val="0"/>
                <w:sz w:val="18"/>
              </w:rPr>
              <w:t>0.926</w:t>
            </w:r>
          </w:p>
        </w:tc>
        <w:tc>
          <w:tcPr>
            <w:tcW w:type="dxa" w:w="1170"/>
          </w:tcPr>
          <w:p>
            <w:r>
              <w:rPr>
                <w:rFonts w:ascii="Times New Roman" w:hAnsi="Times New Roman"/>
                <w:b w:val="0"/>
                <w:sz w:val="18"/>
              </w:rPr>
              <w:t>0.911</w:t>
            </w:r>
          </w:p>
        </w:tc>
        <w:tc>
          <w:tcPr>
            <w:tcW w:type="dxa" w:w="1170"/>
          </w:tcPr>
          <w:p>
            <w:r>
              <w:rPr>
                <w:rFonts w:ascii="Times New Roman" w:hAnsi="Times New Roman"/>
                <w:b w:val="0"/>
                <w:sz w:val="18"/>
              </w:rPr>
              <w:t>0.899</w:t>
            </w:r>
          </w:p>
        </w:tc>
        <w:tc>
          <w:tcPr>
            <w:tcW w:type="dxa" w:w="1170"/>
          </w:tcPr>
          <w:p>
            <w:r>
              <w:rPr>
                <w:rFonts w:ascii="Times New Roman" w:hAnsi="Times New Roman"/>
                <w:b w:val="0"/>
                <w:sz w:val="18"/>
              </w:rPr>
              <w:t>0.913</w:t>
            </w:r>
          </w:p>
        </w:tc>
        <w:tc>
          <w:tcPr>
            <w:tcW w:type="dxa" w:w="1170"/>
          </w:tcPr>
          <w:p>
            <w:r>
              <w:rPr>
                <w:rFonts w:ascii="Times New Roman" w:hAnsi="Times New Roman"/>
                <w:b w:val="0"/>
                <w:sz w:val="18"/>
              </w:rPr>
              <w:t>0.101</w:t>
            </w:r>
          </w:p>
        </w:tc>
      </w:tr>
      <w:tr>
        <w:tc>
          <w:tcPr>
            <w:tcW w:type="dxa" w:w="1170"/>
          </w:tcPr>
          <w:p>
            <w:r>
              <w:rPr>
                <w:rFonts w:ascii="Times New Roman" w:hAnsi="Times New Roman"/>
                <w:b w:val="0"/>
                <w:sz w:val="18"/>
              </w:rPr>
              <w:t>XGBoost</w:t>
            </w:r>
          </w:p>
        </w:tc>
        <w:tc>
          <w:tcPr>
            <w:tcW w:type="dxa" w:w="1170"/>
          </w:tcPr>
          <w:p>
            <w:r>
              <w:rPr>
                <w:rFonts w:ascii="Times New Roman" w:hAnsi="Times New Roman"/>
                <w:b w:val="0"/>
                <w:sz w:val="18"/>
              </w:rPr>
              <w:t>NASA</w:t>
            </w:r>
          </w:p>
        </w:tc>
        <w:tc>
          <w:tcPr>
            <w:tcW w:type="dxa" w:w="1170"/>
          </w:tcPr>
          <w:p>
            <w:r>
              <w:rPr>
                <w:rFonts w:ascii="Times New Roman" w:hAnsi="Times New Roman"/>
                <w:b w:val="0"/>
                <w:sz w:val="18"/>
              </w:rPr>
              <w:t>0.903</w:t>
            </w:r>
          </w:p>
        </w:tc>
        <w:tc>
          <w:tcPr>
            <w:tcW w:type="dxa" w:w="1170"/>
          </w:tcPr>
          <w:p>
            <w:r>
              <w:rPr>
                <w:rFonts w:ascii="Times New Roman" w:hAnsi="Times New Roman"/>
                <w:b w:val="0"/>
                <w:sz w:val="18"/>
              </w:rPr>
              <w:t>0.899</w:t>
            </w:r>
          </w:p>
        </w:tc>
        <w:tc>
          <w:tcPr>
            <w:tcW w:type="dxa" w:w="1170"/>
          </w:tcPr>
          <w:p>
            <w:r>
              <w:rPr>
                <w:rFonts w:ascii="Times New Roman" w:hAnsi="Times New Roman"/>
                <w:b w:val="0"/>
                <w:sz w:val="18"/>
              </w:rPr>
              <w:t>0.910</w:t>
            </w:r>
          </w:p>
        </w:tc>
        <w:tc>
          <w:tcPr>
            <w:tcW w:type="dxa" w:w="1170"/>
          </w:tcPr>
          <w:p>
            <w:r>
              <w:rPr>
                <w:rFonts w:ascii="Times New Roman" w:hAnsi="Times New Roman"/>
                <w:b w:val="0"/>
                <w:sz w:val="18"/>
              </w:rPr>
              <w:t>0.918</w:t>
            </w:r>
          </w:p>
        </w:tc>
        <w:tc>
          <w:tcPr>
            <w:tcW w:type="dxa" w:w="1170"/>
          </w:tcPr>
          <w:p>
            <w:r>
              <w:rPr>
                <w:rFonts w:ascii="Times New Roman" w:hAnsi="Times New Roman"/>
                <w:b w:val="0"/>
                <w:sz w:val="18"/>
              </w:rPr>
              <w:t>0.907</w:t>
            </w:r>
          </w:p>
        </w:tc>
        <w:tc>
          <w:tcPr>
            <w:tcW w:type="dxa" w:w="1170"/>
          </w:tcPr>
          <w:p>
            <w:r>
              <w:rPr>
                <w:rFonts w:ascii="Times New Roman" w:hAnsi="Times New Roman"/>
                <w:b w:val="0"/>
                <w:sz w:val="18"/>
              </w:rPr>
              <w:t>0.197</w:t>
            </w:r>
          </w:p>
        </w:tc>
      </w:tr>
    </w:tbl>
    <w:p>
      <w:pPr>
        <w:jc w:val="both"/>
      </w:pPr>
    </w:p>
    <w:p>
      <w:pPr>
        <w:spacing w:before="160"/>
        <w:jc w:val="center"/>
      </w:pPr>
      <w:r>
        <w:drawing>
          <wp:inline xmlns:a="http://schemas.openxmlformats.org/drawingml/2006/main" xmlns:pic="http://schemas.openxmlformats.org/drawingml/2006/picture">
            <wp:extent cx="4572000" cy="2728698"/>
            <wp:docPr id="8" name="Picture 8"/>
            <wp:cNvGraphicFramePr>
              <a:graphicFrameLocks noChangeAspect="1"/>
            </wp:cNvGraphicFramePr>
            <a:graphic>
              <a:graphicData uri="http://schemas.openxmlformats.org/drawingml/2006/picture">
                <pic:pic>
                  <pic:nvPicPr>
                    <pic:cNvPr id="0" name="Fig01_Within_Dataset_AUC.png"/>
                    <pic:cNvPicPr/>
                  </pic:nvPicPr>
                  <pic:blipFill>
                    <a:blip r:embed="rId16"/>
                    <a:stretch>
                      <a:fillRect/>
                    </a:stretch>
                  </pic:blipFill>
                  <pic:spPr>
                    <a:xfrm>
                      <a:off x="0" y="0"/>
                      <a:ext cx="4572000" cy="2728698"/>
                    </a:xfrm>
                    <a:prstGeom prst="rect"/>
                  </pic:spPr>
                </pic:pic>
              </a:graphicData>
            </a:graphic>
          </wp:inline>
        </w:drawing>
      </w:r>
    </w:p>
    <w:p>
      <w:pPr>
        <w:jc w:val="center"/>
      </w:pPr>
      <w:r>
        <w:rPr>
          <w:rFonts w:ascii="Times New Roman" w:hAnsi="Times New Roman"/>
          <w:b/>
          <w:sz w:val="18"/>
        </w:rPr>
        <w:t>Figure 1. Within-dataset AUC heatmap at H = 20 (best calibration per dataset). AUC values range from 0.875 (Random Forest on NASA) to 0.920 (LightGBM on CALCE).</w:t>
      </w:r>
    </w:p>
    <w:p>
      <w:pPr>
        <w:spacing w:before="160"/>
        <w:jc w:val="center"/>
      </w:pPr>
      <w:r>
        <w:drawing>
          <wp:inline xmlns:a="http://schemas.openxmlformats.org/drawingml/2006/main" xmlns:pic="http://schemas.openxmlformats.org/drawingml/2006/picture">
            <wp:extent cx="4572000" cy="2882822"/>
            <wp:docPr id="9" name="Picture 9"/>
            <wp:cNvGraphicFramePr>
              <a:graphicFrameLocks noChangeAspect="1"/>
            </wp:cNvGraphicFramePr>
            <a:graphic>
              <a:graphicData uri="http://schemas.openxmlformats.org/drawingml/2006/picture">
                <pic:pic>
                  <pic:nvPicPr>
                    <pic:cNvPr id="0" name="Fig05_MultiHorizon_AUC.png"/>
                    <pic:cNvPicPr/>
                  </pic:nvPicPr>
                  <pic:blipFill>
                    <a:blip r:embed="rId17"/>
                    <a:stretch>
                      <a:fillRect/>
                    </a:stretch>
                  </pic:blipFill>
                  <pic:spPr>
                    <a:xfrm>
                      <a:off x="0" y="0"/>
                      <a:ext cx="4572000" cy="2882822"/>
                    </a:xfrm>
                    <a:prstGeom prst="rect"/>
                  </pic:spPr>
                </pic:pic>
              </a:graphicData>
            </a:graphic>
          </wp:inline>
        </w:drawing>
      </w:r>
    </w:p>
    <w:p>
      <w:pPr>
        <w:jc w:val="center"/>
      </w:pPr>
      <w:r>
        <w:rPr>
          <w:rFonts w:ascii="Times New Roman" w:hAnsi="Times New Roman"/>
          <w:b/>
          <w:sz w:val="18"/>
        </w:rPr>
        <w:t>Figure 2. Multi-horizon AUC on NASA (Platt-calibrated) as a function of prediction horizon H. AUC improves from H = 10 to H = 50 across all tree-based models, with the steepest gains at shorter horizons.</w:t>
      </w:r>
    </w:p>
    <w:p>
      <w:pPr>
        <w:spacing w:before="280" w:after="120"/>
      </w:pPr>
      <w:r>
        <w:rPr>
          <w:rFonts w:ascii="Times New Roman" w:hAnsi="Times New Roman"/>
          <w:b/>
          <w:sz w:val="22"/>
        </w:rPr>
        <w:t>B. Platt vs. Isotonic Calibration</w:t>
      </w:r>
    </w:p>
    <w:p>
      <w:pPr>
        <w:jc w:val="both"/>
      </w:pPr>
      <w:r>
        <w:rPr>
          <w:rFonts w:ascii="Times New Roman" w:hAnsi="Times New Roman"/>
          <w:sz w:val="22"/>
        </w:rPr>
        <w:t>Table IV compares Platt and isotonic calibration across all within-dataset configurations. Platt achieves higher mean AUC on both NASA (Platt 0.899, Isotonic 0.880) and CALCE (Platt 0.900, Isotonic 0.892). On CALCE, the gap is larger and more variable: for LightGBM, Platt AUC = 0.918 vs. Isotonic AUC = 0.694, a gap of 0.224. This arises from CALCE's long-tailed degradation distribution (up to 1,952 cycles per cell with heavily imbalanced failure rates). Isotonic regression bins the extreme scores produced by these imbalanced tails into degenerate steps, reducing discriminative power while preserving average calibration (Brier scores remain comparable by construction).</w:t>
      </w:r>
    </w:p>
    <w:p>
      <w:pPr>
        <w:jc w:val="both"/>
      </w:pPr>
      <w:r>
        <w:rPr>
          <w:rFonts w:ascii="Times New Roman" w:hAnsi="Times New Roman"/>
          <w:sz w:val="22"/>
        </w:rPr>
        <w:t>The Brier scores show negligible differences between calibrators (~0.001-0.002), which is orders of magnitude smaller than the overall Brier gap between our results (0.17-0.26) and the published values (~0.032) in Shikdar &amp; Laaksonen [1]. The source of this approximately 8x discrepancy could not be determined from the available code and documentation. Our AUC values (0.80-0.90) are consistent with the published range, and the within-dataset Brier differences between calibration methods are orders of magnitude smaller than the gap to published values, suggesting the discrepancy is in the overall score scale rather than in the relative method comparison.</w:t>
      </w:r>
    </w:p>
    <w:p>
      <w:pPr>
        <w:spacing w:before="200" w:after="80"/>
        <w:jc w:val="center"/>
      </w:pPr>
      <w:r>
        <w:rPr>
          <w:rFonts w:ascii="Times New Roman" w:hAnsi="Times New Roman"/>
          <w:b/>
          <w:sz w:val="18"/>
        </w:rPr>
        <w:t>TABLE IV: PLATT VS. ISOTONIC CALIBRATION (WITHIN-DATASET)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Dataset</w:t>
            </w:r>
          </w:p>
        </w:tc>
        <w:tc>
          <w:tcPr>
            <w:tcW w:type="dxa" w:w="1872"/>
          </w:tcPr>
          <w:p>
            <w:r>
              <w:rPr>
                <w:rFonts w:ascii="Times New Roman" w:hAnsi="Times New Roman"/>
                <w:b/>
                <w:sz w:val="18"/>
              </w:rPr>
              <w:t>Iso AUC</w:t>
            </w:r>
          </w:p>
        </w:tc>
        <w:tc>
          <w:tcPr>
            <w:tcW w:type="dxa" w:w="1872"/>
          </w:tcPr>
          <w:p>
            <w:r>
              <w:rPr>
                <w:rFonts w:ascii="Times New Roman" w:hAnsi="Times New Roman"/>
                <w:b/>
                <w:sz w:val="18"/>
              </w:rPr>
              <w:t>Platt AUC</w:t>
            </w:r>
          </w:p>
        </w:tc>
        <w:tc>
          <w:tcPr>
            <w:tcW w:type="dxa" w:w="1872"/>
          </w:tcPr>
          <w:p>
            <w:r>
              <w:rPr>
                <w:rFonts w:ascii="Times New Roman" w:hAnsi="Times New Roman"/>
                <w:b/>
                <w:sz w:val="18"/>
              </w:rPr>
              <w:t>Iso Brier</w:t>
            </w:r>
          </w:p>
        </w:tc>
        <w:tc>
          <w:tcPr>
            <w:tcW w:type="dxa" w:w="1872"/>
          </w:tcPr>
          <w:p>
            <w:r>
              <w:rPr>
                <w:rFonts w:ascii="Times New Roman" w:hAnsi="Times New Roman"/>
                <w:b/>
                <w:sz w:val="18"/>
              </w:rPr>
              <w:t>Platt Brier</w:t>
            </w:r>
          </w:p>
        </w:tc>
      </w:tr>
      <w:tr>
        <w:tc>
          <w:tcPr>
            <w:tcW w:type="dxa" w:w="1872"/>
          </w:tcPr>
          <w:p>
            <w:r>
              <w:rPr>
                <w:rFonts w:ascii="Times New Roman" w:hAnsi="Times New Roman"/>
                <w:b w:val="0"/>
                <w:sz w:val="18"/>
              </w:rPr>
              <w:t>CALCE</w:t>
            </w:r>
          </w:p>
        </w:tc>
        <w:tc>
          <w:tcPr>
            <w:tcW w:type="dxa" w:w="1872"/>
          </w:tcPr>
          <w:p>
            <w:r>
              <w:rPr>
                <w:rFonts w:ascii="Times New Roman" w:hAnsi="Times New Roman"/>
                <w:b w:val="0"/>
                <w:sz w:val="18"/>
              </w:rPr>
              <w:t>0.713</w:t>
            </w:r>
          </w:p>
        </w:tc>
        <w:tc>
          <w:tcPr>
            <w:tcW w:type="dxa" w:w="1872"/>
          </w:tcPr>
          <w:p>
            <w:r>
              <w:rPr>
                <w:rFonts w:ascii="Times New Roman" w:hAnsi="Times New Roman"/>
                <w:b w:val="0"/>
                <w:sz w:val="18"/>
              </w:rPr>
              <w:t>0.887</w:t>
            </w:r>
          </w:p>
        </w:tc>
        <w:tc>
          <w:tcPr>
            <w:tcW w:type="dxa" w:w="1872"/>
          </w:tcPr>
          <w:p>
            <w:r>
              <w:rPr>
                <w:rFonts w:ascii="Times New Roman" w:hAnsi="Times New Roman"/>
                <w:b w:val="0"/>
                <w:sz w:val="18"/>
              </w:rPr>
              <w:t>0.107</w:t>
            </w:r>
          </w:p>
        </w:tc>
        <w:tc>
          <w:tcPr>
            <w:tcW w:type="dxa" w:w="1872"/>
          </w:tcPr>
          <w:p>
            <w:r>
              <w:rPr>
                <w:rFonts w:ascii="Times New Roman" w:hAnsi="Times New Roman"/>
                <w:b w:val="0"/>
                <w:sz w:val="18"/>
              </w:rPr>
              <w:t>0.105</w:t>
            </w:r>
          </w:p>
        </w:tc>
      </w:tr>
      <w:tr>
        <w:tc>
          <w:tcPr>
            <w:tcW w:type="dxa" w:w="1872"/>
          </w:tcPr>
          <w:p>
            <w:r>
              <w:rPr>
                <w:rFonts w:ascii="Times New Roman" w:hAnsi="Times New Roman"/>
                <w:b w:val="0"/>
                <w:sz w:val="18"/>
              </w:rPr>
              <w:t>NASA</w:t>
            </w:r>
          </w:p>
        </w:tc>
        <w:tc>
          <w:tcPr>
            <w:tcW w:type="dxa" w:w="1872"/>
          </w:tcPr>
          <w:p>
            <w:r>
              <w:rPr>
                <w:rFonts w:ascii="Times New Roman" w:hAnsi="Times New Roman"/>
                <w:b w:val="0"/>
                <w:sz w:val="18"/>
              </w:rPr>
              <w:t>0.838</w:t>
            </w:r>
          </w:p>
        </w:tc>
        <w:tc>
          <w:tcPr>
            <w:tcW w:type="dxa" w:w="1872"/>
          </w:tcPr>
          <w:p>
            <w:r>
              <w:rPr>
                <w:rFonts w:ascii="Times New Roman" w:hAnsi="Times New Roman"/>
                <w:b w:val="0"/>
                <w:sz w:val="18"/>
              </w:rPr>
              <w:t>0.903</w:t>
            </w:r>
          </w:p>
        </w:tc>
        <w:tc>
          <w:tcPr>
            <w:tcW w:type="dxa" w:w="1872"/>
          </w:tcPr>
          <w:p>
            <w:r>
              <w:rPr>
                <w:rFonts w:ascii="Times New Roman" w:hAnsi="Times New Roman"/>
                <w:b w:val="0"/>
                <w:sz w:val="18"/>
              </w:rPr>
              <w:t>0.209</w:t>
            </w:r>
          </w:p>
        </w:tc>
        <w:tc>
          <w:tcPr>
            <w:tcW w:type="dxa" w:w="1872"/>
          </w:tcPr>
          <w:p>
            <w:r>
              <w:rPr>
                <w:rFonts w:ascii="Times New Roman" w:hAnsi="Times New Roman"/>
                <w:b w:val="0"/>
                <w:sz w:val="18"/>
              </w:rPr>
              <w:t>0.212</w:t>
            </w:r>
          </w:p>
        </w:tc>
      </w:tr>
    </w:tbl>
    <w:p>
      <w:pPr>
        <w:jc w:val="both"/>
      </w:pPr>
    </w:p>
    <w:p>
      <w:pPr>
        <w:spacing w:before="160"/>
        <w:jc w:val="center"/>
      </w:pPr>
      <w:r>
        <w:drawing>
          <wp:inline xmlns:a="http://schemas.openxmlformats.org/drawingml/2006/main" xmlns:pic="http://schemas.openxmlformats.org/drawingml/2006/picture">
            <wp:extent cx="4572000" cy="1585714"/>
            <wp:docPr id="10" name="Picture 10"/>
            <wp:cNvGraphicFramePr>
              <a:graphicFrameLocks noChangeAspect="1"/>
            </wp:cNvGraphicFramePr>
            <a:graphic>
              <a:graphicData uri="http://schemas.openxmlformats.org/drawingml/2006/picture">
                <pic:pic>
                  <pic:nvPicPr>
                    <pic:cNvPr id="0" name="Fig02_Calibration_Comparison.png"/>
                    <pic:cNvPicPr/>
                  </pic:nvPicPr>
                  <pic:blipFill>
                    <a:blip r:embed="rId18"/>
                    <a:stretch>
                      <a:fillRect/>
                    </a:stretch>
                  </pic:blipFill>
                  <pic:spPr>
                    <a:xfrm>
                      <a:off x="0" y="0"/>
                      <a:ext cx="4572000" cy="1585714"/>
                    </a:xfrm>
                    <a:prstGeom prst="rect"/>
                  </pic:spPr>
                </pic:pic>
              </a:graphicData>
            </a:graphic>
          </wp:inline>
        </w:drawing>
      </w:r>
    </w:p>
    <w:p>
      <w:pPr>
        <w:jc w:val="center"/>
      </w:pPr>
      <w:r>
        <w:rPr>
          <w:rFonts w:ascii="Times New Roman" w:hAnsi="Times New Roman"/>
          <w:b/>
          <w:sz w:val="18"/>
        </w:rPr>
        <w:t>Figure 3. Platt vs. isotonic calibration reliability diagrams for NASA and CALCE (XGBoost, H = 20). Platt maintains smoother calibration curves; isotonic produces degenerate bins on long-tailed CALCE data.</w:t>
      </w:r>
    </w:p>
    <w:p>
      <w:pPr>
        <w:spacing w:before="280" w:after="120"/>
      </w:pPr>
      <w:r>
        <w:rPr>
          <w:rFonts w:ascii="Times New Roman" w:hAnsi="Times New Roman"/>
          <w:b/>
          <w:sz w:val="22"/>
        </w:rPr>
        <w:t>C. Cross-Chemistry Transfer</w:t>
      </w:r>
    </w:p>
    <w:p>
      <w:pPr>
        <w:jc w:val="both"/>
      </w:pPr>
      <w:r>
        <w:rPr>
          <w:rFonts w:ascii="Times New Roman" w:hAnsi="Times New Roman"/>
          <w:sz w:val="22"/>
        </w:rPr>
        <w:t>Tables Va and Vb present cross-chemistry transfer results with and without SOH as a feature. The contrast is unambiguous. When SOH is available, tree-based models achieve raw AUC values ranging from 0.84 to 1.00 across all training configurations and both LFP targets. The GRU achieves substantially lower raw AUC (0.08-0.73) even with SOH available, due to the architecture-specific entanglement mechanism discussed in Section IV-D.</w:t>
      </w:r>
    </w:p>
    <w:p>
      <w:pPr>
        <w:spacing w:before="200" w:after="80"/>
        <w:jc w:val="center"/>
      </w:pPr>
      <w:r>
        <w:rPr>
          <w:rFonts w:ascii="Times New Roman" w:hAnsi="Times New Roman"/>
          <w:b/>
          <w:sz w:val="18"/>
        </w:rPr>
        <w:t>TABLE VA: CROSS-CHEMISTRY TRANSFER — WITH SOH</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Training</w:t>
            </w:r>
          </w:p>
        </w:tc>
        <w:tc>
          <w:tcPr>
            <w:tcW w:type="dxa" w:w="1872"/>
          </w:tcPr>
          <w:p>
            <w:r>
              <w:rPr>
                <w:rFonts w:ascii="Times New Roman" w:hAnsi="Times New Roman"/>
                <w:b/>
                <w:sz w:val="18"/>
              </w:rPr>
              <w:t>Model</w:t>
            </w:r>
          </w:p>
        </w:tc>
        <w:tc>
          <w:tcPr>
            <w:tcW w:type="dxa" w:w="1872"/>
          </w:tcPr>
          <w:p>
            <w:r>
              <w:rPr>
                <w:rFonts w:ascii="Times New Roman" w:hAnsi="Times New Roman"/>
                <w:b/>
                <w:sz w:val="18"/>
              </w:rPr>
              <w:t>Target</w:t>
            </w:r>
          </w:p>
        </w:tc>
        <w:tc>
          <w:tcPr>
            <w:tcW w:type="dxa" w:w="1872"/>
          </w:tcPr>
          <w:p>
            <w:r>
              <w:rPr>
                <w:rFonts w:ascii="Times New Roman" w:hAnsi="Times New Roman"/>
                <w:b/>
                <w:sz w:val="18"/>
              </w:rPr>
              <w:t>Raw AUC</w:t>
            </w:r>
          </w:p>
        </w:tc>
        <w:tc>
          <w:tcPr>
            <w:tcW w:type="dxa" w:w="1872"/>
          </w:tcPr>
          <w:p>
            <w:r>
              <w:rPr>
                <w:rFonts w:ascii="Times New Roman" w:hAnsi="Times New Roman"/>
                <w:b/>
                <w:sz w:val="18"/>
              </w:rPr>
              <w:t>Iso AUC</w:t>
            </w:r>
          </w:p>
        </w:tc>
      </w:tr>
      <w:tr>
        <w:tc>
          <w:tcPr>
            <w:tcW w:type="dxa" w:w="1872"/>
          </w:tcPr>
          <w:p>
            <w:r>
              <w:rPr>
                <w:rFonts w:ascii="Times New Roman" w:hAnsi="Times New Roman"/>
                <w:b w:val="0"/>
                <w:sz w:val="18"/>
              </w:rPr>
              <w:t>CALCE With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0.907</w:t>
            </w:r>
          </w:p>
        </w:tc>
        <w:tc>
          <w:tcPr>
            <w:tcW w:type="dxa" w:w="1872"/>
          </w:tcPr>
          <w:p>
            <w:r>
              <w:rPr>
                <w:rFonts w:ascii="Times New Roman" w:hAnsi="Times New Roman"/>
                <w:b w:val="0"/>
                <w:sz w:val="18"/>
              </w:rPr>
              <w:t>0.500</w:t>
            </w:r>
          </w:p>
        </w:tc>
      </w:tr>
      <w:tr>
        <w:tc>
          <w:tcPr>
            <w:tcW w:type="dxa" w:w="1872"/>
          </w:tcPr>
          <w:p>
            <w:r>
              <w:rPr>
                <w:rFonts w:ascii="Times New Roman" w:hAnsi="Times New Roman"/>
                <w:b w:val="0"/>
                <w:sz w:val="18"/>
              </w:rPr>
              <w:t>CALCE With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0.481</w:t>
            </w:r>
          </w:p>
        </w:tc>
        <w:tc>
          <w:tcPr>
            <w:tcW w:type="dxa" w:w="1872"/>
          </w:tcPr>
          <w:p>
            <w:r>
              <w:rPr>
                <w:rFonts w:ascii="Times New Roman" w:hAnsi="Times New Roman"/>
                <w:b w:val="0"/>
                <w:sz w:val="18"/>
              </w:rPr>
              <w:t>0.500</w:t>
            </w:r>
          </w:p>
        </w:tc>
      </w:tr>
      <w:tr>
        <w:tc>
          <w:tcPr>
            <w:tcW w:type="dxa" w:w="1872"/>
          </w:tcPr>
          <w:p>
            <w:r>
              <w:rPr>
                <w:rFonts w:ascii="Times New Roman" w:hAnsi="Times New Roman"/>
                <w:b w:val="0"/>
                <w:sz w:val="18"/>
              </w:rPr>
              <w:t>CALCE With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0.697</w:t>
            </w:r>
          </w:p>
        </w:tc>
        <w:tc>
          <w:tcPr>
            <w:tcW w:type="dxa" w:w="1872"/>
          </w:tcPr>
          <w:p>
            <w:r>
              <w:rPr>
                <w:rFonts w:ascii="Times New Roman" w:hAnsi="Times New Roman"/>
                <w:b w:val="0"/>
                <w:sz w:val="18"/>
              </w:rPr>
              <w:t>0.508</w:t>
            </w:r>
          </w:p>
        </w:tc>
      </w:tr>
      <w:tr>
        <w:tc>
          <w:tcPr>
            <w:tcW w:type="dxa" w:w="1872"/>
          </w:tcPr>
          <w:p>
            <w:r>
              <w:rPr>
                <w:rFonts w:ascii="Times New Roman" w:hAnsi="Times New Roman"/>
                <w:b w:val="0"/>
                <w:sz w:val="18"/>
              </w:rPr>
              <w:t>CALCE With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0.861</w:t>
            </w:r>
          </w:p>
        </w:tc>
        <w:tc>
          <w:tcPr>
            <w:tcW w:type="dxa" w:w="1872"/>
          </w:tcPr>
          <w:p>
            <w:r>
              <w:rPr>
                <w:rFonts w:ascii="Times New Roman" w:hAnsi="Times New Roman"/>
                <w:b w:val="0"/>
                <w:sz w:val="18"/>
              </w:rPr>
              <w:t>0.608</w:t>
            </w:r>
          </w:p>
        </w:tc>
      </w:tr>
      <w:tr>
        <w:tc>
          <w:tcPr>
            <w:tcW w:type="dxa" w:w="1872"/>
          </w:tcPr>
          <w:p>
            <w:r>
              <w:rPr>
                <w:rFonts w:ascii="Times New Roman" w:hAnsi="Times New Roman"/>
                <w:b w:val="0"/>
                <w:sz w:val="18"/>
              </w:rPr>
              <w:t>CALCE With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0.786</w:t>
            </w:r>
          </w:p>
        </w:tc>
        <w:tc>
          <w:tcPr>
            <w:tcW w:type="dxa" w:w="1872"/>
          </w:tcPr>
          <w:p>
            <w:r>
              <w:rPr>
                <w:rFonts w:ascii="Times New Roman" w:hAnsi="Times New Roman"/>
                <w:b w:val="0"/>
                <w:sz w:val="18"/>
              </w:rPr>
              <w:t>0.513</w:t>
            </w:r>
          </w:p>
        </w:tc>
      </w:tr>
      <w:tr>
        <w:tc>
          <w:tcPr>
            <w:tcW w:type="dxa" w:w="1872"/>
          </w:tcPr>
          <w:p>
            <w:r>
              <w:rPr>
                <w:rFonts w:ascii="Times New Roman" w:hAnsi="Times New Roman"/>
                <w:b w:val="0"/>
                <w:sz w:val="18"/>
              </w:rPr>
              <w:t>CALCE With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0.985</w:t>
            </w:r>
          </w:p>
        </w:tc>
        <w:tc>
          <w:tcPr>
            <w:tcW w:type="dxa" w:w="1872"/>
          </w:tcPr>
          <w:p>
            <w:r>
              <w:rPr>
                <w:rFonts w:ascii="Times New Roman" w:hAnsi="Times New Roman"/>
                <w:b w:val="0"/>
                <w:sz w:val="18"/>
              </w:rPr>
              <w:t>0.678</w:t>
            </w:r>
          </w:p>
        </w:tc>
      </w:tr>
      <w:tr>
        <w:tc>
          <w:tcPr>
            <w:tcW w:type="dxa" w:w="1872"/>
          </w:tcPr>
          <w:p>
            <w:r>
              <w:rPr>
                <w:rFonts w:ascii="Times New Roman" w:hAnsi="Times New Roman"/>
                <w:b w:val="0"/>
                <w:sz w:val="18"/>
              </w:rPr>
              <w:t>CALCE With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0.767</w:t>
            </w:r>
          </w:p>
        </w:tc>
        <w:tc>
          <w:tcPr>
            <w:tcW w:type="dxa" w:w="1872"/>
          </w:tcPr>
          <w:p>
            <w:r>
              <w:rPr>
                <w:rFonts w:ascii="Times New Roman" w:hAnsi="Times New Roman"/>
                <w:b w:val="0"/>
                <w:sz w:val="18"/>
              </w:rPr>
              <w:t>0.509</w:t>
            </w:r>
          </w:p>
        </w:tc>
      </w:tr>
      <w:tr>
        <w:tc>
          <w:tcPr>
            <w:tcW w:type="dxa" w:w="1872"/>
          </w:tcPr>
          <w:p>
            <w:r>
              <w:rPr>
                <w:rFonts w:ascii="Times New Roman" w:hAnsi="Times New Roman"/>
                <w:b w:val="0"/>
                <w:sz w:val="18"/>
              </w:rPr>
              <w:t>CALCE With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0.969</w:t>
            </w:r>
          </w:p>
        </w:tc>
        <w:tc>
          <w:tcPr>
            <w:tcW w:type="dxa" w:w="1872"/>
          </w:tcPr>
          <w:p>
            <w:r>
              <w:rPr>
                <w:rFonts w:ascii="Times New Roman" w:hAnsi="Times New Roman"/>
                <w:b w:val="0"/>
                <w:sz w:val="18"/>
              </w:rPr>
              <w:t>0.609</w:t>
            </w:r>
          </w:p>
        </w:tc>
      </w:tr>
      <w:tr>
        <w:tc>
          <w:tcPr>
            <w:tcW w:type="dxa" w:w="1872"/>
          </w:tcPr>
          <w:p>
            <w:r>
              <w:rPr>
                <w:rFonts w:ascii="Times New Roman" w:hAnsi="Times New Roman"/>
                <w:b w:val="0"/>
                <w:sz w:val="18"/>
              </w:rPr>
              <w:t>NASA+CALCE With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0.442</w:t>
            </w:r>
          </w:p>
        </w:tc>
        <w:tc>
          <w:tcPr>
            <w:tcW w:type="dxa" w:w="1872"/>
          </w:tcPr>
          <w:p>
            <w:r>
              <w:rPr>
                <w:rFonts w:ascii="Times New Roman" w:hAnsi="Times New Roman"/>
                <w:b w:val="0"/>
                <w:sz w:val="18"/>
              </w:rPr>
              <w:t>0.500</w:t>
            </w:r>
          </w:p>
        </w:tc>
      </w:tr>
      <w:tr>
        <w:tc>
          <w:tcPr>
            <w:tcW w:type="dxa" w:w="1872"/>
          </w:tcPr>
          <w:p>
            <w:r>
              <w:rPr>
                <w:rFonts w:ascii="Times New Roman" w:hAnsi="Times New Roman"/>
                <w:b w:val="0"/>
                <w:sz w:val="18"/>
              </w:rPr>
              <w:t>NASA+CALCE With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0.494</w:t>
            </w:r>
          </w:p>
        </w:tc>
        <w:tc>
          <w:tcPr>
            <w:tcW w:type="dxa" w:w="1872"/>
          </w:tcPr>
          <w:p>
            <w:r>
              <w:rPr>
                <w:rFonts w:ascii="Times New Roman" w:hAnsi="Times New Roman"/>
                <w:b w:val="0"/>
                <w:sz w:val="18"/>
              </w:rPr>
              <w:t>0.503</w:t>
            </w:r>
          </w:p>
        </w:tc>
      </w:tr>
      <w:tr>
        <w:tc>
          <w:tcPr>
            <w:tcW w:type="dxa" w:w="1872"/>
          </w:tcPr>
          <w:p>
            <w:r>
              <w:rPr>
                <w:rFonts w:ascii="Times New Roman" w:hAnsi="Times New Roman"/>
                <w:b w:val="0"/>
                <w:sz w:val="18"/>
              </w:rPr>
              <w:t>NASA+CALCE With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0.821</w:t>
            </w:r>
          </w:p>
        </w:tc>
        <w:tc>
          <w:tcPr>
            <w:tcW w:type="dxa" w:w="1872"/>
          </w:tcPr>
          <w:p>
            <w:r>
              <w:rPr>
                <w:rFonts w:ascii="Times New Roman" w:hAnsi="Times New Roman"/>
                <w:b w:val="0"/>
                <w:sz w:val="18"/>
              </w:rPr>
              <w:t>0.506</w:t>
            </w:r>
          </w:p>
        </w:tc>
      </w:tr>
      <w:tr>
        <w:tc>
          <w:tcPr>
            <w:tcW w:type="dxa" w:w="1872"/>
          </w:tcPr>
          <w:p>
            <w:r>
              <w:rPr>
                <w:rFonts w:ascii="Times New Roman" w:hAnsi="Times New Roman"/>
                <w:b w:val="0"/>
                <w:sz w:val="18"/>
              </w:rPr>
              <w:t>NASA+CALCE With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0.988</w:t>
            </w:r>
          </w:p>
        </w:tc>
        <w:tc>
          <w:tcPr>
            <w:tcW w:type="dxa" w:w="1872"/>
          </w:tcPr>
          <w:p>
            <w:r>
              <w:rPr>
                <w:rFonts w:ascii="Times New Roman" w:hAnsi="Times New Roman"/>
                <w:b w:val="0"/>
                <w:sz w:val="18"/>
              </w:rPr>
              <w:t>0.642</w:t>
            </w:r>
          </w:p>
        </w:tc>
      </w:tr>
      <w:tr>
        <w:tc>
          <w:tcPr>
            <w:tcW w:type="dxa" w:w="1872"/>
          </w:tcPr>
          <w:p>
            <w:r>
              <w:rPr>
                <w:rFonts w:ascii="Times New Roman" w:hAnsi="Times New Roman"/>
                <w:b w:val="0"/>
                <w:sz w:val="18"/>
              </w:rPr>
              <w:t>NASA+CALCE With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0.969</w:t>
            </w:r>
          </w:p>
        </w:tc>
        <w:tc>
          <w:tcPr>
            <w:tcW w:type="dxa" w:w="1872"/>
          </w:tcPr>
          <w:p>
            <w:r>
              <w:rPr>
                <w:rFonts w:ascii="Times New Roman" w:hAnsi="Times New Roman"/>
                <w:b w:val="0"/>
                <w:sz w:val="18"/>
              </w:rPr>
              <w:t>0.596</w:t>
            </w:r>
          </w:p>
        </w:tc>
      </w:tr>
      <w:tr>
        <w:tc>
          <w:tcPr>
            <w:tcW w:type="dxa" w:w="1872"/>
          </w:tcPr>
          <w:p>
            <w:r>
              <w:rPr>
                <w:rFonts w:ascii="Times New Roman" w:hAnsi="Times New Roman"/>
                <w:b w:val="0"/>
                <w:sz w:val="18"/>
              </w:rPr>
              <w:t>NASA+CALCE With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0.998</w:t>
            </w:r>
          </w:p>
        </w:tc>
        <w:tc>
          <w:tcPr>
            <w:tcW w:type="dxa" w:w="1872"/>
          </w:tcPr>
          <w:p>
            <w:r>
              <w:rPr>
                <w:rFonts w:ascii="Times New Roman" w:hAnsi="Times New Roman"/>
                <w:b w:val="0"/>
                <w:sz w:val="18"/>
              </w:rPr>
              <w:t>0.957</w:t>
            </w:r>
          </w:p>
        </w:tc>
      </w:tr>
      <w:tr>
        <w:tc>
          <w:tcPr>
            <w:tcW w:type="dxa" w:w="1872"/>
          </w:tcPr>
          <w:p>
            <w:r>
              <w:rPr>
                <w:rFonts w:ascii="Times New Roman" w:hAnsi="Times New Roman"/>
                <w:b w:val="0"/>
                <w:sz w:val="18"/>
              </w:rPr>
              <w:t>NASA+CALCE With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0.890</w:t>
            </w:r>
          </w:p>
        </w:tc>
        <w:tc>
          <w:tcPr>
            <w:tcW w:type="dxa" w:w="1872"/>
          </w:tcPr>
          <w:p>
            <w:r>
              <w:rPr>
                <w:rFonts w:ascii="Times New Roman" w:hAnsi="Times New Roman"/>
                <w:b w:val="0"/>
                <w:sz w:val="18"/>
              </w:rPr>
              <w:t>0.510</w:t>
            </w:r>
          </w:p>
        </w:tc>
      </w:tr>
      <w:tr>
        <w:tc>
          <w:tcPr>
            <w:tcW w:type="dxa" w:w="1872"/>
          </w:tcPr>
          <w:p>
            <w:r>
              <w:rPr>
                <w:rFonts w:ascii="Times New Roman" w:hAnsi="Times New Roman"/>
                <w:b w:val="0"/>
                <w:sz w:val="18"/>
              </w:rPr>
              <w:t>NASA+CALCE With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0.995</w:t>
            </w:r>
          </w:p>
        </w:tc>
        <w:tc>
          <w:tcPr>
            <w:tcW w:type="dxa" w:w="1872"/>
          </w:tcPr>
          <w:p>
            <w:r>
              <w:rPr>
                <w:rFonts w:ascii="Times New Roman" w:hAnsi="Times New Roman"/>
                <w:b w:val="0"/>
                <w:sz w:val="18"/>
              </w:rPr>
              <w:t>0.702</w:t>
            </w:r>
          </w:p>
        </w:tc>
      </w:tr>
      <w:tr>
        <w:tc>
          <w:tcPr>
            <w:tcW w:type="dxa" w:w="1872"/>
          </w:tcPr>
          <w:p>
            <w:r>
              <w:rPr>
                <w:rFonts w:ascii="Times New Roman" w:hAnsi="Times New Roman"/>
                <w:b w:val="0"/>
                <w:sz w:val="18"/>
              </w:rPr>
              <w:t>NASA With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0.570</w:t>
            </w:r>
          </w:p>
        </w:tc>
        <w:tc>
          <w:tcPr>
            <w:tcW w:type="dxa" w:w="1872"/>
          </w:tcPr>
          <w:p>
            <w:r>
              <w:rPr>
                <w:rFonts w:ascii="Times New Roman" w:hAnsi="Times New Roman"/>
                <w:b w:val="0"/>
                <w:sz w:val="18"/>
              </w:rPr>
              <w:t>0.586</w:t>
            </w:r>
          </w:p>
        </w:tc>
      </w:tr>
      <w:tr>
        <w:tc>
          <w:tcPr>
            <w:tcW w:type="dxa" w:w="1872"/>
          </w:tcPr>
          <w:p>
            <w:r>
              <w:rPr>
                <w:rFonts w:ascii="Times New Roman" w:hAnsi="Times New Roman"/>
                <w:b w:val="0"/>
                <w:sz w:val="18"/>
              </w:rPr>
              <w:t>NASA With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0.573</w:t>
            </w:r>
          </w:p>
        </w:tc>
        <w:tc>
          <w:tcPr>
            <w:tcW w:type="dxa" w:w="1872"/>
          </w:tcPr>
          <w:p>
            <w:r>
              <w:rPr>
                <w:rFonts w:ascii="Times New Roman" w:hAnsi="Times New Roman"/>
                <w:b w:val="0"/>
                <w:sz w:val="18"/>
              </w:rPr>
              <w:t>0.499</w:t>
            </w:r>
          </w:p>
        </w:tc>
      </w:tr>
      <w:tr>
        <w:tc>
          <w:tcPr>
            <w:tcW w:type="dxa" w:w="1872"/>
          </w:tcPr>
          <w:p>
            <w:r>
              <w:rPr>
                <w:rFonts w:ascii="Times New Roman" w:hAnsi="Times New Roman"/>
                <w:b w:val="0"/>
                <w:sz w:val="18"/>
              </w:rPr>
              <w:t>NASA With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0.997</w:t>
            </w:r>
          </w:p>
        </w:tc>
        <w:tc>
          <w:tcPr>
            <w:tcW w:type="dxa" w:w="1872"/>
          </w:tcPr>
          <w:p>
            <w:r>
              <w:rPr>
                <w:rFonts w:ascii="Times New Roman" w:hAnsi="Times New Roman"/>
                <w:b w:val="0"/>
                <w:sz w:val="18"/>
              </w:rPr>
              <w:t>0.792</w:t>
            </w:r>
          </w:p>
        </w:tc>
      </w:tr>
      <w:tr>
        <w:tc>
          <w:tcPr>
            <w:tcW w:type="dxa" w:w="1872"/>
          </w:tcPr>
          <w:p>
            <w:r>
              <w:rPr>
                <w:rFonts w:ascii="Times New Roman" w:hAnsi="Times New Roman"/>
                <w:b w:val="0"/>
                <w:sz w:val="18"/>
              </w:rPr>
              <w:t>NASA With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0.995</w:t>
            </w:r>
          </w:p>
        </w:tc>
        <w:tc>
          <w:tcPr>
            <w:tcW w:type="dxa" w:w="1872"/>
          </w:tcPr>
          <w:p>
            <w:r>
              <w:rPr>
                <w:rFonts w:ascii="Times New Roman" w:hAnsi="Times New Roman"/>
                <w:b w:val="0"/>
                <w:sz w:val="18"/>
              </w:rPr>
              <w:t>0.824</w:t>
            </w:r>
          </w:p>
        </w:tc>
      </w:tr>
      <w:tr>
        <w:tc>
          <w:tcPr>
            <w:tcW w:type="dxa" w:w="1872"/>
          </w:tcPr>
          <w:p>
            <w:r>
              <w:rPr>
                <w:rFonts w:ascii="Times New Roman" w:hAnsi="Times New Roman"/>
                <w:b w:val="0"/>
                <w:sz w:val="18"/>
              </w:rPr>
              <w:t>NASA With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0.996</w:t>
            </w:r>
          </w:p>
        </w:tc>
        <w:tc>
          <w:tcPr>
            <w:tcW w:type="dxa" w:w="1872"/>
          </w:tcPr>
          <w:p>
            <w:r>
              <w:rPr>
                <w:rFonts w:ascii="Times New Roman" w:hAnsi="Times New Roman"/>
                <w:b w:val="0"/>
                <w:sz w:val="18"/>
              </w:rPr>
              <w:t>0.853</w:t>
            </w:r>
          </w:p>
        </w:tc>
      </w:tr>
      <w:tr>
        <w:tc>
          <w:tcPr>
            <w:tcW w:type="dxa" w:w="1872"/>
          </w:tcPr>
          <w:p>
            <w:r>
              <w:rPr>
                <w:rFonts w:ascii="Times New Roman" w:hAnsi="Times New Roman"/>
                <w:b w:val="0"/>
                <w:sz w:val="18"/>
              </w:rPr>
              <w:t>NASA With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0.999</w:t>
            </w:r>
          </w:p>
        </w:tc>
        <w:tc>
          <w:tcPr>
            <w:tcW w:type="dxa" w:w="1872"/>
          </w:tcPr>
          <w:p>
            <w:r>
              <w:rPr>
                <w:rFonts w:ascii="Times New Roman" w:hAnsi="Times New Roman"/>
                <w:b w:val="0"/>
                <w:sz w:val="18"/>
              </w:rPr>
              <w:t>0.824</w:t>
            </w:r>
          </w:p>
        </w:tc>
      </w:tr>
      <w:tr>
        <w:tc>
          <w:tcPr>
            <w:tcW w:type="dxa" w:w="1872"/>
          </w:tcPr>
          <w:p>
            <w:r>
              <w:rPr>
                <w:rFonts w:ascii="Times New Roman" w:hAnsi="Times New Roman"/>
                <w:b w:val="0"/>
                <w:sz w:val="18"/>
              </w:rPr>
              <w:t>NASA With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0.956</w:t>
            </w:r>
          </w:p>
        </w:tc>
        <w:tc>
          <w:tcPr>
            <w:tcW w:type="dxa" w:w="1872"/>
          </w:tcPr>
          <w:p>
            <w:r>
              <w:rPr>
                <w:rFonts w:ascii="Times New Roman" w:hAnsi="Times New Roman"/>
                <w:b w:val="0"/>
                <w:sz w:val="18"/>
              </w:rPr>
              <w:t>0.817</w:t>
            </w:r>
          </w:p>
        </w:tc>
      </w:tr>
      <w:tr>
        <w:tc>
          <w:tcPr>
            <w:tcW w:type="dxa" w:w="1872"/>
          </w:tcPr>
          <w:p>
            <w:r>
              <w:rPr>
                <w:rFonts w:ascii="Times New Roman" w:hAnsi="Times New Roman"/>
                <w:b w:val="0"/>
                <w:sz w:val="18"/>
              </w:rPr>
              <w:t>NASA With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0.994</w:t>
            </w:r>
          </w:p>
        </w:tc>
        <w:tc>
          <w:tcPr>
            <w:tcW w:type="dxa" w:w="1872"/>
          </w:tcPr>
          <w:p>
            <w:r>
              <w:rPr>
                <w:rFonts w:ascii="Times New Roman" w:hAnsi="Times New Roman"/>
                <w:b w:val="0"/>
                <w:sz w:val="18"/>
              </w:rPr>
              <w:t>0.714</w:t>
            </w:r>
          </w:p>
        </w:tc>
      </w:tr>
    </w:tbl>
    <w:p>
      <w:pPr>
        <w:spacing w:before="200" w:after="80"/>
        <w:jc w:val="center"/>
      </w:pPr>
      <w:r>
        <w:rPr>
          <w:rFonts w:ascii="Times New Roman" w:hAnsi="Times New Roman"/>
          <w:b/>
          <w:sz w:val="18"/>
        </w:rPr>
        <w:t>TABLE VA: CROSS-CHEMISTRY TRANSFER — WITHOUT SOH</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Training</w:t>
            </w:r>
          </w:p>
        </w:tc>
        <w:tc>
          <w:tcPr>
            <w:tcW w:type="dxa" w:w="1872"/>
          </w:tcPr>
          <w:p>
            <w:r>
              <w:rPr>
                <w:rFonts w:ascii="Times New Roman" w:hAnsi="Times New Roman"/>
                <w:b/>
                <w:sz w:val="18"/>
              </w:rPr>
              <w:t>Model</w:t>
            </w:r>
          </w:p>
        </w:tc>
        <w:tc>
          <w:tcPr>
            <w:tcW w:type="dxa" w:w="1872"/>
          </w:tcPr>
          <w:p>
            <w:r>
              <w:rPr>
                <w:rFonts w:ascii="Times New Roman" w:hAnsi="Times New Roman"/>
                <w:b/>
                <w:sz w:val="18"/>
              </w:rPr>
              <w:t>Target</w:t>
            </w:r>
          </w:p>
        </w:tc>
        <w:tc>
          <w:tcPr>
            <w:tcW w:type="dxa" w:w="1872"/>
          </w:tcPr>
          <w:p>
            <w:r>
              <w:rPr>
                <w:rFonts w:ascii="Times New Roman" w:hAnsi="Times New Roman"/>
                <w:b/>
                <w:sz w:val="18"/>
              </w:rPr>
              <w:t>Raw AUC</w:t>
            </w:r>
          </w:p>
        </w:tc>
        <w:tc>
          <w:tcPr>
            <w:tcW w:type="dxa" w:w="1872"/>
          </w:tcPr>
          <w:p>
            <w:r>
              <w:rPr>
                <w:rFonts w:ascii="Times New Roman" w:hAnsi="Times New Roman"/>
                <w:b/>
                <w:sz w:val="18"/>
              </w:rPr>
              <w:t>Iso AUC</w:t>
            </w:r>
          </w:p>
        </w:tc>
      </w:tr>
      <w:tr>
        <w:tc>
          <w:tcPr>
            <w:tcW w:type="dxa" w:w="1872"/>
          </w:tcPr>
          <w:p>
            <w:r>
              <w:rPr>
                <w:rFonts w:ascii="Times New Roman" w:hAnsi="Times New Roman"/>
                <w:b w:val="0"/>
                <w:sz w:val="18"/>
              </w:rPr>
              <w:t>CALCE No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0.055</w:t>
            </w:r>
          </w:p>
        </w:tc>
        <w:tc>
          <w:tcPr>
            <w:tcW w:type="dxa" w:w="1872"/>
          </w:tcPr>
          <w:p>
            <w:r>
              <w:rPr>
                <w:rFonts w:ascii="Times New Roman" w:hAnsi="Times New Roman"/>
                <w:b w:val="0"/>
                <w:sz w:val="18"/>
              </w:rPr>
              <w:t>0.500</w:t>
            </w:r>
          </w:p>
        </w:tc>
      </w:tr>
      <w:tr>
        <w:tc>
          <w:tcPr>
            <w:tcW w:type="dxa" w:w="1872"/>
          </w:tcPr>
          <w:p>
            <w:r>
              <w:rPr>
                <w:rFonts w:ascii="Times New Roman" w:hAnsi="Times New Roman"/>
                <w:b w:val="0"/>
                <w:sz w:val="18"/>
              </w:rPr>
              <w:t>CALCE No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0.487</w:t>
            </w:r>
          </w:p>
        </w:tc>
        <w:tc>
          <w:tcPr>
            <w:tcW w:type="dxa" w:w="1872"/>
          </w:tcPr>
          <w:p>
            <w:r>
              <w:rPr>
                <w:rFonts w:ascii="Times New Roman" w:hAnsi="Times New Roman"/>
                <w:b w:val="0"/>
                <w:sz w:val="18"/>
              </w:rPr>
              <w:t>0.500</w:t>
            </w:r>
          </w:p>
        </w:tc>
      </w:tr>
      <w:tr>
        <w:tc>
          <w:tcPr>
            <w:tcW w:type="dxa" w:w="1872"/>
          </w:tcPr>
          <w:p>
            <w:r>
              <w:rPr>
                <w:rFonts w:ascii="Times New Roman" w:hAnsi="Times New Roman"/>
                <w:b w:val="0"/>
                <w:sz w:val="18"/>
              </w:rPr>
              <w:t>CALCE No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0.400</w:t>
            </w:r>
          </w:p>
        </w:tc>
        <w:tc>
          <w:tcPr>
            <w:tcW w:type="dxa" w:w="1872"/>
          </w:tcPr>
          <w:p>
            <w:r>
              <w:rPr>
                <w:rFonts w:ascii="Times New Roman" w:hAnsi="Times New Roman"/>
                <w:b w:val="0"/>
                <w:sz w:val="18"/>
              </w:rPr>
              <w:t>0.508</w:t>
            </w:r>
          </w:p>
        </w:tc>
      </w:tr>
      <w:tr>
        <w:tc>
          <w:tcPr>
            <w:tcW w:type="dxa" w:w="1872"/>
          </w:tcPr>
          <w:p>
            <w:r>
              <w:rPr>
                <w:rFonts w:ascii="Times New Roman" w:hAnsi="Times New Roman"/>
                <w:b w:val="0"/>
                <w:sz w:val="18"/>
              </w:rPr>
              <w:t>CALCE No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0.801</w:t>
            </w:r>
          </w:p>
        </w:tc>
        <w:tc>
          <w:tcPr>
            <w:tcW w:type="dxa" w:w="1872"/>
          </w:tcPr>
          <w:p>
            <w:r>
              <w:rPr>
                <w:rFonts w:ascii="Times New Roman" w:hAnsi="Times New Roman"/>
                <w:b w:val="0"/>
                <w:sz w:val="18"/>
              </w:rPr>
              <w:t>0.599</w:t>
            </w:r>
          </w:p>
        </w:tc>
      </w:tr>
      <w:tr>
        <w:tc>
          <w:tcPr>
            <w:tcW w:type="dxa" w:w="1872"/>
          </w:tcPr>
          <w:p>
            <w:r>
              <w:rPr>
                <w:rFonts w:ascii="Times New Roman" w:hAnsi="Times New Roman"/>
                <w:b w:val="0"/>
                <w:sz w:val="18"/>
              </w:rPr>
              <w:t>CALCE No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0.484</w:t>
            </w:r>
          </w:p>
        </w:tc>
        <w:tc>
          <w:tcPr>
            <w:tcW w:type="dxa" w:w="1872"/>
          </w:tcPr>
          <w:p>
            <w:r>
              <w:rPr>
                <w:rFonts w:ascii="Times New Roman" w:hAnsi="Times New Roman"/>
                <w:b w:val="0"/>
                <w:sz w:val="18"/>
              </w:rPr>
              <w:t>0.510</w:t>
            </w:r>
          </w:p>
        </w:tc>
      </w:tr>
      <w:tr>
        <w:tc>
          <w:tcPr>
            <w:tcW w:type="dxa" w:w="1872"/>
          </w:tcPr>
          <w:p>
            <w:r>
              <w:rPr>
                <w:rFonts w:ascii="Times New Roman" w:hAnsi="Times New Roman"/>
                <w:b w:val="0"/>
                <w:sz w:val="18"/>
              </w:rPr>
              <w:t>CALCE No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0.837</w:t>
            </w:r>
          </w:p>
        </w:tc>
        <w:tc>
          <w:tcPr>
            <w:tcW w:type="dxa" w:w="1872"/>
          </w:tcPr>
          <w:p>
            <w:r>
              <w:rPr>
                <w:rFonts w:ascii="Times New Roman" w:hAnsi="Times New Roman"/>
                <w:b w:val="0"/>
                <w:sz w:val="18"/>
              </w:rPr>
              <w:t>0.615</w:t>
            </w:r>
          </w:p>
        </w:tc>
      </w:tr>
      <w:tr>
        <w:tc>
          <w:tcPr>
            <w:tcW w:type="dxa" w:w="1872"/>
          </w:tcPr>
          <w:p>
            <w:r>
              <w:rPr>
                <w:rFonts w:ascii="Times New Roman" w:hAnsi="Times New Roman"/>
                <w:b w:val="0"/>
                <w:sz w:val="18"/>
              </w:rPr>
              <w:t>CALCE No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0.373</w:t>
            </w:r>
          </w:p>
        </w:tc>
        <w:tc>
          <w:tcPr>
            <w:tcW w:type="dxa" w:w="1872"/>
          </w:tcPr>
          <w:p>
            <w:r>
              <w:rPr>
                <w:rFonts w:ascii="Times New Roman" w:hAnsi="Times New Roman"/>
                <w:b w:val="0"/>
                <w:sz w:val="18"/>
              </w:rPr>
              <w:t>0.513</w:t>
            </w:r>
          </w:p>
        </w:tc>
      </w:tr>
      <w:tr>
        <w:tc>
          <w:tcPr>
            <w:tcW w:type="dxa" w:w="1872"/>
          </w:tcPr>
          <w:p>
            <w:r>
              <w:rPr>
                <w:rFonts w:ascii="Times New Roman" w:hAnsi="Times New Roman"/>
                <w:b w:val="0"/>
                <w:sz w:val="18"/>
              </w:rPr>
              <w:t>CALCE No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0.806</w:t>
            </w:r>
          </w:p>
        </w:tc>
        <w:tc>
          <w:tcPr>
            <w:tcW w:type="dxa" w:w="1872"/>
          </w:tcPr>
          <w:p>
            <w:r>
              <w:rPr>
                <w:rFonts w:ascii="Times New Roman" w:hAnsi="Times New Roman"/>
                <w:b w:val="0"/>
                <w:sz w:val="18"/>
              </w:rPr>
              <w:t>0.604</w:t>
            </w:r>
          </w:p>
        </w:tc>
      </w:tr>
      <w:tr>
        <w:tc>
          <w:tcPr>
            <w:tcW w:type="dxa" w:w="1872"/>
          </w:tcPr>
          <w:p>
            <w:r>
              <w:rPr>
                <w:rFonts w:ascii="Times New Roman" w:hAnsi="Times New Roman"/>
                <w:b w:val="0"/>
                <w:sz w:val="18"/>
              </w:rPr>
              <w:t>NASA+CALCE No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0.155</w:t>
            </w:r>
          </w:p>
        </w:tc>
        <w:tc>
          <w:tcPr>
            <w:tcW w:type="dxa" w:w="1872"/>
          </w:tcPr>
          <w:p>
            <w:r>
              <w:rPr>
                <w:rFonts w:ascii="Times New Roman" w:hAnsi="Times New Roman"/>
                <w:b w:val="0"/>
                <w:sz w:val="18"/>
              </w:rPr>
              <w:t>0.500</w:t>
            </w:r>
          </w:p>
        </w:tc>
      </w:tr>
      <w:tr>
        <w:tc>
          <w:tcPr>
            <w:tcW w:type="dxa" w:w="1872"/>
          </w:tcPr>
          <w:p>
            <w:r>
              <w:rPr>
                <w:rFonts w:ascii="Times New Roman" w:hAnsi="Times New Roman"/>
                <w:b w:val="0"/>
                <w:sz w:val="18"/>
              </w:rPr>
              <w:t>NASA+CALCE No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0.500</w:t>
            </w:r>
          </w:p>
        </w:tc>
        <w:tc>
          <w:tcPr>
            <w:tcW w:type="dxa" w:w="1872"/>
          </w:tcPr>
          <w:p>
            <w:r>
              <w:rPr>
                <w:rFonts w:ascii="Times New Roman" w:hAnsi="Times New Roman"/>
                <w:b w:val="0"/>
                <w:sz w:val="18"/>
              </w:rPr>
              <w:t>0.495</w:t>
            </w:r>
          </w:p>
        </w:tc>
      </w:tr>
      <w:tr>
        <w:tc>
          <w:tcPr>
            <w:tcW w:type="dxa" w:w="1872"/>
          </w:tcPr>
          <w:p>
            <w:r>
              <w:rPr>
                <w:rFonts w:ascii="Times New Roman" w:hAnsi="Times New Roman"/>
                <w:b w:val="0"/>
                <w:sz w:val="18"/>
              </w:rPr>
              <w:t>NASA+CALCE No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0.423</w:t>
            </w:r>
          </w:p>
        </w:tc>
        <w:tc>
          <w:tcPr>
            <w:tcW w:type="dxa" w:w="1872"/>
          </w:tcPr>
          <w:p>
            <w:r>
              <w:rPr>
                <w:rFonts w:ascii="Times New Roman" w:hAnsi="Times New Roman"/>
                <w:b w:val="0"/>
                <w:sz w:val="18"/>
              </w:rPr>
              <w:t>0.512</w:t>
            </w:r>
          </w:p>
        </w:tc>
      </w:tr>
      <w:tr>
        <w:tc>
          <w:tcPr>
            <w:tcW w:type="dxa" w:w="1872"/>
          </w:tcPr>
          <w:p>
            <w:r>
              <w:rPr>
                <w:rFonts w:ascii="Times New Roman" w:hAnsi="Times New Roman"/>
                <w:b w:val="0"/>
                <w:sz w:val="18"/>
              </w:rPr>
              <w:t>NASA+CALCE No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0.828</w:t>
            </w:r>
          </w:p>
        </w:tc>
        <w:tc>
          <w:tcPr>
            <w:tcW w:type="dxa" w:w="1872"/>
          </w:tcPr>
          <w:p>
            <w:r>
              <w:rPr>
                <w:rFonts w:ascii="Times New Roman" w:hAnsi="Times New Roman"/>
                <w:b w:val="0"/>
                <w:sz w:val="18"/>
              </w:rPr>
              <w:t>0.603</w:t>
            </w:r>
          </w:p>
        </w:tc>
      </w:tr>
      <w:tr>
        <w:tc>
          <w:tcPr>
            <w:tcW w:type="dxa" w:w="1872"/>
          </w:tcPr>
          <w:p>
            <w:r>
              <w:rPr>
                <w:rFonts w:ascii="Times New Roman" w:hAnsi="Times New Roman"/>
                <w:b w:val="0"/>
                <w:sz w:val="18"/>
              </w:rPr>
              <w:t>NASA+CALCE No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0.497</w:t>
            </w:r>
          </w:p>
        </w:tc>
        <w:tc>
          <w:tcPr>
            <w:tcW w:type="dxa" w:w="1872"/>
          </w:tcPr>
          <w:p>
            <w:r>
              <w:rPr>
                <w:rFonts w:ascii="Times New Roman" w:hAnsi="Times New Roman"/>
                <w:b w:val="0"/>
                <w:sz w:val="18"/>
              </w:rPr>
              <w:t>0.541</w:t>
            </w:r>
          </w:p>
        </w:tc>
      </w:tr>
      <w:tr>
        <w:tc>
          <w:tcPr>
            <w:tcW w:type="dxa" w:w="1872"/>
          </w:tcPr>
          <w:p>
            <w:r>
              <w:rPr>
                <w:rFonts w:ascii="Times New Roman" w:hAnsi="Times New Roman"/>
                <w:b w:val="0"/>
                <w:sz w:val="18"/>
              </w:rPr>
              <w:t>NASA+CALCE No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0.872</w:t>
            </w:r>
          </w:p>
        </w:tc>
        <w:tc>
          <w:tcPr>
            <w:tcW w:type="dxa" w:w="1872"/>
          </w:tcPr>
          <w:p>
            <w:r>
              <w:rPr>
                <w:rFonts w:ascii="Times New Roman" w:hAnsi="Times New Roman"/>
                <w:b w:val="0"/>
                <w:sz w:val="18"/>
              </w:rPr>
              <w:t>0.838</w:t>
            </w:r>
          </w:p>
        </w:tc>
      </w:tr>
      <w:tr>
        <w:tc>
          <w:tcPr>
            <w:tcW w:type="dxa" w:w="1872"/>
          </w:tcPr>
          <w:p>
            <w:r>
              <w:rPr>
                <w:rFonts w:ascii="Times New Roman" w:hAnsi="Times New Roman"/>
                <w:b w:val="0"/>
                <w:sz w:val="18"/>
              </w:rPr>
              <w:t>NASA+CALCE No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0.413</w:t>
            </w:r>
          </w:p>
        </w:tc>
        <w:tc>
          <w:tcPr>
            <w:tcW w:type="dxa" w:w="1872"/>
          </w:tcPr>
          <w:p>
            <w:r>
              <w:rPr>
                <w:rFonts w:ascii="Times New Roman" w:hAnsi="Times New Roman"/>
                <w:b w:val="0"/>
                <w:sz w:val="18"/>
              </w:rPr>
              <w:t>0.510</w:t>
            </w:r>
          </w:p>
        </w:tc>
      </w:tr>
      <w:tr>
        <w:tc>
          <w:tcPr>
            <w:tcW w:type="dxa" w:w="1872"/>
          </w:tcPr>
          <w:p>
            <w:r>
              <w:rPr>
                <w:rFonts w:ascii="Times New Roman" w:hAnsi="Times New Roman"/>
                <w:b w:val="0"/>
                <w:sz w:val="18"/>
              </w:rPr>
              <w:t>NASA+CALCE No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0.853</w:t>
            </w:r>
          </w:p>
        </w:tc>
        <w:tc>
          <w:tcPr>
            <w:tcW w:type="dxa" w:w="1872"/>
          </w:tcPr>
          <w:p>
            <w:r>
              <w:rPr>
                <w:rFonts w:ascii="Times New Roman" w:hAnsi="Times New Roman"/>
                <w:b w:val="0"/>
                <w:sz w:val="18"/>
              </w:rPr>
              <w:t>0.653</w:t>
            </w:r>
          </w:p>
        </w:tc>
      </w:tr>
      <w:tr>
        <w:tc>
          <w:tcPr>
            <w:tcW w:type="dxa" w:w="1872"/>
          </w:tcPr>
          <w:p>
            <w:r>
              <w:rPr>
                <w:rFonts w:ascii="Times New Roman" w:hAnsi="Times New Roman"/>
                <w:b w:val="0"/>
                <w:sz w:val="18"/>
              </w:rPr>
              <w:t>NASA No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0.458</w:t>
            </w:r>
          </w:p>
        </w:tc>
        <w:tc>
          <w:tcPr>
            <w:tcW w:type="dxa" w:w="1872"/>
          </w:tcPr>
          <w:p>
            <w:r>
              <w:rPr>
                <w:rFonts w:ascii="Times New Roman" w:hAnsi="Times New Roman"/>
                <w:b w:val="0"/>
                <w:sz w:val="18"/>
              </w:rPr>
              <w:t>0.436</w:t>
            </w:r>
          </w:p>
        </w:tc>
      </w:tr>
      <w:tr>
        <w:tc>
          <w:tcPr>
            <w:tcW w:type="dxa" w:w="1872"/>
          </w:tcPr>
          <w:p>
            <w:r>
              <w:rPr>
                <w:rFonts w:ascii="Times New Roman" w:hAnsi="Times New Roman"/>
                <w:b w:val="0"/>
                <w:sz w:val="18"/>
              </w:rPr>
              <w:t>NASA No Soh</w:t>
            </w:r>
          </w:p>
        </w:tc>
        <w:tc>
          <w:tcPr>
            <w:tcW w:type="dxa" w:w="1872"/>
          </w:tcPr>
          <w:p>
            <w:r>
              <w:rPr>
                <w:rFonts w:ascii="Times New Roman" w:hAnsi="Times New Roman"/>
                <w:b w:val="0"/>
                <w:sz w:val="18"/>
              </w:rPr>
              <w:t>GRU</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0.496</w:t>
            </w:r>
          </w:p>
        </w:tc>
        <w:tc>
          <w:tcPr>
            <w:tcW w:type="dxa" w:w="1872"/>
          </w:tcPr>
          <w:p>
            <w:r>
              <w:rPr>
                <w:rFonts w:ascii="Times New Roman" w:hAnsi="Times New Roman"/>
                <w:b w:val="0"/>
                <w:sz w:val="18"/>
              </w:rPr>
              <w:t>0.524</w:t>
            </w:r>
          </w:p>
        </w:tc>
      </w:tr>
      <w:tr>
        <w:tc>
          <w:tcPr>
            <w:tcW w:type="dxa" w:w="1872"/>
          </w:tcPr>
          <w:p>
            <w:r>
              <w:rPr>
                <w:rFonts w:ascii="Times New Roman" w:hAnsi="Times New Roman"/>
                <w:b w:val="0"/>
                <w:sz w:val="18"/>
              </w:rPr>
              <w:t>NASA No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0.470</w:t>
            </w:r>
          </w:p>
        </w:tc>
        <w:tc>
          <w:tcPr>
            <w:tcW w:type="dxa" w:w="1872"/>
          </w:tcPr>
          <w:p>
            <w:r>
              <w:rPr>
                <w:rFonts w:ascii="Times New Roman" w:hAnsi="Times New Roman"/>
                <w:b w:val="0"/>
                <w:sz w:val="18"/>
              </w:rPr>
              <w:t>0.493</w:t>
            </w:r>
          </w:p>
        </w:tc>
      </w:tr>
      <w:tr>
        <w:tc>
          <w:tcPr>
            <w:tcW w:type="dxa" w:w="1872"/>
          </w:tcPr>
          <w:p>
            <w:r>
              <w:rPr>
                <w:rFonts w:ascii="Times New Roman" w:hAnsi="Times New Roman"/>
                <w:b w:val="0"/>
                <w:sz w:val="18"/>
              </w:rPr>
              <w:t>NASA No Soh</w:t>
            </w:r>
          </w:p>
        </w:tc>
        <w:tc>
          <w:tcPr>
            <w:tcW w:type="dxa" w:w="1872"/>
          </w:tcPr>
          <w:p>
            <w:r>
              <w:rPr>
                <w:rFonts w:ascii="Times New Roman" w:hAnsi="Times New Roman"/>
                <w:b w:val="0"/>
                <w:sz w:val="18"/>
              </w:rPr>
              <w:t>LightGBM</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0.703</w:t>
            </w:r>
          </w:p>
        </w:tc>
        <w:tc>
          <w:tcPr>
            <w:tcW w:type="dxa" w:w="1872"/>
          </w:tcPr>
          <w:p>
            <w:r>
              <w:rPr>
                <w:rFonts w:ascii="Times New Roman" w:hAnsi="Times New Roman"/>
                <w:b w:val="0"/>
                <w:sz w:val="18"/>
              </w:rPr>
              <w:t>0.601</w:t>
            </w:r>
          </w:p>
        </w:tc>
      </w:tr>
      <w:tr>
        <w:tc>
          <w:tcPr>
            <w:tcW w:type="dxa" w:w="1872"/>
          </w:tcPr>
          <w:p>
            <w:r>
              <w:rPr>
                <w:rFonts w:ascii="Times New Roman" w:hAnsi="Times New Roman"/>
                <w:b w:val="0"/>
                <w:sz w:val="18"/>
              </w:rPr>
              <w:t>NASA No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0.412</w:t>
            </w:r>
          </w:p>
        </w:tc>
        <w:tc>
          <w:tcPr>
            <w:tcW w:type="dxa" w:w="1872"/>
          </w:tcPr>
          <w:p>
            <w:r>
              <w:rPr>
                <w:rFonts w:ascii="Times New Roman" w:hAnsi="Times New Roman"/>
                <w:b w:val="0"/>
                <w:sz w:val="18"/>
              </w:rPr>
              <w:t>0.540</w:t>
            </w:r>
          </w:p>
        </w:tc>
      </w:tr>
      <w:tr>
        <w:tc>
          <w:tcPr>
            <w:tcW w:type="dxa" w:w="1872"/>
          </w:tcPr>
          <w:p>
            <w:r>
              <w:rPr>
                <w:rFonts w:ascii="Times New Roman" w:hAnsi="Times New Roman"/>
                <w:b w:val="0"/>
                <w:sz w:val="18"/>
              </w:rPr>
              <w:t>NASA No Soh</w:t>
            </w:r>
          </w:p>
        </w:tc>
        <w:tc>
          <w:tcPr>
            <w:tcW w:type="dxa" w:w="1872"/>
          </w:tcPr>
          <w:p>
            <w:r>
              <w:rPr>
                <w:rFonts w:ascii="Times New Roman" w:hAnsi="Times New Roman"/>
                <w:b w:val="0"/>
                <w:sz w:val="18"/>
              </w:rPr>
              <w:t>Random Forest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0.845</w:t>
            </w:r>
          </w:p>
        </w:tc>
        <w:tc>
          <w:tcPr>
            <w:tcW w:type="dxa" w:w="1872"/>
          </w:tcPr>
          <w:p>
            <w:r>
              <w:rPr>
                <w:rFonts w:ascii="Times New Roman" w:hAnsi="Times New Roman"/>
                <w:b w:val="0"/>
                <w:sz w:val="18"/>
              </w:rPr>
              <w:t>0.632</w:t>
            </w:r>
          </w:p>
        </w:tc>
      </w:tr>
      <w:tr>
        <w:tc>
          <w:tcPr>
            <w:tcW w:type="dxa" w:w="1872"/>
          </w:tcPr>
          <w:p>
            <w:r>
              <w:rPr>
                <w:rFonts w:ascii="Times New Roman" w:hAnsi="Times New Roman"/>
                <w:b w:val="0"/>
                <w:sz w:val="18"/>
              </w:rPr>
              <w:t>NASA No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Oxford</w:t>
            </w:r>
          </w:p>
        </w:tc>
        <w:tc>
          <w:tcPr>
            <w:tcW w:type="dxa" w:w="1872"/>
          </w:tcPr>
          <w:p>
            <w:r>
              <w:rPr>
                <w:rFonts w:ascii="Times New Roman" w:hAnsi="Times New Roman"/>
                <w:b w:val="0"/>
                <w:sz w:val="18"/>
              </w:rPr>
              <w:t>0.610</w:t>
            </w:r>
          </w:p>
        </w:tc>
        <w:tc>
          <w:tcPr>
            <w:tcW w:type="dxa" w:w="1872"/>
          </w:tcPr>
          <w:p>
            <w:r>
              <w:rPr>
                <w:rFonts w:ascii="Times New Roman" w:hAnsi="Times New Roman"/>
                <w:b w:val="0"/>
                <w:sz w:val="18"/>
              </w:rPr>
              <w:t>0.507</w:t>
            </w:r>
          </w:p>
        </w:tc>
      </w:tr>
      <w:tr>
        <w:tc>
          <w:tcPr>
            <w:tcW w:type="dxa" w:w="1872"/>
          </w:tcPr>
          <w:p>
            <w:r>
              <w:rPr>
                <w:rFonts w:ascii="Times New Roman" w:hAnsi="Times New Roman"/>
                <w:b w:val="0"/>
                <w:sz w:val="18"/>
              </w:rPr>
              <w:t>NASA No Soh</w:t>
            </w:r>
          </w:p>
        </w:tc>
        <w:tc>
          <w:tcPr>
            <w:tcW w:type="dxa" w:w="1872"/>
          </w:tcPr>
          <w:p>
            <w:r>
              <w:rPr>
                <w:rFonts w:ascii="Times New Roman" w:hAnsi="Times New Roman"/>
                <w:b w:val="0"/>
                <w:sz w:val="18"/>
              </w:rPr>
              <w:t>XGBoost</w:t>
            </w:r>
          </w:p>
        </w:tc>
        <w:tc>
          <w:tcPr>
            <w:tcW w:type="dxa" w:w="1872"/>
          </w:tcPr>
          <w:p>
            <w:r>
              <w:rPr>
                <w:rFonts w:ascii="Times New Roman" w:hAnsi="Times New Roman"/>
                <w:b w:val="0"/>
                <w:sz w:val="18"/>
              </w:rPr>
              <w:t>Severson</w:t>
            </w:r>
          </w:p>
        </w:tc>
        <w:tc>
          <w:tcPr>
            <w:tcW w:type="dxa" w:w="1872"/>
          </w:tcPr>
          <w:p>
            <w:r>
              <w:rPr>
                <w:rFonts w:ascii="Times New Roman" w:hAnsi="Times New Roman"/>
                <w:b w:val="0"/>
                <w:sz w:val="18"/>
              </w:rPr>
              <w:t>0.708</w:t>
            </w:r>
          </w:p>
        </w:tc>
        <w:tc>
          <w:tcPr>
            <w:tcW w:type="dxa" w:w="1872"/>
          </w:tcPr>
          <w:p>
            <w:r>
              <w:rPr>
                <w:rFonts w:ascii="Times New Roman" w:hAnsi="Times New Roman"/>
                <w:b w:val="0"/>
                <w:sz w:val="18"/>
              </w:rPr>
              <w:t>0.554</w:t>
            </w:r>
          </w:p>
        </w:tc>
      </w:tr>
    </w:tbl>
    <w:p>
      <w:pPr>
        <w:jc w:val="both"/>
      </w:pPr>
      <w:r>
        <w:rPr>
          <w:rFonts w:ascii="Times New Roman" w:hAnsi="Times New Roman"/>
          <w:sz w:val="22"/>
        </w:rPr>
        <w:t>When SOH is removed from the feature set, tree-based raw AUC collapses to 0.33-0.62 on Oxford and 0.60-0.75 on Severson. The Severson without-SOH above-chance performance reflects a partial cycle-number proxy effect: Severson's wide cycle-life range (150-2,300 cycles) partially overlaps with LCO training distributions (NASA ~1,000, CALCE 775-1,952 cycles), so cycle number alone carries weak transferable signal. Oxford's narrow cycle range (~300 cycles) lies entirely outside the LCO distribution, eliminating this weak proxy. Despite this partial signal, the SOH-ablation gap on Severson is 19-24 AUC points and statistically decisive (p &lt; 10^{-100}), confirming that cycle number is a weak distributional proxy rather than a transferable electrochemical feature.</w:t>
      </w:r>
    </w:p>
    <w:p>
      <w:pPr>
        <w:jc w:val="both"/>
      </w:pPr>
      <w:r>
        <w:rPr>
          <w:rFonts w:ascii="Times New Roman" w:hAnsi="Times New Roman"/>
          <w:sz w:val="22"/>
        </w:rPr>
        <w:t>The evidence for the SOH-as-lookup-table mechanism is threefold: (1) with SOH, AUC reaches 1.00 for NASA-to-Oxford -- perfect transfer that disappears when SOH is removed; (2) the GRU's inability to exploit SOH under distribution shift is architecture-consistent with distributed representations partially corrupting the feature; (3) SHAP analysis (Section IV-G, Figures 6a-6c) confirms that SOH dominates tree-model split decisions in cross-chemistry configurations, with cycle number as a distant second.</w:t>
      </w:r>
    </w:p>
    <w:p>
      <w:pPr>
        <w:spacing w:before="160"/>
        <w:jc w:val="center"/>
      </w:pPr>
      <w:r>
        <w:drawing>
          <wp:inline xmlns:a="http://schemas.openxmlformats.org/drawingml/2006/main" xmlns:pic="http://schemas.openxmlformats.org/drawingml/2006/picture">
            <wp:extent cx="4572000" cy="1648956"/>
            <wp:docPr id="11" name="Picture 11"/>
            <wp:cNvGraphicFramePr>
              <a:graphicFrameLocks noChangeAspect="1"/>
            </wp:cNvGraphicFramePr>
            <a:graphic>
              <a:graphicData uri="http://schemas.openxmlformats.org/drawingml/2006/picture">
                <pic:pic>
                  <pic:nvPicPr>
                    <pic:cNvPr id="0" name="Fig03_CrossChem_With_SOH.png"/>
                    <pic:cNvPicPr/>
                  </pic:nvPicPr>
                  <pic:blipFill>
                    <a:blip r:embed="rId19"/>
                    <a:stretch>
                      <a:fillRect/>
                    </a:stretch>
                  </pic:blipFill>
                  <pic:spPr>
                    <a:xfrm>
                      <a:off x="0" y="0"/>
                      <a:ext cx="4572000" cy="1648956"/>
                    </a:xfrm>
                    <a:prstGeom prst="rect"/>
                  </pic:spPr>
                </pic:pic>
              </a:graphicData>
            </a:graphic>
          </wp:inline>
        </w:drawing>
      </w:r>
    </w:p>
    <w:p>
      <w:pPr>
        <w:jc w:val="center"/>
      </w:pPr>
      <w:r>
        <w:rPr>
          <w:rFonts w:ascii="Times New Roman" w:hAnsi="Times New Roman"/>
          <w:b/>
          <w:sz w:val="18"/>
        </w:rPr>
        <w:t>Figure 4. Cross-chemistry transfer with SOH (raw AUC, trees H = 20, GRU mean across H). Left: Oxford (5 cells). Right: Severson (141 cells). Consistent SOH-driven high AUC across both LFP targets.</w:t>
      </w:r>
    </w:p>
    <w:p>
      <w:pPr>
        <w:spacing w:before="160"/>
        <w:jc w:val="center"/>
      </w:pPr>
      <w:r>
        <w:drawing>
          <wp:inline xmlns:a="http://schemas.openxmlformats.org/drawingml/2006/main" xmlns:pic="http://schemas.openxmlformats.org/drawingml/2006/picture">
            <wp:extent cx="4572000" cy="1648956"/>
            <wp:docPr id="12" name="Picture 12"/>
            <wp:cNvGraphicFramePr>
              <a:graphicFrameLocks noChangeAspect="1"/>
            </wp:cNvGraphicFramePr>
            <a:graphic>
              <a:graphicData uri="http://schemas.openxmlformats.org/drawingml/2006/picture">
                <pic:pic>
                  <pic:nvPicPr>
                    <pic:cNvPr id="0" name="Fig04_CrossChem_No_SOH.png"/>
                    <pic:cNvPicPr/>
                  </pic:nvPicPr>
                  <pic:blipFill>
                    <a:blip r:embed="rId20"/>
                    <a:stretch>
                      <a:fillRect/>
                    </a:stretch>
                  </pic:blipFill>
                  <pic:spPr>
                    <a:xfrm>
                      <a:off x="0" y="0"/>
                      <a:ext cx="4572000" cy="1648956"/>
                    </a:xfrm>
                    <a:prstGeom prst="rect"/>
                  </pic:spPr>
                </pic:pic>
              </a:graphicData>
            </a:graphic>
          </wp:inline>
        </w:drawing>
      </w:r>
    </w:p>
    <w:p>
      <w:pPr>
        <w:jc w:val="center"/>
      </w:pPr>
      <w:r>
        <w:rPr>
          <w:rFonts w:ascii="Times New Roman" w:hAnsi="Times New Roman"/>
          <w:b/>
          <w:sz w:val="18"/>
        </w:rPr>
        <w:t>Figure 5. Cross-chemistry transfer without SOH (raw AUC, trees H = 20, GRU mean across H). Left: Oxford (5 cells). Right: Severson (141 cells). AUC collapses across all training-by-target combinations, confirming SOH dependence.</w:t>
      </w:r>
    </w:p>
    <w:p>
      <w:pPr>
        <w:spacing w:before="280" w:after="120"/>
      </w:pPr>
      <w:r>
        <w:rPr>
          <w:rFonts w:ascii="Times New Roman" w:hAnsi="Times New Roman"/>
          <w:b/>
          <w:sz w:val="22"/>
        </w:rPr>
        <w:t>D. GRU Entanglement Under Distribution Shift</w:t>
      </w:r>
    </w:p>
    <w:p>
      <w:pPr>
        <w:jc w:val="both"/>
      </w:pPr>
      <w:r>
        <w:rPr>
          <w:rFonts w:ascii="Times New Roman" w:hAnsi="Times New Roman"/>
          <w:sz w:val="22"/>
        </w:rPr>
        <w:t>The GRU sequence classifier reveals a novel architecture-specific phenomenon: how a model builds its internal representation determines whether it can exploit SOH as a lookup-table shortcut under distribution shift. The GRU's distributed hidden state -- compressed into 8 dimensions -- entangles SOH with voltage, current, and cycle trends across the 10-timestep window. Under LCO-to-LFP distribution shift, the entangled voltage and cycle components carry distribution-mismatched signal that partially corrupts the SOH channel. Tree-based models avoid this entirely: their isolated hard splits on SOH transfer perfectly across chemistries because each split examines SOH alone, independent of other features.</w:t>
      </w:r>
    </w:p>
    <w:p>
      <w:pPr>
        <w:jc w:val="both"/>
      </w:pPr>
      <w:r>
        <w:rPr>
          <w:rFonts w:ascii="Times New Roman" w:hAnsi="Times New Roman"/>
          <w:sz w:val="22"/>
        </w:rPr>
        <w:t>This architecture-specific fragility manifests across horizons as a consequence of the representation-sharing mechanism. At short horizons (H = 10), the voltage and cycle noise dominate the compressed hidden state, producing AUC as low as 0.017. At long horizons (H = 50), the accumulated SOH signal across 50-cycle windows eventually overpowers the entangled noise, reaching AUC up to 0.978. Tree models exhibit no such horizon sensitivity because each split is feature-isolated.</w:t>
      </w:r>
    </w:p>
    <w:p>
      <w:pPr>
        <w:jc w:val="both"/>
      </w:pPr>
      <w:r>
        <w:rPr>
          <w:rFonts w:ascii="Times New Roman" w:hAnsi="Times New Roman"/>
          <w:sz w:val="22"/>
        </w:rPr>
        <w:t>A separate mechanism drives the CALCE-to-Oxford reversal. CALCE's 92% composite-failure rate saturates the GRU's learned decision boundary, producing systematically inverted rank-orderings on Oxford's feature distribution (AUC approximately 0.03-0.12). This is a class-imbalance-driven domain mismatch, distinct from the entanglement effect seen with NASA training. We report raw AUC values rather than max(AUC, 1 - AUC) because the reversal reflects a substantive failure mode, not an arbitrary label-polarity choice.</w:t>
      </w:r>
    </w:p>
    <w:p>
      <w:pPr>
        <w:jc w:val="both"/>
      </w:pPr>
      <w:r>
        <w:rPr>
          <w:rFonts w:ascii="Times New Roman" w:hAnsi="Times New Roman"/>
          <w:sz w:val="22"/>
        </w:rPr>
        <w:t>These findings establish a secondary result with independent significance: the choice of model architecture determines not just predictive performance but the very mechanism by which a model exploits (or fails to exploit) leakage features under distribution shift. Tree models' feature-isolated splits make them maximally robust to SOH-as-leakage; the GRU's distributed representations make it architecture-specifically fragile.</w:t>
      </w:r>
    </w:p>
    <w:p>
      <w:pPr>
        <w:spacing w:before="280" w:after="120"/>
      </w:pPr>
      <w:r>
        <w:rPr>
          <w:rFonts w:ascii="Times New Roman" w:hAnsi="Times New Roman"/>
          <w:b/>
          <w:sz w:val="22"/>
        </w:rPr>
        <w:t>E. Calibration Methods Fail to Transfer</w:t>
      </w:r>
    </w:p>
    <w:p>
      <w:pPr>
        <w:jc w:val="both"/>
      </w:pPr>
      <w:r>
        <w:rPr>
          <w:rFonts w:ascii="Times New Roman" w:hAnsi="Times New Roman"/>
          <w:sz w:val="22"/>
        </w:rPr>
        <w:t>Tables Va and Vb reveal an important secondary phenomenon: the isotonic-calibrated AUC values are systematically lower than the corresponding raw AUC values for cross-chemistry transfer, often dramatically so. For example, XGBoost trained on ALL LCO cells achieves raw AUC = 0.979 with SOH at H = 20, but isotonic calibration collapses this to 0.510. The collapse occurs because isotonic regression fits a step function to the training set's score distribution; when the test set's scores follow a different distribution (as they inevitably do under cross-chemistry covariate shift), multiple test scores fall into the same isotonic bin and are assigned identical calibrated probabilities. These ties artificially reduce AUC because tied predictions with different true labels contribute a 0.5 penalty per pair.</w:t>
      </w:r>
    </w:p>
    <w:p>
      <w:pPr>
        <w:jc w:val="both"/>
      </w:pPr>
      <w:r>
        <w:rPr>
          <w:rFonts w:ascii="Times New Roman" w:hAnsi="Times New Roman"/>
          <w:sz w:val="22"/>
        </w:rPr>
        <w:t>The effect is most severe for the GRU, where isotonic collapses nearly all cross-chemistry scores to a single bin (calibrated AUC = 0.500 for six of nine training-by-SOH configurations), but tree-based models also lose 0.15-0.48 AUC points depending on the setting. This finding -- that calibration methods themselves fail to transfer across chemistries -- is independent of the SOH-lookup-table mechanism and represents a second, distinct failure mode for cross-chemistry battery hazard prediction. It implies that even when raw model scores carry transferable signal (as they do with SOH), post-hoc calibration cannot be naively applied under distribution shift without risking the destruction of that signal.</w:t>
      </w:r>
    </w:p>
    <w:p>
      <w:pPr>
        <w:spacing w:before="280" w:after="120"/>
      </w:pPr>
      <w:r>
        <w:rPr>
          <w:rFonts w:ascii="Times New Roman" w:hAnsi="Times New Roman"/>
          <w:b/>
          <w:sz w:val="22"/>
        </w:rPr>
        <w:t>F. DeLong Test: Statistical Significance of SOH Ablation</w:t>
      </w:r>
    </w:p>
    <w:p>
      <w:pPr>
        <w:jc w:val="both"/>
      </w:pPr>
      <w:r>
        <w:rPr>
          <w:rFonts w:ascii="Times New Roman" w:hAnsi="Times New Roman"/>
          <w:sz w:val="22"/>
        </w:rPr>
        <w:t>To establish whether the AUC differences between the with-SOH and without-SOH conditions are statistically significant, we apply the DeLong nonparametric test for paired ROC curves [16]. Unlike a naive comparison of point estimates, the DeLong test accounts for the correlation between AUC values derived from the same set of test samples.</w:t>
      </w:r>
    </w:p>
    <w:p>
      <w:pPr>
        <w:jc w:val="both"/>
      </w:pPr>
      <w:r>
        <w:rPr>
          <w:rFonts w:ascii="Times New Roman" w:hAnsi="Times New Roman"/>
          <w:sz w:val="22"/>
        </w:rPr>
        <w:t>Table VI reports DeLong p-values for the SOH-ablation comparison (ALL LCO to LFP, H = 20) on both Oxford and Severson, alongside within-dataset model-pair comparisons. The SOH-ablation p-values span 10^{-36} to &lt; 10^{-100}, providing decisive evidence that the AUC collapse when removing SOH is not a chance fluctuation. On Severson, the substantially larger test set (141 cells vs 5) drives p-values below 10^{-100} for all three tree-based models. Within-dataset comparisons show a different picture: on NASA (37 cells), model-level AUC differences are small (e.g., XGBoost vs LightGBM: delta AUC = 0.014, p = 0.014), with only XGBoost vs LightGBM reaching significance. On CALCE (8,733 cycles), the larger sample yields significant differences across all three model pairs (p &lt; 10^{-5}).</w:t>
      </w:r>
    </w:p>
    <w:p>
      <w:pPr>
        <w:spacing w:before="200" w:after="80"/>
        <w:jc w:val="center"/>
      </w:pPr>
      <w:r>
        <w:rPr>
          <w:rFonts w:ascii="Times New Roman" w:hAnsi="Times New Roman"/>
          <w:b/>
          <w:sz w:val="18"/>
        </w:rPr>
        <w:t>TABLE VI: DELONG TEST FOR PAIRED AUC COMPARISONS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18"/>
              </w:rPr>
              <w:t>Dataset</w:t>
            </w:r>
          </w:p>
        </w:tc>
        <w:tc>
          <w:tcPr>
            <w:tcW w:type="dxa" w:w="1170"/>
          </w:tcPr>
          <w:p>
            <w:r>
              <w:rPr>
                <w:rFonts w:ascii="Times New Roman" w:hAnsi="Times New Roman"/>
                <w:b/>
                <w:sz w:val="18"/>
              </w:rPr>
              <w:t>Model A</w:t>
            </w:r>
          </w:p>
        </w:tc>
        <w:tc>
          <w:tcPr>
            <w:tcW w:type="dxa" w:w="1170"/>
          </w:tcPr>
          <w:p>
            <w:r>
              <w:rPr>
                <w:rFonts w:ascii="Times New Roman" w:hAnsi="Times New Roman"/>
                <w:b/>
                <w:sz w:val="18"/>
              </w:rPr>
              <w:t>Model B</w:t>
            </w:r>
          </w:p>
        </w:tc>
        <w:tc>
          <w:tcPr>
            <w:tcW w:type="dxa" w:w="1170"/>
          </w:tcPr>
          <w:p>
            <w:r>
              <w:rPr>
                <w:rFonts w:ascii="Times New Roman" w:hAnsi="Times New Roman"/>
                <w:b/>
                <w:sz w:val="18"/>
              </w:rPr>
              <w:t>Setting</w:t>
            </w:r>
          </w:p>
        </w:tc>
        <w:tc>
          <w:tcPr>
            <w:tcW w:type="dxa" w:w="1170"/>
          </w:tcPr>
          <w:p>
            <w:r>
              <w:rPr>
                <w:rFonts w:ascii="Times New Roman" w:hAnsi="Times New Roman"/>
                <w:b/>
                <w:sz w:val="18"/>
              </w:rPr>
              <w:t>AUC A</w:t>
            </w:r>
          </w:p>
        </w:tc>
        <w:tc>
          <w:tcPr>
            <w:tcW w:type="dxa" w:w="1170"/>
          </w:tcPr>
          <w:p>
            <w:r>
              <w:rPr>
                <w:rFonts w:ascii="Times New Roman" w:hAnsi="Times New Roman"/>
                <w:b/>
                <w:sz w:val="18"/>
              </w:rPr>
              <w:t>AUC B</w:t>
            </w:r>
          </w:p>
        </w:tc>
        <w:tc>
          <w:tcPr>
            <w:tcW w:type="dxa" w:w="1170"/>
          </w:tcPr>
          <w:p>
            <w:r>
              <w:rPr>
                <w:rFonts w:ascii="Times New Roman" w:hAnsi="Times New Roman"/>
                <w:b/>
                <w:sz w:val="18"/>
              </w:rPr>
              <w:t>p-value</w:t>
            </w:r>
          </w:p>
        </w:tc>
        <w:tc>
          <w:tcPr>
            <w:tcW w:type="dxa" w:w="1170"/>
          </w:tcPr>
          <w:p>
            <w:r>
              <w:rPr>
                <w:rFonts w:ascii="Times New Roman" w:hAnsi="Times New Roman"/>
                <w:b/>
                <w:sz w:val="18"/>
              </w:rPr>
              <w:t>p&lt;0.05</w:t>
            </w:r>
          </w:p>
        </w:tc>
      </w:tr>
      <w:tr>
        <w:tc>
          <w:tcPr>
            <w:tcW w:type="dxa" w:w="1170"/>
          </w:tcPr>
          <w:p>
            <w:r>
              <w:rPr>
                <w:rFonts w:ascii="Times New Roman" w:hAnsi="Times New Roman"/>
                <w:b w:val="0"/>
                <w:sz w:val="18"/>
              </w:rPr>
              <w:t>nasa</w:t>
            </w:r>
          </w:p>
        </w:tc>
        <w:tc>
          <w:tcPr>
            <w:tcW w:type="dxa" w:w="1170"/>
          </w:tcPr>
          <w:p>
            <w:r>
              <w:rPr>
                <w:rFonts w:ascii="Times New Roman" w:hAnsi="Times New Roman"/>
                <w:b w:val="0"/>
                <w:sz w:val="18"/>
              </w:rPr>
              <w:t>xgboost</w:t>
            </w:r>
          </w:p>
        </w:tc>
        <w:tc>
          <w:tcPr>
            <w:tcW w:type="dxa" w:w="1170"/>
          </w:tcPr>
          <w:p>
            <w:r>
              <w:rPr>
                <w:rFonts w:ascii="Times New Roman" w:hAnsi="Times New Roman"/>
                <w:b w:val="0"/>
                <w:sz w:val="18"/>
              </w:rPr>
              <w:t>lightgbm</w:t>
            </w:r>
          </w:p>
        </w:tc>
        <w:tc>
          <w:tcPr>
            <w:tcW w:type="dxa" w:w="1170"/>
          </w:tcPr>
          <w:p>
            <w:r>
              <w:rPr>
                <w:rFonts w:ascii="Times New Roman" w:hAnsi="Times New Roman"/>
                <w:b w:val="0"/>
                <w:sz w:val="18"/>
              </w:rPr>
              <w:t>within</w:t>
            </w:r>
          </w:p>
        </w:tc>
        <w:tc>
          <w:tcPr>
            <w:tcW w:type="dxa" w:w="1170"/>
          </w:tcPr>
          <w:p>
            <w:r>
              <w:rPr>
                <w:rFonts w:ascii="Times New Roman" w:hAnsi="Times New Roman"/>
                <w:b w:val="0"/>
                <w:sz w:val="18"/>
              </w:rPr>
              <w:t>0.807</w:t>
            </w:r>
          </w:p>
        </w:tc>
        <w:tc>
          <w:tcPr>
            <w:tcW w:type="dxa" w:w="1170"/>
          </w:tcPr>
          <w:p>
            <w:r>
              <w:rPr>
                <w:rFonts w:ascii="Times New Roman" w:hAnsi="Times New Roman"/>
                <w:b w:val="0"/>
                <w:sz w:val="18"/>
              </w:rPr>
              <w:t>0.793</w:t>
            </w:r>
          </w:p>
        </w:tc>
        <w:tc>
          <w:tcPr>
            <w:tcW w:type="dxa" w:w="1170"/>
          </w:tcPr>
          <w:p>
            <w:r>
              <w:rPr>
                <w:rFonts w:ascii="Times New Roman" w:hAnsi="Times New Roman"/>
                <w:b w:val="0"/>
                <w:sz w:val="18"/>
              </w:rPr>
              <w:t>1.42e-02</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nasa</w:t>
            </w:r>
          </w:p>
        </w:tc>
        <w:tc>
          <w:tcPr>
            <w:tcW w:type="dxa" w:w="1170"/>
          </w:tcPr>
          <w:p>
            <w:r>
              <w:rPr>
                <w:rFonts w:ascii="Times New Roman" w:hAnsi="Times New Roman"/>
                <w:b w:val="0"/>
                <w:sz w:val="18"/>
              </w:rPr>
              <w:t>xgboost</w:t>
            </w:r>
          </w:p>
        </w:tc>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within</w:t>
            </w:r>
          </w:p>
        </w:tc>
        <w:tc>
          <w:tcPr>
            <w:tcW w:type="dxa" w:w="1170"/>
          </w:tcPr>
          <w:p>
            <w:r>
              <w:rPr>
                <w:rFonts w:ascii="Times New Roman" w:hAnsi="Times New Roman"/>
                <w:b w:val="0"/>
                <w:sz w:val="18"/>
              </w:rPr>
              <w:t>0.807</w:t>
            </w:r>
          </w:p>
        </w:tc>
        <w:tc>
          <w:tcPr>
            <w:tcW w:type="dxa" w:w="1170"/>
          </w:tcPr>
          <w:p>
            <w:r>
              <w:rPr>
                <w:rFonts w:ascii="Times New Roman" w:hAnsi="Times New Roman"/>
                <w:b w:val="0"/>
                <w:sz w:val="18"/>
              </w:rPr>
              <w:t>0.800</w:t>
            </w:r>
          </w:p>
        </w:tc>
        <w:tc>
          <w:tcPr>
            <w:tcW w:type="dxa" w:w="1170"/>
          </w:tcPr>
          <w:p>
            <w:r>
              <w:rPr>
                <w:rFonts w:ascii="Times New Roman" w:hAnsi="Times New Roman"/>
                <w:b w:val="0"/>
                <w:sz w:val="18"/>
              </w:rPr>
              <w:t>3.34e-01</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nasa</w:t>
            </w:r>
          </w:p>
        </w:tc>
        <w:tc>
          <w:tcPr>
            <w:tcW w:type="dxa" w:w="1170"/>
          </w:tcPr>
          <w:p>
            <w:r>
              <w:rPr>
                <w:rFonts w:ascii="Times New Roman" w:hAnsi="Times New Roman"/>
                <w:b w:val="0"/>
                <w:sz w:val="18"/>
              </w:rPr>
              <w:t>lightgbm</w:t>
            </w:r>
          </w:p>
        </w:tc>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within</w:t>
            </w:r>
          </w:p>
        </w:tc>
        <w:tc>
          <w:tcPr>
            <w:tcW w:type="dxa" w:w="1170"/>
          </w:tcPr>
          <w:p>
            <w:r>
              <w:rPr>
                <w:rFonts w:ascii="Times New Roman" w:hAnsi="Times New Roman"/>
                <w:b w:val="0"/>
                <w:sz w:val="18"/>
              </w:rPr>
              <w:t>0.793</w:t>
            </w:r>
          </w:p>
        </w:tc>
        <w:tc>
          <w:tcPr>
            <w:tcW w:type="dxa" w:w="1170"/>
          </w:tcPr>
          <w:p>
            <w:r>
              <w:rPr>
                <w:rFonts w:ascii="Times New Roman" w:hAnsi="Times New Roman"/>
                <w:b w:val="0"/>
                <w:sz w:val="18"/>
              </w:rPr>
              <w:t>0.800</w:t>
            </w:r>
          </w:p>
        </w:tc>
        <w:tc>
          <w:tcPr>
            <w:tcW w:type="dxa" w:w="1170"/>
          </w:tcPr>
          <w:p>
            <w:r>
              <w:rPr>
                <w:rFonts w:ascii="Times New Roman" w:hAnsi="Times New Roman"/>
                <w:b w:val="0"/>
                <w:sz w:val="18"/>
              </w:rPr>
              <w:t>1.70e-01</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calce</w:t>
            </w:r>
          </w:p>
        </w:tc>
        <w:tc>
          <w:tcPr>
            <w:tcW w:type="dxa" w:w="1170"/>
          </w:tcPr>
          <w:p>
            <w:r>
              <w:rPr>
                <w:rFonts w:ascii="Times New Roman" w:hAnsi="Times New Roman"/>
                <w:b w:val="0"/>
                <w:sz w:val="18"/>
              </w:rPr>
              <w:t>xgboost</w:t>
            </w:r>
          </w:p>
        </w:tc>
        <w:tc>
          <w:tcPr>
            <w:tcW w:type="dxa" w:w="1170"/>
          </w:tcPr>
          <w:p>
            <w:r>
              <w:rPr>
                <w:rFonts w:ascii="Times New Roman" w:hAnsi="Times New Roman"/>
                <w:b w:val="0"/>
                <w:sz w:val="18"/>
              </w:rPr>
              <w:t>lightgbm</w:t>
            </w:r>
          </w:p>
        </w:tc>
        <w:tc>
          <w:tcPr>
            <w:tcW w:type="dxa" w:w="1170"/>
          </w:tcPr>
          <w:p>
            <w:r>
              <w:rPr>
                <w:rFonts w:ascii="Times New Roman" w:hAnsi="Times New Roman"/>
                <w:b w:val="0"/>
                <w:sz w:val="18"/>
              </w:rPr>
              <w:t>within</w:t>
            </w:r>
          </w:p>
        </w:tc>
        <w:tc>
          <w:tcPr>
            <w:tcW w:type="dxa" w:w="1170"/>
          </w:tcPr>
          <w:p>
            <w:r>
              <w:rPr>
                <w:rFonts w:ascii="Times New Roman" w:hAnsi="Times New Roman"/>
                <w:b w:val="0"/>
                <w:sz w:val="18"/>
              </w:rPr>
              <w:t>0.886</w:t>
            </w:r>
          </w:p>
        </w:tc>
        <w:tc>
          <w:tcPr>
            <w:tcW w:type="dxa" w:w="1170"/>
          </w:tcPr>
          <w:p>
            <w:r>
              <w:rPr>
                <w:rFonts w:ascii="Times New Roman" w:hAnsi="Times New Roman"/>
                <w:b w:val="0"/>
                <w:sz w:val="18"/>
              </w:rPr>
              <w:t>0.878</w:t>
            </w:r>
          </w:p>
        </w:tc>
        <w:tc>
          <w:tcPr>
            <w:tcW w:type="dxa" w:w="1170"/>
          </w:tcPr>
          <w:p>
            <w:r>
              <w:rPr>
                <w:rFonts w:ascii="Times New Roman" w:hAnsi="Times New Roman"/>
                <w:b w:val="0"/>
                <w:sz w:val="18"/>
              </w:rPr>
              <w:t>1.11e-05</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calce</w:t>
            </w:r>
          </w:p>
        </w:tc>
        <w:tc>
          <w:tcPr>
            <w:tcW w:type="dxa" w:w="1170"/>
          </w:tcPr>
          <w:p>
            <w:r>
              <w:rPr>
                <w:rFonts w:ascii="Times New Roman" w:hAnsi="Times New Roman"/>
                <w:b w:val="0"/>
                <w:sz w:val="18"/>
              </w:rPr>
              <w:t>xgboost</w:t>
            </w:r>
          </w:p>
        </w:tc>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within</w:t>
            </w:r>
          </w:p>
        </w:tc>
        <w:tc>
          <w:tcPr>
            <w:tcW w:type="dxa" w:w="1170"/>
          </w:tcPr>
          <w:p>
            <w:r>
              <w:rPr>
                <w:rFonts w:ascii="Times New Roman" w:hAnsi="Times New Roman"/>
                <w:b w:val="0"/>
                <w:sz w:val="18"/>
              </w:rPr>
              <w:t>0.886</w:t>
            </w:r>
          </w:p>
        </w:tc>
        <w:tc>
          <w:tcPr>
            <w:tcW w:type="dxa" w:w="1170"/>
          </w:tcPr>
          <w:p>
            <w:r>
              <w:rPr>
                <w:rFonts w:ascii="Times New Roman" w:hAnsi="Times New Roman"/>
                <w:b w:val="0"/>
                <w:sz w:val="18"/>
              </w:rPr>
              <w:t>0.857</w:t>
            </w:r>
          </w:p>
        </w:tc>
        <w:tc>
          <w:tcPr>
            <w:tcW w:type="dxa" w:w="1170"/>
          </w:tcPr>
          <w:p>
            <w:r>
              <w:rPr>
                <w:rFonts w:ascii="Times New Roman" w:hAnsi="Times New Roman"/>
                <w:b w:val="0"/>
                <w:sz w:val="18"/>
              </w:rPr>
              <w:t>4.63e-27</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calce</w:t>
            </w:r>
          </w:p>
        </w:tc>
        <w:tc>
          <w:tcPr>
            <w:tcW w:type="dxa" w:w="1170"/>
          </w:tcPr>
          <w:p>
            <w:r>
              <w:rPr>
                <w:rFonts w:ascii="Times New Roman" w:hAnsi="Times New Roman"/>
                <w:b w:val="0"/>
                <w:sz w:val="18"/>
              </w:rPr>
              <w:t>lightgbm</w:t>
            </w:r>
          </w:p>
        </w:tc>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within</w:t>
            </w:r>
          </w:p>
        </w:tc>
        <w:tc>
          <w:tcPr>
            <w:tcW w:type="dxa" w:w="1170"/>
          </w:tcPr>
          <w:p>
            <w:r>
              <w:rPr>
                <w:rFonts w:ascii="Times New Roman" w:hAnsi="Times New Roman"/>
                <w:b w:val="0"/>
                <w:sz w:val="18"/>
              </w:rPr>
              <w:t>0.878</w:t>
            </w:r>
          </w:p>
        </w:tc>
        <w:tc>
          <w:tcPr>
            <w:tcW w:type="dxa" w:w="1170"/>
          </w:tcPr>
          <w:p>
            <w:r>
              <w:rPr>
                <w:rFonts w:ascii="Times New Roman" w:hAnsi="Times New Roman"/>
                <w:b w:val="0"/>
                <w:sz w:val="18"/>
              </w:rPr>
              <w:t>0.857</w:t>
            </w:r>
          </w:p>
        </w:tc>
        <w:tc>
          <w:tcPr>
            <w:tcW w:type="dxa" w:w="1170"/>
          </w:tcPr>
          <w:p>
            <w:r>
              <w:rPr>
                <w:rFonts w:ascii="Times New Roman" w:hAnsi="Times New Roman"/>
                <w:b w:val="0"/>
                <w:sz w:val="18"/>
              </w:rPr>
              <w:t>1.44e-17</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oxford</w:t>
            </w:r>
          </w:p>
        </w:tc>
        <w:tc>
          <w:tcPr>
            <w:tcW w:type="dxa" w:w="1170"/>
          </w:tcPr>
          <w:p>
            <w:r>
              <w:rPr>
                <w:rFonts w:ascii="Times New Roman" w:hAnsi="Times New Roman"/>
                <w:b w:val="0"/>
                <w:sz w:val="18"/>
              </w:rPr>
              <w:t>xgboost with soh</w:t>
            </w:r>
          </w:p>
        </w:tc>
        <w:tc>
          <w:tcPr>
            <w:tcW w:type="dxa" w:w="1170"/>
          </w:tcPr>
          <w:p>
            <w:r>
              <w:rPr>
                <w:rFonts w:ascii="Times New Roman" w:hAnsi="Times New Roman"/>
                <w:b w:val="0"/>
                <w:sz w:val="18"/>
              </w:rPr>
              <w:t>xgboost no soh</w:t>
            </w:r>
          </w:p>
        </w:tc>
        <w:tc>
          <w:tcPr>
            <w:tcW w:type="dxa" w:w="1170"/>
          </w:tcPr>
          <w:p>
            <w:r>
              <w:rPr>
                <w:rFonts w:ascii="Times New Roman" w:hAnsi="Times New Roman"/>
                <w:b w:val="0"/>
                <w:sz w:val="18"/>
              </w:rPr>
              <w:t>cross_chem_soh_ablation</w:t>
            </w:r>
          </w:p>
        </w:tc>
        <w:tc>
          <w:tcPr>
            <w:tcW w:type="dxa" w:w="1170"/>
          </w:tcPr>
          <w:p>
            <w:r>
              <w:rPr>
                <w:rFonts w:ascii="Times New Roman" w:hAnsi="Times New Roman"/>
                <w:b w:val="0"/>
                <w:sz w:val="18"/>
              </w:rPr>
              <w:t>0.917</w:t>
            </w:r>
          </w:p>
        </w:tc>
        <w:tc>
          <w:tcPr>
            <w:tcW w:type="dxa" w:w="1170"/>
          </w:tcPr>
          <w:p>
            <w:r>
              <w:rPr>
                <w:rFonts w:ascii="Times New Roman" w:hAnsi="Times New Roman"/>
                <w:b w:val="0"/>
                <w:sz w:val="18"/>
              </w:rPr>
              <w:t>0.429</w:t>
            </w:r>
          </w:p>
        </w:tc>
        <w:tc>
          <w:tcPr>
            <w:tcW w:type="dxa" w:w="1170"/>
          </w:tcPr>
          <w:p>
            <w:r>
              <w:rPr>
                <w:rFonts w:ascii="Times New Roman" w:hAnsi="Times New Roman"/>
                <w:b w:val="0"/>
                <w:sz w:val="18"/>
              </w:rPr>
              <w:t>7.23e-51</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oxford</w:t>
            </w:r>
          </w:p>
        </w:tc>
        <w:tc>
          <w:tcPr>
            <w:tcW w:type="dxa" w:w="1170"/>
          </w:tcPr>
          <w:p>
            <w:r>
              <w:rPr>
                <w:rFonts w:ascii="Times New Roman" w:hAnsi="Times New Roman"/>
                <w:b w:val="0"/>
                <w:sz w:val="18"/>
              </w:rPr>
              <w:t>lightgbm with soh</w:t>
            </w:r>
          </w:p>
        </w:tc>
        <w:tc>
          <w:tcPr>
            <w:tcW w:type="dxa" w:w="1170"/>
          </w:tcPr>
          <w:p>
            <w:r>
              <w:rPr>
                <w:rFonts w:ascii="Times New Roman" w:hAnsi="Times New Roman"/>
                <w:b w:val="0"/>
                <w:sz w:val="18"/>
              </w:rPr>
              <w:t>lightgbm no soh</w:t>
            </w:r>
          </w:p>
        </w:tc>
        <w:tc>
          <w:tcPr>
            <w:tcW w:type="dxa" w:w="1170"/>
          </w:tcPr>
          <w:p>
            <w:r>
              <w:rPr>
                <w:rFonts w:ascii="Times New Roman" w:hAnsi="Times New Roman"/>
                <w:b w:val="0"/>
                <w:sz w:val="18"/>
              </w:rPr>
              <w:t>cross_chem_soh_ablation</w:t>
            </w:r>
          </w:p>
        </w:tc>
        <w:tc>
          <w:tcPr>
            <w:tcW w:type="dxa" w:w="1170"/>
          </w:tcPr>
          <w:p>
            <w:r>
              <w:rPr>
                <w:rFonts w:ascii="Times New Roman" w:hAnsi="Times New Roman"/>
                <w:b w:val="0"/>
                <w:sz w:val="18"/>
              </w:rPr>
              <w:t>0.971</w:t>
            </w:r>
          </w:p>
        </w:tc>
        <w:tc>
          <w:tcPr>
            <w:tcW w:type="dxa" w:w="1170"/>
          </w:tcPr>
          <w:p>
            <w:r>
              <w:rPr>
                <w:rFonts w:ascii="Times New Roman" w:hAnsi="Times New Roman"/>
                <w:b w:val="0"/>
                <w:sz w:val="18"/>
              </w:rPr>
              <w:t>0.332</w:t>
            </w:r>
          </w:p>
        </w:tc>
        <w:tc>
          <w:tcPr>
            <w:tcW w:type="dxa" w:w="1170"/>
          </w:tcPr>
          <w:p>
            <w:r>
              <w:rPr>
                <w:rFonts w:ascii="Times New Roman" w:hAnsi="Times New Roman"/>
                <w:b w:val="0"/>
                <w:sz w:val="18"/>
              </w:rPr>
              <w:t>2.58e-64</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oxford</w:t>
            </w:r>
          </w:p>
        </w:tc>
        <w:tc>
          <w:tcPr>
            <w:tcW w:type="dxa" w:w="1170"/>
          </w:tcPr>
          <w:p>
            <w:r>
              <w:rPr>
                <w:rFonts w:ascii="Times New Roman" w:hAnsi="Times New Roman"/>
                <w:b w:val="0"/>
                <w:sz w:val="18"/>
              </w:rPr>
              <w:t>random forest with soh</w:t>
            </w:r>
          </w:p>
        </w:tc>
        <w:tc>
          <w:tcPr>
            <w:tcW w:type="dxa" w:w="1170"/>
          </w:tcPr>
          <w:p>
            <w:r>
              <w:rPr>
                <w:rFonts w:ascii="Times New Roman" w:hAnsi="Times New Roman"/>
                <w:b w:val="0"/>
                <w:sz w:val="18"/>
              </w:rPr>
              <w:t>random forest no soh</w:t>
            </w:r>
          </w:p>
        </w:tc>
        <w:tc>
          <w:tcPr>
            <w:tcW w:type="dxa" w:w="1170"/>
          </w:tcPr>
          <w:p>
            <w:r>
              <w:rPr>
                <w:rFonts w:ascii="Times New Roman" w:hAnsi="Times New Roman"/>
                <w:b w:val="0"/>
                <w:sz w:val="18"/>
              </w:rPr>
              <w:t>cross_chem_soh_ablation</w:t>
            </w:r>
          </w:p>
        </w:tc>
        <w:tc>
          <w:tcPr>
            <w:tcW w:type="dxa" w:w="1170"/>
          </w:tcPr>
          <w:p>
            <w:r>
              <w:rPr>
                <w:rFonts w:ascii="Times New Roman" w:hAnsi="Times New Roman"/>
                <w:b w:val="0"/>
                <w:sz w:val="18"/>
              </w:rPr>
              <w:t>0.989</w:t>
            </w:r>
          </w:p>
        </w:tc>
        <w:tc>
          <w:tcPr>
            <w:tcW w:type="dxa" w:w="1170"/>
          </w:tcPr>
          <w:p>
            <w:r>
              <w:rPr>
                <w:rFonts w:ascii="Times New Roman" w:hAnsi="Times New Roman"/>
                <w:b w:val="0"/>
                <w:sz w:val="18"/>
              </w:rPr>
              <w:t>0.581</w:t>
            </w:r>
          </w:p>
        </w:tc>
        <w:tc>
          <w:tcPr>
            <w:tcW w:type="dxa" w:w="1170"/>
          </w:tcPr>
          <w:p>
            <w:r>
              <w:rPr>
                <w:rFonts w:ascii="Times New Roman" w:hAnsi="Times New Roman"/>
                <w:b w:val="0"/>
                <w:sz w:val="18"/>
              </w:rPr>
              <w:t>6.49e-36</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oxford</w:t>
            </w:r>
          </w:p>
        </w:tc>
        <w:tc>
          <w:tcPr>
            <w:tcW w:type="dxa" w:w="1170"/>
          </w:tcPr>
          <w:p>
            <w:r>
              <w:rPr>
                <w:rFonts w:ascii="Times New Roman" w:hAnsi="Times New Roman"/>
                <w:b w:val="0"/>
                <w:sz w:val="18"/>
              </w:rPr>
              <w:t>xgboost</w:t>
            </w:r>
          </w:p>
        </w:tc>
        <w:tc>
          <w:tcPr>
            <w:tcW w:type="dxa" w:w="1170"/>
          </w:tcPr>
          <w:p>
            <w:r>
              <w:rPr>
                <w:rFonts w:ascii="Times New Roman" w:hAnsi="Times New Roman"/>
                <w:b w:val="0"/>
                <w:sz w:val="18"/>
              </w:rPr>
              <w:t>lightgbm</w:t>
            </w:r>
          </w:p>
        </w:tc>
        <w:tc>
          <w:tcPr>
            <w:tcW w:type="dxa" w:w="1170"/>
          </w:tcPr>
          <w:p>
            <w:r>
              <w:rPr>
                <w:rFonts w:ascii="Times New Roman" w:hAnsi="Times New Roman"/>
                <w:b w:val="0"/>
                <w:sz w:val="18"/>
              </w:rPr>
              <w:t>cross_chem_with_soh</w:t>
            </w:r>
          </w:p>
        </w:tc>
        <w:tc>
          <w:tcPr>
            <w:tcW w:type="dxa" w:w="1170"/>
          </w:tcPr>
          <w:p>
            <w:r>
              <w:rPr>
                <w:rFonts w:ascii="Times New Roman" w:hAnsi="Times New Roman"/>
                <w:b w:val="0"/>
                <w:sz w:val="18"/>
              </w:rPr>
              <w:t>0.917</w:t>
            </w:r>
          </w:p>
        </w:tc>
        <w:tc>
          <w:tcPr>
            <w:tcW w:type="dxa" w:w="1170"/>
          </w:tcPr>
          <w:p>
            <w:r>
              <w:rPr>
                <w:rFonts w:ascii="Times New Roman" w:hAnsi="Times New Roman"/>
                <w:b w:val="0"/>
                <w:sz w:val="18"/>
              </w:rPr>
              <w:t>0.971</w:t>
            </w:r>
          </w:p>
        </w:tc>
        <w:tc>
          <w:tcPr>
            <w:tcW w:type="dxa" w:w="1170"/>
          </w:tcPr>
          <w:p>
            <w:r>
              <w:rPr>
                <w:rFonts w:ascii="Times New Roman" w:hAnsi="Times New Roman"/>
                <w:b w:val="0"/>
                <w:sz w:val="18"/>
              </w:rPr>
              <w:t>2.96e-03</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oxford</w:t>
            </w:r>
          </w:p>
        </w:tc>
        <w:tc>
          <w:tcPr>
            <w:tcW w:type="dxa" w:w="1170"/>
          </w:tcPr>
          <w:p>
            <w:r>
              <w:rPr>
                <w:rFonts w:ascii="Times New Roman" w:hAnsi="Times New Roman"/>
                <w:b w:val="0"/>
                <w:sz w:val="18"/>
              </w:rPr>
              <w:t>xgboost</w:t>
            </w:r>
          </w:p>
        </w:tc>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cross_chem_with_soh</w:t>
            </w:r>
          </w:p>
        </w:tc>
        <w:tc>
          <w:tcPr>
            <w:tcW w:type="dxa" w:w="1170"/>
          </w:tcPr>
          <w:p>
            <w:r>
              <w:rPr>
                <w:rFonts w:ascii="Times New Roman" w:hAnsi="Times New Roman"/>
                <w:b w:val="0"/>
                <w:sz w:val="18"/>
              </w:rPr>
              <w:t>0.917</w:t>
            </w:r>
          </w:p>
        </w:tc>
        <w:tc>
          <w:tcPr>
            <w:tcW w:type="dxa" w:w="1170"/>
          </w:tcPr>
          <w:p>
            <w:r>
              <w:rPr>
                <w:rFonts w:ascii="Times New Roman" w:hAnsi="Times New Roman"/>
                <w:b w:val="0"/>
                <w:sz w:val="18"/>
              </w:rPr>
              <w:t>0.989</w:t>
            </w:r>
          </w:p>
        </w:tc>
        <w:tc>
          <w:tcPr>
            <w:tcW w:type="dxa" w:w="1170"/>
          </w:tcPr>
          <w:p>
            <w:r>
              <w:rPr>
                <w:rFonts w:ascii="Times New Roman" w:hAnsi="Times New Roman"/>
                <w:b w:val="0"/>
                <w:sz w:val="18"/>
              </w:rPr>
              <w:t>9.09e-06</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oxford</w:t>
            </w:r>
          </w:p>
        </w:tc>
        <w:tc>
          <w:tcPr>
            <w:tcW w:type="dxa" w:w="1170"/>
          </w:tcPr>
          <w:p>
            <w:r>
              <w:rPr>
                <w:rFonts w:ascii="Times New Roman" w:hAnsi="Times New Roman"/>
                <w:b w:val="0"/>
                <w:sz w:val="18"/>
              </w:rPr>
              <w:t>lightgbm</w:t>
            </w:r>
          </w:p>
        </w:tc>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cross_chem_with_soh</w:t>
            </w:r>
          </w:p>
        </w:tc>
        <w:tc>
          <w:tcPr>
            <w:tcW w:type="dxa" w:w="1170"/>
          </w:tcPr>
          <w:p>
            <w:r>
              <w:rPr>
                <w:rFonts w:ascii="Times New Roman" w:hAnsi="Times New Roman"/>
                <w:b w:val="0"/>
                <w:sz w:val="18"/>
              </w:rPr>
              <w:t>0.971</w:t>
            </w:r>
          </w:p>
        </w:tc>
        <w:tc>
          <w:tcPr>
            <w:tcW w:type="dxa" w:w="1170"/>
          </w:tcPr>
          <w:p>
            <w:r>
              <w:rPr>
                <w:rFonts w:ascii="Times New Roman" w:hAnsi="Times New Roman"/>
                <w:b w:val="0"/>
                <w:sz w:val="18"/>
              </w:rPr>
              <w:t>0.989</w:t>
            </w:r>
          </w:p>
        </w:tc>
        <w:tc>
          <w:tcPr>
            <w:tcW w:type="dxa" w:w="1170"/>
          </w:tcPr>
          <w:p>
            <w:r>
              <w:rPr>
                <w:rFonts w:ascii="Times New Roman" w:hAnsi="Times New Roman"/>
                <w:b w:val="0"/>
                <w:sz w:val="18"/>
              </w:rPr>
              <w:t>3.21e-02</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severson</w:t>
            </w:r>
          </w:p>
        </w:tc>
        <w:tc>
          <w:tcPr>
            <w:tcW w:type="dxa" w:w="1170"/>
          </w:tcPr>
          <w:p>
            <w:r>
              <w:rPr>
                <w:rFonts w:ascii="Times New Roman" w:hAnsi="Times New Roman"/>
                <w:b w:val="0"/>
                <w:sz w:val="18"/>
              </w:rPr>
              <w:t>xgboost with soh</w:t>
            </w:r>
          </w:p>
        </w:tc>
        <w:tc>
          <w:tcPr>
            <w:tcW w:type="dxa" w:w="1170"/>
          </w:tcPr>
          <w:p>
            <w:r>
              <w:rPr>
                <w:rFonts w:ascii="Times New Roman" w:hAnsi="Times New Roman"/>
                <w:b w:val="0"/>
                <w:sz w:val="18"/>
              </w:rPr>
              <w:t>xgboost no soh</w:t>
            </w:r>
          </w:p>
        </w:tc>
        <w:tc>
          <w:tcPr>
            <w:tcW w:type="dxa" w:w="1170"/>
          </w:tcPr>
          <w:p>
            <w:r>
              <w:rPr>
                <w:rFonts w:ascii="Times New Roman" w:hAnsi="Times New Roman"/>
                <w:b w:val="0"/>
                <w:sz w:val="18"/>
              </w:rPr>
              <w:t>cross_chem_soh_ablation</w:t>
            </w:r>
          </w:p>
        </w:tc>
        <w:tc>
          <w:tcPr>
            <w:tcW w:type="dxa" w:w="1170"/>
          </w:tcPr>
          <w:p>
            <w:r>
              <w:rPr>
                <w:rFonts w:ascii="Times New Roman" w:hAnsi="Times New Roman"/>
                <w:b w:val="0"/>
                <w:sz w:val="18"/>
              </w:rPr>
              <w:t>0.896</w:t>
            </w:r>
          </w:p>
        </w:tc>
        <w:tc>
          <w:tcPr>
            <w:tcW w:type="dxa" w:w="1170"/>
          </w:tcPr>
          <w:p>
            <w:r>
              <w:rPr>
                <w:rFonts w:ascii="Times New Roman" w:hAnsi="Times New Roman"/>
                <w:b w:val="0"/>
                <w:sz w:val="18"/>
              </w:rPr>
              <w:t>0.750</w:t>
            </w:r>
          </w:p>
        </w:tc>
        <w:tc>
          <w:tcPr>
            <w:tcW w:type="dxa" w:w="1170"/>
          </w:tcPr>
          <w:p>
            <w:r>
              <w:rPr>
                <w:rFonts w:ascii="Times New Roman" w:hAnsi="Times New Roman"/>
                <w:b w:val="0"/>
                <w:sz w:val="18"/>
              </w:rPr>
              <w:t>&lt;1e-100</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severson</w:t>
            </w:r>
          </w:p>
        </w:tc>
        <w:tc>
          <w:tcPr>
            <w:tcW w:type="dxa" w:w="1170"/>
          </w:tcPr>
          <w:p>
            <w:r>
              <w:rPr>
                <w:rFonts w:ascii="Times New Roman" w:hAnsi="Times New Roman"/>
                <w:b w:val="0"/>
                <w:sz w:val="18"/>
              </w:rPr>
              <w:t>lightgbm with soh</w:t>
            </w:r>
          </w:p>
        </w:tc>
        <w:tc>
          <w:tcPr>
            <w:tcW w:type="dxa" w:w="1170"/>
          </w:tcPr>
          <w:p>
            <w:r>
              <w:rPr>
                <w:rFonts w:ascii="Times New Roman" w:hAnsi="Times New Roman"/>
                <w:b w:val="0"/>
                <w:sz w:val="18"/>
              </w:rPr>
              <w:t>lightgbm no soh</w:t>
            </w:r>
          </w:p>
        </w:tc>
        <w:tc>
          <w:tcPr>
            <w:tcW w:type="dxa" w:w="1170"/>
          </w:tcPr>
          <w:p>
            <w:r>
              <w:rPr>
                <w:rFonts w:ascii="Times New Roman" w:hAnsi="Times New Roman"/>
                <w:b w:val="0"/>
                <w:sz w:val="18"/>
              </w:rPr>
              <w:t>cross_chem_soh_ablation</w:t>
            </w:r>
          </w:p>
        </w:tc>
        <w:tc>
          <w:tcPr>
            <w:tcW w:type="dxa" w:w="1170"/>
          </w:tcPr>
          <w:p>
            <w:r>
              <w:rPr>
                <w:rFonts w:ascii="Times New Roman" w:hAnsi="Times New Roman"/>
                <w:b w:val="0"/>
                <w:sz w:val="18"/>
              </w:rPr>
              <w:t>0.882</w:t>
            </w:r>
          </w:p>
        </w:tc>
        <w:tc>
          <w:tcPr>
            <w:tcW w:type="dxa" w:w="1170"/>
          </w:tcPr>
          <w:p>
            <w:r>
              <w:rPr>
                <w:rFonts w:ascii="Times New Roman" w:hAnsi="Times New Roman"/>
                <w:b w:val="0"/>
                <w:sz w:val="18"/>
              </w:rPr>
              <w:t>0.718</w:t>
            </w:r>
          </w:p>
        </w:tc>
        <w:tc>
          <w:tcPr>
            <w:tcW w:type="dxa" w:w="1170"/>
          </w:tcPr>
          <w:p>
            <w:r>
              <w:rPr>
                <w:rFonts w:ascii="Times New Roman" w:hAnsi="Times New Roman"/>
                <w:b w:val="0"/>
                <w:sz w:val="18"/>
              </w:rPr>
              <w:t>&lt;1e-100</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severson</w:t>
            </w:r>
          </w:p>
        </w:tc>
        <w:tc>
          <w:tcPr>
            <w:tcW w:type="dxa" w:w="1170"/>
          </w:tcPr>
          <w:p>
            <w:r>
              <w:rPr>
                <w:rFonts w:ascii="Times New Roman" w:hAnsi="Times New Roman"/>
                <w:b w:val="0"/>
                <w:sz w:val="18"/>
              </w:rPr>
              <w:t>random forest with soh</w:t>
            </w:r>
          </w:p>
        </w:tc>
        <w:tc>
          <w:tcPr>
            <w:tcW w:type="dxa" w:w="1170"/>
          </w:tcPr>
          <w:p>
            <w:r>
              <w:rPr>
                <w:rFonts w:ascii="Times New Roman" w:hAnsi="Times New Roman"/>
                <w:b w:val="0"/>
                <w:sz w:val="18"/>
              </w:rPr>
              <w:t>random forest no soh</w:t>
            </w:r>
          </w:p>
        </w:tc>
        <w:tc>
          <w:tcPr>
            <w:tcW w:type="dxa" w:w="1170"/>
          </w:tcPr>
          <w:p>
            <w:r>
              <w:rPr>
                <w:rFonts w:ascii="Times New Roman" w:hAnsi="Times New Roman"/>
                <w:b w:val="0"/>
                <w:sz w:val="18"/>
              </w:rPr>
              <w:t>cross_chem_soh_ablation</w:t>
            </w:r>
          </w:p>
        </w:tc>
        <w:tc>
          <w:tcPr>
            <w:tcW w:type="dxa" w:w="1170"/>
          </w:tcPr>
          <w:p>
            <w:r>
              <w:rPr>
                <w:rFonts w:ascii="Times New Roman" w:hAnsi="Times New Roman"/>
                <w:b w:val="0"/>
                <w:sz w:val="18"/>
              </w:rPr>
              <w:t>0.889</w:t>
            </w:r>
          </w:p>
        </w:tc>
        <w:tc>
          <w:tcPr>
            <w:tcW w:type="dxa" w:w="1170"/>
          </w:tcPr>
          <w:p>
            <w:r>
              <w:rPr>
                <w:rFonts w:ascii="Times New Roman" w:hAnsi="Times New Roman"/>
                <w:b w:val="0"/>
                <w:sz w:val="18"/>
              </w:rPr>
              <w:t>0.746</w:t>
            </w:r>
          </w:p>
        </w:tc>
        <w:tc>
          <w:tcPr>
            <w:tcW w:type="dxa" w:w="1170"/>
          </w:tcPr>
          <w:p>
            <w:r>
              <w:rPr>
                <w:rFonts w:ascii="Times New Roman" w:hAnsi="Times New Roman"/>
                <w:b w:val="0"/>
                <w:sz w:val="18"/>
              </w:rPr>
              <w:t>&lt;1e-100</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severson</w:t>
            </w:r>
          </w:p>
        </w:tc>
        <w:tc>
          <w:tcPr>
            <w:tcW w:type="dxa" w:w="1170"/>
          </w:tcPr>
          <w:p>
            <w:r>
              <w:rPr>
                <w:rFonts w:ascii="Times New Roman" w:hAnsi="Times New Roman"/>
                <w:b w:val="0"/>
                <w:sz w:val="18"/>
              </w:rPr>
              <w:t>xgboost</w:t>
            </w:r>
          </w:p>
        </w:tc>
        <w:tc>
          <w:tcPr>
            <w:tcW w:type="dxa" w:w="1170"/>
          </w:tcPr>
          <w:p>
            <w:r>
              <w:rPr>
                <w:rFonts w:ascii="Times New Roman" w:hAnsi="Times New Roman"/>
                <w:b w:val="0"/>
                <w:sz w:val="18"/>
              </w:rPr>
              <w:t>lightgbm</w:t>
            </w:r>
          </w:p>
        </w:tc>
        <w:tc>
          <w:tcPr>
            <w:tcW w:type="dxa" w:w="1170"/>
          </w:tcPr>
          <w:p>
            <w:r>
              <w:rPr>
                <w:rFonts w:ascii="Times New Roman" w:hAnsi="Times New Roman"/>
                <w:b w:val="0"/>
                <w:sz w:val="18"/>
              </w:rPr>
              <w:t>cross_chem_with_soh</w:t>
            </w:r>
          </w:p>
        </w:tc>
        <w:tc>
          <w:tcPr>
            <w:tcW w:type="dxa" w:w="1170"/>
          </w:tcPr>
          <w:p>
            <w:r>
              <w:rPr>
                <w:rFonts w:ascii="Times New Roman" w:hAnsi="Times New Roman"/>
                <w:b w:val="0"/>
                <w:sz w:val="18"/>
              </w:rPr>
              <w:t>0.896</w:t>
            </w:r>
          </w:p>
        </w:tc>
        <w:tc>
          <w:tcPr>
            <w:tcW w:type="dxa" w:w="1170"/>
          </w:tcPr>
          <w:p>
            <w:r>
              <w:rPr>
                <w:rFonts w:ascii="Times New Roman" w:hAnsi="Times New Roman"/>
                <w:b w:val="0"/>
                <w:sz w:val="18"/>
              </w:rPr>
              <w:t>0.882</w:t>
            </w:r>
          </w:p>
        </w:tc>
        <w:tc>
          <w:tcPr>
            <w:tcW w:type="dxa" w:w="1170"/>
          </w:tcPr>
          <w:p>
            <w:r>
              <w:rPr>
                <w:rFonts w:ascii="Times New Roman" w:hAnsi="Times New Roman"/>
                <w:b w:val="0"/>
                <w:sz w:val="18"/>
              </w:rPr>
              <w:t>1.04e-20</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severson</w:t>
            </w:r>
          </w:p>
        </w:tc>
        <w:tc>
          <w:tcPr>
            <w:tcW w:type="dxa" w:w="1170"/>
          </w:tcPr>
          <w:p>
            <w:r>
              <w:rPr>
                <w:rFonts w:ascii="Times New Roman" w:hAnsi="Times New Roman"/>
                <w:b w:val="0"/>
                <w:sz w:val="18"/>
              </w:rPr>
              <w:t>xgboost</w:t>
            </w:r>
          </w:p>
        </w:tc>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cross_chem_with_soh</w:t>
            </w:r>
          </w:p>
        </w:tc>
        <w:tc>
          <w:tcPr>
            <w:tcW w:type="dxa" w:w="1170"/>
          </w:tcPr>
          <w:p>
            <w:r>
              <w:rPr>
                <w:rFonts w:ascii="Times New Roman" w:hAnsi="Times New Roman"/>
                <w:b w:val="0"/>
                <w:sz w:val="18"/>
              </w:rPr>
              <w:t>0.896</w:t>
            </w:r>
          </w:p>
        </w:tc>
        <w:tc>
          <w:tcPr>
            <w:tcW w:type="dxa" w:w="1170"/>
          </w:tcPr>
          <w:p>
            <w:r>
              <w:rPr>
                <w:rFonts w:ascii="Times New Roman" w:hAnsi="Times New Roman"/>
                <w:b w:val="0"/>
                <w:sz w:val="18"/>
              </w:rPr>
              <w:t>0.889</w:t>
            </w:r>
          </w:p>
        </w:tc>
        <w:tc>
          <w:tcPr>
            <w:tcW w:type="dxa" w:w="1170"/>
          </w:tcPr>
          <w:p>
            <w:r>
              <w:rPr>
                <w:rFonts w:ascii="Times New Roman" w:hAnsi="Times New Roman"/>
                <w:b w:val="0"/>
                <w:sz w:val="18"/>
              </w:rPr>
              <w:t>3.72e-03</w:t>
            </w:r>
          </w:p>
        </w:tc>
        <w:tc>
          <w:tcPr>
            <w:tcW w:type="dxa" w:w="1170"/>
          </w:tcPr>
          <w:p>
            <w:r>
              <w:rPr>
                <w:rFonts w:ascii="Times New Roman" w:hAnsi="Times New Roman"/>
                <w:b w:val="0"/>
                <w:sz w:val="18"/>
              </w:rPr>
              <w:t>✓</w:t>
            </w:r>
          </w:p>
        </w:tc>
      </w:tr>
      <w:tr>
        <w:tc>
          <w:tcPr>
            <w:tcW w:type="dxa" w:w="1170"/>
          </w:tcPr>
          <w:p>
            <w:r>
              <w:rPr>
                <w:rFonts w:ascii="Times New Roman" w:hAnsi="Times New Roman"/>
                <w:b w:val="0"/>
                <w:sz w:val="18"/>
              </w:rPr>
              <w:t>severson</w:t>
            </w:r>
          </w:p>
        </w:tc>
        <w:tc>
          <w:tcPr>
            <w:tcW w:type="dxa" w:w="1170"/>
          </w:tcPr>
          <w:p>
            <w:r>
              <w:rPr>
                <w:rFonts w:ascii="Times New Roman" w:hAnsi="Times New Roman"/>
                <w:b w:val="0"/>
                <w:sz w:val="18"/>
              </w:rPr>
              <w:t>lightgbm</w:t>
            </w:r>
          </w:p>
        </w:tc>
        <w:tc>
          <w:tcPr>
            <w:tcW w:type="dxa" w:w="1170"/>
          </w:tcPr>
          <w:p>
            <w:r>
              <w:rPr>
                <w:rFonts w:ascii="Times New Roman" w:hAnsi="Times New Roman"/>
                <w:b w:val="0"/>
                <w:sz w:val="18"/>
              </w:rPr>
              <w:t>random forest</w:t>
            </w:r>
          </w:p>
        </w:tc>
        <w:tc>
          <w:tcPr>
            <w:tcW w:type="dxa" w:w="1170"/>
          </w:tcPr>
          <w:p>
            <w:r>
              <w:rPr>
                <w:rFonts w:ascii="Times New Roman" w:hAnsi="Times New Roman"/>
                <w:b w:val="0"/>
                <w:sz w:val="18"/>
              </w:rPr>
              <w:t>cross_chem_with_soh</w:t>
            </w:r>
          </w:p>
        </w:tc>
        <w:tc>
          <w:tcPr>
            <w:tcW w:type="dxa" w:w="1170"/>
          </w:tcPr>
          <w:p>
            <w:r>
              <w:rPr>
                <w:rFonts w:ascii="Times New Roman" w:hAnsi="Times New Roman"/>
                <w:b w:val="0"/>
                <w:sz w:val="18"/>
              </w:rPr>
              <w:t>0.882</w:t>
            </w:r>
          </w:p>
        </w:tc>
        <w:tc>
          <w:tcPr>
            <w:tcW w:type="dxa" w:w="1170"/>
          </w:tcPr>
          <w:p>
            <w:r>
              <w:rPr>
                <w:rFonts w:ascii="Times New Roman" w:hAnsi="Times New Roman"/>
                <w:b w:val="0"/>
                <w:sz w:val="18"/>
              </w:rPr>
              <w:t>0.889</w:t>
            </w:r>
          </w:p>
        </w:tc>
        <w:tc>
          <w:tcPr>
            <w:tcW w:type="dxa" w:w="1170"/>
          </w:tcPr>
          <w:p>
            <w:r>
              <w:rPr>
                <w:rFonts w:ascii="Times New Roman" w:hAnsi="Times New Roman"/>
                <w:b w:val="0"/>
                <w:sz w:val="18"/>
              </w:rPr>
              <w:t>5.94e-03</w:t>
            </w:r>
          </w:p>
        </w:tc>
        <w:tc>
          <w:tcPr>
            <w:tcW w:type="dxa" w:w="1170"/>
          </w:tcPr>
          <w:p>
            <w:r>
              <w:rPr>
                <w:rFonts w:ascii="Times New Roman" w:hAnsi="Times New Roman"/>
                <w:b w:val="0"/>
                <w:sz w:val="18"/>
              </w:rPr>
              <w:t>✓</w:t>
            </w:r>
          </w:p>
        </w:tc>
      </w:tr>
    </w:tbl>
    <w:p>
      <w:pPr>
        <w:spacing w:before="280" w:after="120"/>
      </w:pPr>
      <w:r>
        <w:rPr>
          <w:rFonts w:ascii="Times New Roman" w:hAnsi="Times New Roman"/>
          <w:b/>
          <w:sz w:val="22"/>
        </w:rPr>
        <w:t>G. SHAP Feature Importance</w:t>
      </w:r>
    </w:p>
    <w:p>
      <w:pPr>
        <w:jc w:val="both"/>
      </w:pPr>
      <w:r>
        <w:rPr>
          <w:rFonts w:ascii="Times New Roman" w:hAnsi="Times New Roman"/>
          <w:sz w:val="22"/>
        </w:rPr>
        <w:t>To investigate the role of individual features in cross-chemistry transfer, we compute SHAP (SHapley Additive exPlanations) values [11] for the three tree-based models trained on NASA and tested on Oxford (H = 20, with SOH). The SHAP value phi_j for feature j quantifies the marginal contribution of that feature to the model's prediction, averaged over all possible feature orderings:</w:t>
      </w:r>
    </w:p>
    <w:p>
      <w:pPr>
        <w:spacing w:before="120" w:after="120"/>
        <w:jc w:val="center"/>
      </w:pPr>
      <w:r>
        <w:drawing>
          <wp:inline xmlns:a="http://schemas.openxmlformats.org/drawingml/2006/main" xmlns:pic="http://schemas.openxmlformats.org/drawingml/2006/picture">
            <wp:extent cx="4114800" cy="548640"/>
            <wp:docPr id="13" name="Picture 13"/>
            <wp:cNvGraphicFramePr>
              <a:graphicFrameLocks noChangeAspect="1"/>
            </wp:cNvGraphicFramePr>
            <a:graphic>
              <a:graphicData uri="http://schemas.openxmlformats.org/drawingml/2006/picture">
                <pic:pic>
                  <pic:nvPicPr>
                    <pic:cNvPr id="0" name="tmp5dch7dwd.png"/>
                    <pic:cNvPicPr/>
                  </pic:nvPicPr>
                  <pic:blipFill>
                    <a:blip r:embed="rId21"/>
                    <a:stretch>
                      <a:fillRect/>
                    </a:stretch>
                  </pic:blipFill>
                  <pic:spPr>
                    <a:xfrm>
                      <a:off x="0" y="0"/>
                      <a:ext cx="4114800" cy="548640"/>
                    </a:xfrm>
                    <a:prstGeom prst="rect"/>
                  </pic:spPr>
                </pic:pic>
              </a:graphicData>
            </a:graphic>
          </wp:inline>
        </w:drawing>
      </w:r>
    </w:p>
    <w:p>
      <w:pPr>
        <w:jc w:val="both"/>
      </w:pPr>
      <w:r>
        <w:rPr>
          <w:rFonts w:ascii="Times New Roman" w:hAnsi="Times New Roman"/>
          <w:sz w:val="22"/>
        </w:rPr>
        <w:t>Figures 6a-6c present the SHAP summary plots for XGBoost, LightGBM, and Random Forest respectively (with SOH). Across all three model classes, SOH dominates as the most important feature by a wide margin. Cycle number is a distant second, while voltage, current, temperature, and duration features contribute negligibly. This pattern is consistent with the SOH-as-lookup-table mechanism: the models rely almost exclusively on SOH to make cross-chemistry predictions.</w:t>
      </w:r>
    </w:p>
    <w:p>
      <w:pPr>
        <w:spacing w:before="160"/>
        <w:jc w:val="center"/>
      </w:pPr>
      <w:r>
        <w:drawing>
          <wp:inline xmlns:a="http://schemas.openxmlformats.org/drawingml/2006/main" xmlns:pic="http://schemas.openxmlformats.org/drawingml/2006/picture">
            <wp:extent cx="4572000" cy="2668208"/>
            <wp:docPr id="14" name="Picture 14"/>
            <wp:cNvGraphicFramePr>
              <a:graphicFrameLocks noChangeAspect="1"/>
            </wp:cNvGraphicFramePr>
            <a:graphic>
              <a:graphicData uri="http://schemas.openxmlformats.org/drawingml/2006/picture">
                <pic:pic>
                  <pic:nvPicPr>
                    <pic:cNvPr id="0" name="Fig06a_XGBoost_SHAP.png"/>
                    <pic:cNvPicPr/>
                  </pic:nvPicPr>
                  <pic:blipFill>
                    <a:blip r:embed="rId22"/>
                    <a:stretch>
                      <a:fillRect/>
                    </a:stretch>
                  </pic:blipFill>
                  <pic:spPr>
                    <a:xfrm>
                      <a:off x="0" y="0"/>
                      <a:ext cx="4572000" cy="2668208"/>
                    </a:xfrm>
                    <a:prstGeom prst="rect"/>
                  </pic:spPr>
                </pic:pic>
              </a:graphicData>
            </a:graphic>
          </wp:inline>
        </w:drawing>
      </w:r>
    </w:p>
    <w:p>
      <w:pPr>
        <w:jc w:val="center"/>
      </w:pPr>
      <w:r>
        <w:rPr>
          <w:rFonts w:ascii="Times New Roman" w:hAnsi="Times New Roman"/>
          <w:b/>
          <w:sz w:val="18"/>
        </w:rPr>
        <w:t>Figure 6a. SHAP feature importance for XGBoost in NASA-to-Oxford cross-chemistry transfer (H = 20, with SOH). SOH dominates all other features.</w:t>
      </w:r>
    </w:p>
    <w:p>
      <w:pPr>
        <w:spacing w:before="160"/>
        <w:jc w:val="center"/>
      </w:pPr>
      <w:r>
        <w:drawing>
          <wp:inline xmlns:a="http://schemas.openxmlformats.org/drawingml/2006/main" xmlns:pic="http://schemas.openxmlformats.org/drawingml/2006/picture">
            <wp:extent cx="4572000" cy="2668208"/>
            <wp:docPr id="15" name="Picture 15"/>
            <wp:cNvGraphicFramePr>
              <a:graphicFrameLocks noChangeAspect="1"/>
            </wp:cNvGraphicFramePr>
            <a:graphic>
              <a:graphicData uri="http://schemas.openxmlformats.org/drawingml/2006/picture">
                <pic:pic>
                  <pic:nvPicPr>
                    <pic:cNvPr id="0" name="Fig06b_LightGBM_SHAP.png"/>
                    <pic:cNvPicPr/>
                  </pic:nvPicPr>
                  <pic:blipFill>
                    <a:blip r:embed="rId23"/>
                    <a:stretch>
                      <a:fillRect/>
                    </a:stretch>
                  </pic:blipFill>
                  <pic:spPr>
                    <a:xfrm>
                      <a:off x="0" y="0"/>
                      <a:ext cx="4572000" cy="2668208"/>
                    </a:xfrm>
                    <a:prstGeom prst="rect"/>
                  </pic:spPr>
                </pic:pic>
              </a:graphicData>
            </a:graphic>
          </wp:inline>
        </w:drawing>
      </w:r>
    </w:p>
    <w:p>
      <w:pPr>
        <w:jc w:val="center"/>
      </w:pPr>
      <w:r>
        <w:rPr>
          <w:rFonts w:ascii="Times New Roman" w:hAnsi="Times New Roman"/>
          <w:b/>
          <w:sz w:val="18"/>
        </w:rPr>
        <w:t>Figure 6b. SHAP feature importance for LightGBM in NASA-to-Oxford cross-chemistry transfer (H = 20, with SOH). SOH dominates all other features.</w:t>
      </w:r>
    </w:p>
    <w:p>
      <w:pPr>
        <w:spacing w:before="160"/>
        <w:jc w:val="center"/>
      </w:pPr>
      <w:r>
        <w:drawing>
          <wp:inline xmlns:a="http://schemas.openxmlformats.org/drawingml/2006/main" xmlns:pic="http://schemas.openxmlformats.org/drawingml/2006/picture">
            <wp:extent cx="4572000" cy="2668208"/>
            <wp:docPr id="16" name="Picture 16"/>
            <wp:cNvGraphicFramePr>
              <a:graphicFrameLocks noChangeAspect="1"/>
            </wp:cNvGraphicFramePr>
            <a:graphic>
              <a:graphicData uri="http://schemas.openxmlformats.org/drawingml/2006/picture">
                <pic:pic>
                  <pic:nvPicPr>
                    <pic:cNvPr id="0" name="Fig06c_RandomForest_SHAP.png"/>
                    <pic:cNvPicPr/>
                  </pic:nvPicPr>
                  <pic:blipFill>
                    <a:blip r:embed="rId24"/>
                    <a:stretch>
                      <a:fillRect/>
                    </a:stretch>
                  </pic:blipFill>
                  <pic:spPr>
                    <a:xfrm>
                      <a:off x="0" y="0"/>
                      <a:ext cx="4572000" cy="2668208"/>
                    </a:xfrm>
                    <a:prstGeom prst="rect"/>
                  </pic:spPr>
                </pic:pic>
              </a:graphicData>
            </a:graphic>
          </wp:inline>
        </w:drawing>
      </w:r>
    </w:p>
    <w:p>
      <w:pPr>
        <w:jc w:val="center"/>
      </w:pPr>
      <w:r>
        <w:rPr>
          <w:rFonts w:ascii="Times New Roman" w:hAnsi="Times New Roman"/>
          <w:b/>
          <w:sz w:val="18"/>
        </w:rPr>
        <w:t>Figure 6c. SHAP feature importance for Random Forest in NASA-to-Oxford cross-chemistry transfer (H = 20, with SOH). SOH dominates all other features.</w:t>
      </w:r>
    </w:p>
    <w:p>
      <w:pPr>
        <w:jc w:val="both"/>
      </w:pPr>
      <w:r>
        <w:rPr>
          <w:rFonts w:ascii="Times New Roman" w:hAnsi="Times New Roman"/>
          <w:sz w:val="22"/>
        </w:rPr>
        <w:t>Figures 6d-6f present the corresponding SHAP summary plots for the no-SOH condition (training on NASA features excluding SOH, testing on Oxford, H = 20). The contrast is stark: where Figures 6a-6c show SOH dominating with high-magnitude SHAP values across the full feature range, Figures 6d-6f show all remaining features collapsed to near-zero SHAP spread with no meaningful ranking signal. This visual collapse mirrors the quantitative AUC collapse: without SOH, no feature carries sufficient chemistry-invariant signal to drive discriminative splits, and SHAP values reflect near-random permutation effects.</w:t>
      </w:r>
    </w:p>
    <w:p>
      <w:pPr>
        <w:spacing w:before="160"/>
        <w:jc w:val="center"/>
      </w:pPr>
      <w:r>
        <w:drawing>
          <wp:inline xmlns:a="http://schemas.openxmlformats.org/drawingml/2006/main" xmlns:pic="http://schemas.openxmlformats.org/drawingml/2006/picture">
            <wp:extent cx="4572000" cy="2668208"/>
            <wp:docPr id="17" name="Picture 17"/>
            <wp:cNvGraphicFramePr>
              <a:graphicFrameLocks noChangeAspect="1"/>
            </wp:cNvGraphicFramePr>
            <a:graphic>
              <a:graphicData uri="http://schemas.openxmlformats.org/drawingml/2006/picture">
                <pic:pic>
                  <pic:nvPicPr>
                    <pic:cNvPr id="0" name="Fig06d_XGBoost_SHAP_noSOH.png"/>
                    <pic:cNvPicPr/>
                  </pic:nvPicPr>
                  <pic:blipFill>
                    <a:blip r:embed="rId25"/>
                    <a:stretch>
                      <a:fillRect/>
                    </a:stretch>
                  </pic:blipFill>
                  <pic:spPr>
                    <a:xfrm>
                      <a:off x="0" y="0"/>
                      <a:ext cx="4572000" cy="2668208"/>
                    </a:xfrm>
                    <a:prstGeom prst="rect"/>
                  </pic:spPr>
                </pic:pic>
              </a:graphicData>
            </a:graphic>
          </wp:inline>
        </w:drawing>
      </w:r>
    </w:p>
    <w:p>
      <w:pPr>
        <w:jc w:val="center"/>
      </w:pPr>
      <w:r>
        <w:rPr>
          <w:rFonts w:ascii="Times New Roman" w:hAnsi="Times New Roman"/>
          <w:b/>
          <w:sz w:val="18"/>
        </w:rPr>
        <w:t>Figure 6d. SHAP feature importance for XGBoost in NASA-to-Oxford cross-chemistry transfer (H = 20, without SOH). All features collapse to near-zero SHAP spread.</w:t>
      </w:r>
    </w:p>
    <w:p>
      <w:pPr>
        <w:spacing w:before="160"/>
        <w:jc w:val="center"/>
      </w:pPr>
      <w:r>
        <w:drawing>
          <wp:inline xmlns:a="http://schemas.openxmlformats.org/drawingml/2006/main" xmlns:pic="http://schemas.openxmlformats.org/drawingml/2006/picture">
            <wp:extent cx="4572000" cy="2668208"/>
            <wp:docPr id="18" name="Picture 18"/>
            <wp:cNvGraphicFramePr>
              <a:graphicFrameLocks noChangeAspect="1"/>
            </wp:cNvGraphicFramePr>
            <a:graphic>
              <a:graphicData uri="http://schemas.openxmlformats.org/drawingml/2006/picture">
                <pic:pic>
                  <pic:nvPicPr>
                    <pic:cNvPr id="0" name="Fig06e_LightGBM_SHAP_noSOH.png"/>
                    <pic:cNvPicPr/>
                  </pic:nvPicPr>
                  <pic:blipFill>
                    <a:blip r:embed="rId26"/>
                    <a:stretch>
                      <a:fillRect/>
                    </a:stretch>
                  </pic:blipFill>
                  <pic:spPr>
                    <a:xfrm>
                      <a:off x="0" y="0"/>
                      <a:ext cx="4572000" cy="2668208"/>
                    </a:xfrm>
                    <a:prstGeom prst="rect"/>
                  </pic:spPr>
                </pic:pic>
              </a:graphicData>
            </a:graphic>
          </wp:inline>
        </w:drawing>
      </w:r>
    </w:p>
    <w:p>
      <w:pPr>
        <w:jc w:val="center"/>
      </w:pPr>
      <w:r>
        <w:rPr>
          <w:rFonts w:ascii="Times New Roman" w:hAnsi="Times New Roman"/>
          <w:b/>
          <w:sz w:val="18"/>
        </w:rPr>
        <w:t>Figure 6e. SHAP feature importance for LightGBM in NASA-to-Oxford cross-chemistry transfer (H = 20, without SOH). All features collapse to near-zero SHAP spread.</w:t>
      </w:r>
    </w:p>
    <w:p>
      <w:pPr>
        <w:spacing w:before="160"/>
        <w:jc w:val="center"/>
      </w:pPr>
      <w:r>
        <w:drawing>
          <wp:inline xmlns:a="http://schemas.openxmlformats.org/drawingml/2006/main" xmlns:pic="http://schemas.openxmlformats.org/drawingml/2006/picture">
            <wp:extent cx="4572000" cy="2668208"/>
            <wp:docPr id="19" name="Picture 19"/>
            <wp:cNvGraphicFramePr>
              <a:graphicFrameLocks noChangeAspect="1"/>
            </wp:cNvGraphicFramePr>
            <a:graphic>
              <a:graphicData uri="http://schemas.openxmlformats.org/drawingml/2006/picture">
                <pic:pic>
                  <pic:nvPicPr>
                    <pic:cNvPr id="0" name="Fig06f_RandomForest_SHAP_noSOH.png"/>
                    <pic:cNvPicPr/>
                  </pic:nvPicPr>
                  <pic:blipFill>
                    <a:blip r:embed="rId27"/>
                    <a:stretch>
                      <a:fillRect/>
                    </a:stretch>
                  </pic:blipFill>
                  <pic:spPr>
                    <a:xfrm>
                      <a:off x="0" y="0"/>
                      <a:ext cx="4572000" cy="2668208"/>
                    </a:xfrm>
                    <a:prstGeom prst="rect"/>
                  </pic:spPr>
                </pic:pic>
              </a:graphicData>
            </a:graphic>
          </wp:inline>
        </w:drawing>
      </w:r>
    </w:p>
    <w:p>
      <w:pPr>
        <w:jc w:val="center"/>
      </w:pPr>
      <w:r>
        <w:rPr>
          <w:rFonts w:ascii="Times New Roman" w:hAnsi="Times New Roman"/>
          <w:b/>
          <w:sz w:val="18"/>
        </w:rPr>
        <w:t>Figure 6f. SHAP feature importance for Random Forest in NASA-to-Oxford cross-chemistry transfer (H = 20, without SOH). All features collapse to near-zero SHAP spread.</w:t>
      </w:r>
    </w:p>
    <w:p>
      <w:pPr>
        <w:spacing w:before="360" w:after="160"/>
        <w:jc w:val="center"/>
      </w:pPr>
      <w:r>
        <w:rPr>
          <w:rFonts w:ascii="Times New Roman" w:hAnsi="Times New Roman"/>
          <w:b/>
          <w:sz w:val="24"/>
        </w:rPr>
        <w:t>V. DISCUSSION</w:t>
      </w:r>
    </w:p>
    <w:p>
      <w:pPr>
        <w:jc w:val="both"/>
      </w:pPr>
      <w:r>
        <w:rPr>
          <w:rFonts w:ascii="Times New Roman" w:hAnsi="Times New Roman"/>
          <w:sz w:val="22"/>
        </w:rPr>
        <w:t>The central finding is that cross-chemistry transfer of hazard-based battery failure prediction fails for all model classes tested when SOH is unavailable as a feature. This result holds across two LFP test targets (Oxford, 5 cells; Severson, 141 cells), three tree-based model classes (XGBoost, LightGBM, Random Forest), a sequence model (GRU), and three LCO training configurations (NASA, CALCE, ALL). The DeLong test confirms that the SOH-ablation AUC gap is statistically significant at p &lt; 10^{-36} for all model-by-target combinations.</w:t>
      </w:r>
    </w:p>
    <w:p>
      <w:pPr>
        <w:jc w:val="both"/>
      </w:pPr>
      <w:r>
        <w:rPr>
          <w:rFonts w:ascii="Times New Roman" w:hAnsi="Times New Roman"/>
          <w:sz w:val="22"/>
        </w:rPr>
        <w:t>The mechanism underlying this failure is the SOH-as-lookup-table phenomenon: models trained on LCO data learn a mapping from SOH values to remaining useful life that is specific to LCO degradation trajectories. When deployed on LFP, the model applies this same learned mapping -- producing high AUC because LFP cells traverse similar SOH ranges -- but the prediction is driven by a chemistry-specific proxy, not by genuine understanding of LFP degradation dynamics. The SHAP analysis confirms this: SOH accounts for the dominant share of feature importance, and removing it collapses all predictors to near-random performance.</w:t>
      </w:r>
    </w:p>
    <w:p>
      <w:pPr>
        <w:jc w:val="both"/>
      </w:pPr>
      <w:r>
        <w:rPr>
          <w:rFonts w:ascii="Times New Roman" w:hAnsi="Times New Roman"/>
          <w:sz w:val="22"/>
        </w:rPr>
        <w:t>Three distinct failure modes are identified: (1) SOH-as-lookup-table (all models), (2) distributed-representation entanglement under covariate shift (GRU-specific), and (3) calibration collapse under distribution shift (all post-hoc methods, with isotonic regression being the most severely affected). These findings establish that cross-chemistry generalization of hazard-based battery failure models remains an open problem requiring either chemistry-invariant feature representations or per-chemistry model retraining.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