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after="120"/>
      </w:pPr>
      <w:r>
        <w:t xml:space="preserve">Multi-Horizon Failure-Risk Models for Battery Failure Prediction: Within-Dataset Reliability, Cross-Chemistry Transferability, and Calibration Analysis</w:t>
      </w:r>
    </w:p>
    <w:sectPr>
      <w:pgSz w:w="12240" w:h="15840"/>
      <w:pgMar w:top="1080" w:bottom="1440" w:left="900" w:right="900" w:header="480" w:footer="480" w:gutter="0"/>
      <w:type w:val="continuous"/>
    </w:sectPr>
    <w:p>
      <w:pPr>
        <w:pStyle w:val="Author"/>
      </w:pPr>
    </w:p>
    <w:p>
      <w:pPr>
        <w:pStyle w:val="Author"/>
      </w:pPr>
    </w:p>
    <w:p>
      <w:pPr>
        <w:pStyle w:val="Author"/>
      </w:pPr>
    </w:p>
    <w:p>
      <w:pPr>
        <w:pStyle w:val="Author"/>
      </w:pPr>
    </w:p>
    <w:p>
      <w:pPr>
        <w:pStyle w:val="Author"/>
      </w:pPr>
    </w:p>
    <w:p>
      <w:pPr>
        <w:pStyle w:val="FirstParagraph"/>
        <w:spacing w:before="120"/>
      </w:pPr>
      <w:r>
        <w:rPr>
          <w:b/>
          <w:bCs/>
          <w:sz w:val="18"/>
        </w:rPr>
        <w:t xml:space="preserve">Abstract—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This paper presents a multi-horizon failure-risk prediction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framework for lithium-ion battery failure that integrates probability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calibration, cross-dataset evaluation, and statistical significance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testing, and uses it to answer a validity question: when failure-risk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models appear to transfer between datasets and chemistries, is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degradation knowledge actually transferring, or is the model reading a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health-state variable that encodes proximity to the failure criterion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itself? Three tree ensembles (XGBoost, LightGBM, Random Forest) and a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GRU baseline are trained on the NASA and CALCE LCO datasets under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cell-disjoint folds with leakage-free, cross-fitted calibration, and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evaluated on the Oxford and MIT–Stanford Severson LFP datasets across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four horizons (10, 20, 30, 50 cycles). Under the clean protocol, every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model–horizon–dataset combination reaches a fold-mean AUC of at least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0.85 (32 of 32), and Platt scaling better preserves discrimination than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isotonic regression while achieving comparable or better calibration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error. The central result is a controlled State-of-Health (SOH)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ablation: apparent cross-dataset, cross-chemistry transfer with SOH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included (pooled AUC up to 1.00) collapses without SOH (at best 0.58 at</w:t>
      </w:r>
      <w:r>
        <w:rPr>
          <w:b/>
          <w:sz w:val="18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rPr>
          <w:b/>
          <w:sz w:val="18"/>
        </w:rPr>
        <w:t xml:space="preserve">), and an unfitted distance-to-threshold rule on SOH alone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reproduces most of the with-SOH transfer. Because SOH also enters the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failure definition, all with-SOH numbers are upper bounds that partly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measure label proximity: relabeling failure by voltage sag alone cuts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with-SOH transfer by a quarter. Same-chemistry cross-laboratory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controls show the collapse is driven by dataset shift at least as much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as by chemistry, so SOH acts as a dataset- and chemistry-dependent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health-state shortcut rather than a chemistry-specific transferable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signal.</w:t>
      </w:r>
    </w:p>
    <w:p>
      <w:pPr>
        <w:pStyle w:val="BodyText"/>
      </w:pPr>
      <w:r>
        <w:rPr>
          <w:i/>
          <w:iCs/>
        </w:rPr>
        <w:t xml:space="preserve">Keywords—</w:t>
      </w:r>
      <w:r>
        <w:t xml:space="preserve">battery management systems, machine</w:t>
      </w:r>
      <w:r>
        <w:t xml:space="preserve"> </w:t>
      </w:r>
      <w:r>
        <w:t xml:space="preserve">learning, probability calibration, prognostics and health management,</w:t>
      </w:r>
      <w:r>
        <w:t xml:space="preserve"> </w:t>
      </w:r>
      <w:r>
        <w:t xml:space="preserve">transfer learning, dataset shift.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have become the default choice for electric</w:t>
      </w:r>
      <w:r>
        <w:t xml:space="preserve"> </w:t>
      </w:r>
      <w:r>
        <w:t xml:space="preserve">vehicles and grid-scale energy storage, thanks to their high energy</w:t>
      </w:r>
      <w:r>
        <w:t xml:space="preserve"> </w:t>
      </w:r>
      <w:r>
        <w:t xml:space="preserve">density, fast charging capability, and long cycle life. The same</w:t>
      </w:r>
      <w:r>
        <w:t xml:space="preserve"> </w:t>
      </w:r>
      <w:r>
        <w:t xml:space="preserve">electrochemistry, however, degrades in complicated and highly</w:t>
      </w:r>
      <w:r>
        <w:t xml:space="preserve"> </w:t>
      </w:r>
      <w:r>
        <w:t xml:space="preserve">nonlinear ways, which is precisely what makes failure prediction</w:t>
      </w:r>
      <w:r>
        <w:t xml:space="preserve"> </w:t>
      </w:r>
      <w:r>
        <w:t xml:space="preserve">difficult. Individual failures may be uncommon, but the safety hazards</w:t>
      </w:r>
      <w:r>
        <w:t xml:space="preserve"> </w:t>
      </w:r>
      <w:r>
        <w:t xml:space="preserve">and economic losses they cause are serious enough that battery</w:t>
      </w:r>
      <w:r>
        <w:t xml:space="preserve"> </w:t>
      </w:r>
      <w:r>
        <w:t xml:space="preserve">management systems need forecasts they can genuinely rely</w:t>
      </w:r>
      <w:r>
        <w:t xml:space="preserve"> </w:t>
      </w:r>
      <w:r>
        <w:t xml:space="preserve">on [1]. Research effort has accordingly concentrated</w:t>
      </w:r>
      <w:r>
        <w:t xml:space="preserve"> </w:t>
      </w:r>
      <w:r>
        <w:t xml:space="preserve">on state-of-health (SOH) estimation and remaining useful life (RUL)</w:t>
      </w:r>
      <w:r>
        <w:t xml:space="preserve"> </w:t>
      </w:r>
      <w:r>
        <w:t xml:space="preserve">prediction. Reviews of conventional SOH methods, covering everything</w:t>
      </w:r>
      <w:r>
        <w:t xml:space="preserve"> </w:t>
      </w:r>
      <w:r>
        <w:t xml:space="preserve">from coulomb counting and impedance spectroscopy to Kalman filtering,</w:t>
      </w:r>
      <w:r>
        <w:t xml:space="preserve"> </w:t>
      </w:r>
      <w:r>
        <w:t xml:space="preserve">fuzzy logic, and machine learning, are well established [1].</w:t>
      </w:r>
      <w:r>
        <w:t xml:space="preserve"> </w:t>
      </w:r>
      <w:r>
        <w:t xml:space="preserve">More recently, deep learning has reshaped much of this landscape:</w:t>
      </w:r>
      <w:r>
        <w:t xml:space="preserve"> </w:t>
      </w:r>
      <w:r>
        <w:t xml:space="preserve">STL-LSTM models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 are representative examples, and</w:t>
      </w:r>
      <w:r>
        <w:t xml:space="preserve"> </w:t>
      </w:r>
      <w:r>
        <w:t xml:space="preserve">comprehensive reviews of RUL prediction are also</w:t>
      </w:r>
      <w:r>
        <w:t xml:space="preserve"> </w:t>
      </w:r>
      <w:r>
        <w:t xml:space="preserve">available [5]–[7]. On the modeling side,</w:t>
      </w:r>
      <w:r>
        <w:t xml:space="preserve"> </w:t>
      </w:r>
      <w:r>
        <w:t xml:space="preserve">LightGBM [8], GRU-based [9], hybrid</w:t>
      </w:r>
      <w:r>
        <w:t xml:space="preserve"> </w:t>
      </w:r>
      <w:r>
        <w:t xml:space="preserve">neural [10], and convolutional [11]</w:t>
      </w:r>
      <w:r>
        <w:t xml:space="preserve"> </w:t>
      </w:r>
      <w:r>
        <w:t xml:space="preserve">architectures have each reported competitive lifetime prediction, and</w:t>
      </w:r>
      <w:r>
        <w:t xml:space="preserve"> </w:t>
      </w:r>
      <w:r>
        <w:t xml:space="preserve">survival analysis is steadily gaining ground as an alternative way to</w:t>
      </w:r>
      <w:r>
        <w:t xml:space="preserve"> </w:t>
      </w:r>
      <w:r>
        <w:t xml:space="preserve">frame the problem [12]–[14]. What has</w:t>
      </w:r>
      <w:r>
        <w:t xml:space="preserve"> </w:t>
      </w:r>
      <w:r>
        <w:t xml:space="preserve">received surprisingly little attention, by contrast, is what happens</w:t>
      </w:r>
      <w:r>
        <w:t xml:space="preserve"> </w:t>
      </w:r>
      <w:r>
        <w:t xml:space="preserve">when a trained model is pointed at a different chemistry. Pang et</w:t>
      </w:r>
      <w:r>
        <w:t xml:space="preserve"> </w:t>
      </w:r>
      <w:r>
        <w:t xml:space="preserve">al. [15] proposed a Transformer–BiLSTM framework for</w:t>
      </w:r>
      <w:r>
        <w:t xml:space="preserve"> </w:t>
      </w:r>
      <w:r>
        <w:t xml:space="preserve">multi-chemistry SOH estimation, but their focus remained SOH rather</w:t>
      </w:r>
      <w:r>
        <w:t xml:space="preserve"> </w:t>
      </w:r>
      <w:r>
        <w:t xml:space="preserve">than failure prediction. Probability calibration is similarly</w:t>
      </w:r>
      <w:r>
        <w:t xml:space="preserve"> </w:t>
      </w:r>
      <w:r>
        <w:t xml:space="preserve">neglected, despite the availability of established</w:t>
      </w:r>
      <w:r>
        <w:t xml:space="preserve"> </w:t>
      </w:r>
      <w:r>
        <w:t xml:space="preserve">methods [16]–[18]. In the</w:t>
      </w:r>
      <w:r>
        <w:t xml:space="preserve"> </w:t>
      </w:r>
      <w:r>
        <w:t xml:space="preserve">background, SHAP-based interpretability [19] and a</w:t>
      </w:r>
      <w:r>
        <w:t xml:space="preserve"> </w:t>
      </w:r>
      <w:r>
        <w:t xml:space="preserve">growing collection of public benchmark datasets [20], [21]</w:t>
      </w:r>
      <w:r>
        <w:t xml:space="preserve"> </w:t>
      </w:r>
      <w:r>
        <w:t xml:space="preserve">continue to advance the field as a whole.</w:t>
      </w:r>
    </w:p>
    <w:p>
      <w:pPr>
        <w:pStyle w:val="BodyText"/>
      </w:pPr>
      <w:r>
        <w:t xml:space="preserve">Taken together, these threads leave a clear gap. Most studies still</w:t>
      </w:r>
      <w:r>
        <w:t xml:space="preserve"> </w:t>
      </w:r>
      <w:r>
        <w:t xml:space="preserve">evaluate a single dataset, chemistry, horizon, or metric, and</w:t>
      </w:r>
      <w:r>
        <w:t xml:space="preserve"> </w:t>
      </w:r>
      <w:r>
        <w:t xml:space="preserve">cross-dataset transfer, calibration, and significance testing are</w:t>
      </w:r>
      <w:r>
        <w:t xml:space="preserve"> </w:t>
      </w:r>
      <w:r>
        <w:t xml:space="preserve">rarely examined together. There is also a more basic concern that is</w:t>
      </w:r>
      <w:r>
        <w:t xml:space="preserve"> </w:t>
      </w:r>
      <w:r>
        <w:t xml:space="preserve">easy to overlook: it is often unclear whether apparent transfer</w:t>
      </w:r>
      <w:r>
        <w:t xml:space="preserve"> </w:t>
      </w:r>
      <w:r>
        <w:t xml:space="preserve">performance reflects genuine degradation knowledge or simply a</w:t>
      </w:r>
      <w:r>
        <w:t xml:space="preserve"> </w:t>
      </w:r>
      <w:r>
        <w:t xml:space="preserve">health-state shortcut. The composite failure label is defined from</w:t>
      </w:r>
      <w:r>
        <w:t xml:space="preserve"> </w:t>
      </w:r>
      <w:r>
        <w:t xml:space="preserve">SOH, and SOH happens to be the strongest input feature, so a model can</w:t>
      </w:r>
      <w:r>
        <w:t xml:space="preserve"> </w:t>
      </w:r>
      <w:r>
        <w:t xml:space="preserve">score well on transfer while doing little more than reading the label</w:t>
      </w:r>
      <w:r>
        <w:t xml:space="preserve"> </w:t>
      </w:r>
      <w:r>
        <w:t xml:space="preserve">criterion. A further practical issue concerns the DeLong</w:t>
      </w:r>
      <w:r>
        <w:t xml:space="preserve"> </w:t>
      </w:r>
      <w:r>
        <w:t xml:space="preserve">test [22], the usual tool for comparing ROC curves, which</w:t>
      </w:r>
      <w:r>
        <w:t xml:space="preserve"> </w:t>
      </w:r>
      <w:r>
        <w:t xml:space="preserve">treats every cycle-level prediction as independent even though cycles</w:t>
      </w:r>
      <w:r>
        <w:t xml:space="preserve"> </w:t>
      </w:r>
      <w:r>
        <w:t xml:space="preserve">within a cell are strongly correlated. Finally, although the Severson</w:t>
      </w:r>
      <w:r>
        <w:t xml:space="preserve"> </w:t>
      </w:r>
      <w:r>
        <w:t xml:space="preserve">dataset [23] makes large-scale LFP validation possible,</w:t>
      </w:r>
      <w:r>
        <w:t xml:space="preserve"> </w:t>
      </w:r>
      <w:r>
        <w:t xml:space="preserve">it has rarely been paired with cross-chemistry 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  <w:jc w:val="center"/>
      </w:pPr>
      <w:r>
        <w:drawing>
          <wp:inline>
            <wp:extent cx="3201929" cy="320192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929" cy="320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Cells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Chem.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Cycles/Cell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 18650 [24]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LCO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1–445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 CX2 [25]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LCO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775–1</w:t>
            </w:r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961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 LFP [26]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LFP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46–78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Transfer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 [23]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141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LFP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101–2</w:t>
            </w:r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  <w:jc w:val="center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45%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cell, not the cycle,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settings, the full feature set and</w:t>
      </w:r>
      <w:r>
        <w:t xml:space="preserve"> </w:t>
      </w:r>
      <w:r>
        <w:t xml:space="preserve">SOH removed,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every cycle-level prediction as independent, so within-cell</w:t>
      </w:r>
      <w:r>
        <w:t xml:space="preserve"> </w:t>
      </w:r>
      <w:r>
        <w:t xml:space="preserve">correlation inflates its</w:t>
      </w:r>
      <w:r>
        <w:t xml:space="preserve"> </w:t>
      </w:r>
      <m:oMath>
        <m:r>
          <m:t>p</m:t>
        </m:r>
      </m:oMath>
      <w:r>
        <w:t xml:space="preserve">-values (pseudoreplication), and we read it</w:t>
      </w:r>
      <w:r>
        <w:t xml:space="preserve"> </w:t>
      </w:r>
      <w:r>
        <w:t xml:space="preserve">as a directional consistency check, never as a precise significance</w:t>
      </w:r>
      <w:r>
        <w:t xml:space="preserve"> </w:t>
      </w:r>
      <w:r>
        <w:t xml:space="preserve">statement.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reports fold-mean Platt-calibrated AUC per</w:t>
      </w:r>
      <w:r>
        <w:t xml:space="preserve"> </w:t>
      </w:r>
      <w:r>
        <w:t xml:space="preserve">horizon. All 32 model–horizon–dataset combinations reach a fold-mean</w:t>
      </w:r>
      <w:r>
        <w:t xml:space="preserve"> </w:t>
      </w:r>
      <w:r>
        <w:t xml:space="preserve">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Platt-Calibrated AUC and Brier Score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Platt-Calibrated AUC and Brier Score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H=10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H=20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H=30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H=50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Mean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Brier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0.182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0.307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  <w:jc w:val="center"/>
      </w:pPr>
      <w:r>
        <w:drawing>
          <wp:inline>
            <wp:extent cx="3156056" cy="156273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056" cy="1562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horizons.</w:t>
      </w:r>
    </w:p>
    <w:bookmarkEnd w:id="25"/>
    <w:bookmarkStart w:id="26" w:name="tab:calibration"/>
    <w:p>
      <w:pPr>
        <w:pStyle w:val="TableCaption"/>
      </w:pPr>
      <w:r>
        <w:t xml:space="preserve">Calibration Method Comparison (Mean Across Tree Models)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 (Mean Across Tree Models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AUC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Brier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ECE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0.151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0.136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Temperature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0.178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0.049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Temperature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small.</w:t>
      </w:r>
      <w:r>
        <w:t xml:space="preserve"> </w:t>
      </w:r>
      <w:r>
        <w:t xml:space="preserve">Isotonic’s tied step groups cost precision–recall, and Platt’s fitted</w:t>
      </w:r>
      <w:r>
        <w:t xml:space="preserve"> </w:t>
      </w:r>
      <w:r>
        <w:t xml:space="preserve">slope on CALCE is only 0.01: under leave-one-cell-out the out-of-fold</w:t>
      </w:r>
      <w:r>
        <w:t xml:space="preserve"> </w:t>
      </w:r>
      <w:r>
        <w:t xml:space="preserve">sigmoid reduces confidence toward the base rate while preserving</w:t>
      </w:r>
      <w:r>
        <w:t xml:space="preserve"> </w:t>
      </w:r>
      <w:r>
        <w:t xml:space="preserve">ranking. Platt therefore preserves discrimination best while achieving</w:t>
      </w:r>
      <w:r>
        <w:t xml:space="preserve"> </w:t>
      </w:r>
      <w:r>
        <w:t xml:space="preserve">calibration error comparable to or better than isotonic, and raw</w:t>
      </w:r>
      <w:r>
        <w:t xml:space="preserve"> </w:t>
      </w:r>
      <w:r>
        <w:t xml:space="preserve">scores remain the safest ranking signal when the operating context is</w:t>
      </w:r>
      <w:r>
        <w:t xml:space="preserve"> </w:t>
      </w:r>
      <w:r>
        <w:t xml:space="preserve">uncertain (Fig. 3).</w:t>
      </w:r>
    </w:p>
    <w:bookmarkStart w:id="31" w:name="fig:reliability"/>
    <w:p>
      <w:pPr>
        <w:pStyle w:val="CaptionedFigure"/>
        <w:jc w:val="center"/>
      </w:pPr>
      <w:r>
        <w:drawing>
          <wp:inline>
            <wp:extent cx="3253918" cy="173705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18" cy="173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CALCE. (b) ALL-LCO</w:t>
      </w:r>
      <m:oMath>
        <m:r>
          <m:rPr>
            <m:sty m:val="p"/>
          </m:rPr>
          <m:t>→</m:t>
        </m:r>
      </m:oMath>
      <w:r>
        <w:t xml:space="preserve">Severson without SOH.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reports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</w:t>
      </w:r>
      <w:r>
        <w:t xml:space="preserve"> </w:t>
      </w:r>
      <w:r>
        <w:t xml:space="preserve">SOH as a feature; transfer is reported in raw AUC because calibration</w:t>
      </w:r>
      <w:r>
        <w:t xml:space="preserve"> </w:t>
      </w:r>
      <w:r>
        <w:t xml:space="preserve">parameters are dataset-specific. With SOH included, the tree ensembles</w:t>
      </w:r>
      <w:r>
        <w:t xml:space="preserve"> </w:t>
      </w:r>
      <w:r>
        <w:t xml:space="preserve">reach pooled AUC between 0.85 and 1.00. Removing SOH reduces every</w:t>
      </w:r>
      <w:r>
        <w:t xml:space="preserve"> </w:t>
      </w:r>
      <w:r>
        <w:t xml:space="preserve">tree model substantially: on NASA+CALCE</w:t>
      </w:r>
      <m:oMath>
        <m:r>
          <m:rPr>
            <m:sty m:val="p"/>
          </m:rPr>
          <m:t>→</m:t>
        </m:r>
      </m:oMath>
      <w:r>
        <w:t xml:space="preserve">Oxford, XGBoost falls from</w:t>
      </w:r>
      <w:r>
        <w:t xml:space="preserve"> </w:t>
      </w:r>
      <w:r>
        <w:t xml:space="preserve">0.917 to 0.429, no no-SOH configuration exceeds 0.59 on Oxford or 0.78</w:t>
      </w:r>
      <w:r>
        <w:t xml:space="preserve"> </w:t>
      </w:r>
      <w:r>
        <w:t xml:space="preserve">on Severson, and several configurations fall below 0.5, meaning the</w:t>
      </w:r>
      <w:r>
        <w:t xml:space="preserve"> </w:t>
      </w:r>
      <w:r>
        <w:t xml:space="preserve">remaining sensor features rank the target distribution worse than</w:t>
      </w:r>
      <w:r>
        <w:t xml:space="preserve"> </w:t>
      </w:r>
      <w:r>
        <w:t xml:space="preserve">chance. The GRU is unstable across training seeds under shift</w:t>
      </w:r>
      <w:r>
        <w:t xml:space="preserve"> </w:t>
      </w:r>
      <w:r>
        <w:t xml:space="preserve">(per-cell AUC from 0.21 to 1.00 at fixed settings) and shows no</w:t>
      </w:r>
      <w:r>
        <w:t xml:space="preserve"> </w:t>
      </w:r>
      <w:r>
        <w:t xml:space="preserve">transfer advantage despite using the same common feature set as the</w:t>
      </w:r>
      <w:r>
        <w:t xml:space="preserve"> </w:t>
      </w:r>
      <w:r>
        <w:t xml:space="preserve">trees in the matched comparison. Fig. 4 summarizes</w:t>
      </w:r>
      <w:r>
        <w:t xml:space="preserve"> </w:t>
      </w:r>
      <w:r>
        <w:t xml:space="preserve">the AUC drop caused by removing SOH across all source, target, and</w:t>
      </w:r>
      <w:r>
        <w:t xml:space="preserve"> </w:t>
      </w:r>
      <w:r>
        <w:t xml:space="preserve">model configurations.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 SOH 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 With and Without SOH (Pooled Raw AUC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Training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no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0.595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1.000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0.533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1.000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0.674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0.152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0.766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0.416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0.682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0.643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0.665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0.120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0.777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0.524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0.581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0.053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0.015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0.748</w:t>
            </w:r>
          </w:p>
        </w:tc>
      </w:tr>
    </w:tbl>
    <w:bookmarkEnd w:id="33"/>
    <w:bookmarkStart w:id="37" w:name="fig:collapse"/>
    <w:p>
      <w:pPr>
        <w:pStyle w:val="CaptionedFigure"/>
        <w:jc w:val="center"/>
      </w:pPr>
      <w:r>
        <w:drawing>
          <wp:inline>
            <wp:extent cx="3217220" cy="167283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220" cy="167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source, within the confidence range of the tuned ensembles. Most of</w:t>
      </w:r>
      <w:r>
        <w:t xml:space="preserve"> </w:t>
      </w:r>
      <w:r>
        <w:t xml:space="preserve">the apparent transfer is therefore explained by the SOH coordinate</w:t>
      </w:r>
      <w:r>
        <w:t xml:space="preserve"> </w:t>
      </w:r>
      <w:r>
        <w:t xml:space="preserve">itself. The remaining controls are the subject of the next</w:t>
      </w:r>
      <w:r>
        <w:t xml:space="preserve"> </w:t>
      </w:r>
      <w:r>
        <w:t xml:space="preserve">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(SOH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both).</w:t>
      </w:r>
      <w:r>
        <w:t xml:space="preserve"> </w:t>
      </w:r>
      <w:r>
        <w:t xml:space="preserve">With-SOH transfer increases with the share of SOH in the label</w:t>
      </w:r>
      <w:r>
        <w:t xml:space="preserve"> </w:t>
      </w:r>
      <w:r>
        <w:t xml:space="preserve">definition. Under an SOH-only label, transfer to Severson is 0.985;</w:t>
      </w:r>
      <w:r>
        <w:t xml:space="preserve"> </w:t>
      </w:r>
      <w:r>
        <w:t xml:space="preserve">under the combined label it is 0.896; under the voltage-sag label,</w:t>
      </w:r>
      <w:r>
        <w:t xml:space="preserve"> </w:t>
      </w:r>
      <w:r>
        <w:t xml:space="preserve">which SOH does not enter, it is 0.723. The residual with-SOH advantage</w:t>
      </w:r>
      <w:r>
        <w:t xml:space="preserve"> </w:t>
      </w:r>
      <w:r>
        <w:t xml:space="preserve">under the voltage label (0.723 versus 0.611 without SOH) indicates</w:t>
      </w:r>
      <w:r>
        <w:t xml:space="preserve"> </w:t>
      </w:r>
      <w:r>
        <w:t xml:space="preserve">genuine but weak health-state information: cells far below nominal</w:t>
      </w:r>
      <w:r>
        <w:t xml:space="preserve"> </w:t>
      </w:r>
      <w:r>
        <w:t xml:space="preserve">capacity fail sooner under almost any definition.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 (Pooled Raw AUC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Label endpoint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no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Combined (SOH or sag)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SOH only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Voltage sag only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0.723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ontrols at H{=}20 (Pooled Raw AUC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Pair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LCO)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LCO)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0.566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LFP)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0.471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LFP)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0.688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pattern of the</w:t>
      </w:r>
      <w:r>
        <w:t xml:space="preserve"> </w:t>
      </w:r>
      <w:r>
        <w:t xml:space="preserve">cross-chemistry shifts: 0.997 with SOH falls to 0.471 without.</w:t>
      </w:r>
      <w:r>
        <w:t xml:space="preserve"> </w:t>
      </w:r>
      <w:r>
        <w:t xml:space="preserve">NASA</w:t>
      </w:r>
      <m:oMath>
        <m:r>
          <m:rPr>
            <m:sty m:val="p"/>
          </m:rPr>
          <m:t>→</m:t>
        </m:r>
      </m:oMath>
      <w:r>
        <w:t xml:space="preserve">CALCE (both LCO) transfers partially even without SOH</w:t>
      </w:r>
      <w:r>
        <w:t xml:space="preserve"> </w:t>
      </w:r>
      <w:r>
        <w:t xml:space="preserve">(0.870 to 0.849), helped by the very different per-cell cycle lives of</w:t>
      </w:r>
      <w:r>
        <w:t xml:space="preserve"> </w:t>
      </w:r>
      <w:r>
        <w:t xml:space="preserve">the two datasets. Conversely, CALCE</w:t>
      </w:r>
      <m:oMath>
        <m:r>
          <m:rPr>
            <m:sty m:val="p"/>
          </m:rPr>
          <m:t>→</m:t>
        </m:r>
      </m:oMath>
      <w:r>
        <w:t xml:space="preserve">NASA stays near chance even</w:t>
      </w:r>
      <w:r>
        <w:t xml:space="preserve"> </w:t>
      </w:r>
      <w:r>
        <w:t xml:space="preserve">with SOH, showing that a small, heterogeneous source limits transfer</w:t>
      </w:r>
      <w:r>
        <w:t xml:space="preserve"> </w:t>
      </w:r>
      <w:r>
        <w:t xml:space="preserve">in both directions. Much of the observed</w:t>
      </w:r>
      <w:r>
        <w:t xml:space="preserve"> </w:t>
      </w:r>
      <w:r>
        <w:t xml:space="preserve">cross-dataset, cross-chemistry discrimination is therefore attributable</w:t>
      </w:r>
      <w:r>
        <w:t xml:space="preserve"> </w:t>
      </w:r>
      <w:r>
        <w:t xml:space="preserve">to SOH, partly because SOH defines the failure criterion itself, and</w:t>
      </w:r>
      <w:r>
        <w:t xml:space="preserve"> </w:t>
      </w:r>
      <w:r>
        <w:t xml:space="preserve">the same-chemistry controls attribute the collapse to dataset shift at</w:t>
      </w:r>
      <w:r>
        <w:t xml:space="preserve"> </w:t>
      </w:r>
      <w:r>
        <w:t xml:space="preserve">least as much as to 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cumulative risk coherence is not guaranteed: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target.</w:t>
      </w:r>
    </w:p>
    <w:bookmarkStart w:id="42" w:name="tab:hazard"/>
    <w:p>
      <w:pPr>
        <w:pStyle w:val="TableCaption"/>
      </w:pPr>
      <w:r>
        <w:t xml:space="preserve">Fixed-Horizon Versus Hazard Model AUC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Versus Hazard Model AUC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Setting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Fixed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Hazard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Fixed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Hazard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0.314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model, because formulating the</w:t>
      </w:r>
      <w:r>
        <w:t xml:space="preserve"> </w:t>
      </w:r>
      <w:r>
        <w:t xml:space="preserve">output does not exempt the inputs from dataset shift, and behaves</w:t>
      </w:r>
      <w:r>
        <w:t xml:space="preserve"> </w:t>
      </w:r>
      <w:r>
        <w:t xml:space="preserve">source-dependently (0.97 down to 0.31 pooled on Oxford). Its</w:t>
      </w:r>
      <w:r>
        <w:t xml:space="preserve"> </w:t>
      </w:r>
      <w:r>
        <w:t xml:space="preserve">monotonicity violation rate is zero by construction.</w:t>
      </w:r>
    </w:p>
    <w:bookmarkEnd w:id="43"/>
    <w:bookmarkStart w:id="46" w:name="iii-f-operational-cost-analysis"/>
    <w:p>
      <w:pPr>
        <w:pStyle w:val="Heading2"/>
      </w:pPr>
      <w:r>
        <w:t xml:space="preserve">III-F Operational Cost Analysis</w:t>
      </w:r>
    </w:p>
    <w:p>
      <w:pPr>
        <w:pStyle w:val="FirstParagraph"/>
      </w:pPr>
      <w:r>
        <w:t xml:space="preserve">AUC weights all errors equally, whereas a BMS must trade false</w:t>
      </w:r>
      <w:r>
        <w:t xml:space="preserve"> </w:t>
      </w:r>
      <w:r>
        <w:t xml:space="preserve">negatives against false positives.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rises to 70% with the full budget spent. The three score types differ</w:t>
      </w:r>
      <w:r>
        <w:t xml:space="preserve"> </w:t>
      </w:r>
      <w:r>
        <w:t xml:space="preserve">only marginally in this setting.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(Target FNR% / FPR%)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Target FNR% / FPR%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Target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Features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raw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Platt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Isotonic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with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with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32 / 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32 / 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31 / 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70 / 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70 / 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Bootstrap CI and DeLong</w:t>
      </w:r>
      <w:r>
        <w:t xml:space="preserve"> </w:t>
      </w:r>
      <m:oMath>
        <m:r>
          <m:t>p</m:t>
        </m:r>
      </m:oMath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With Bootstrap CI and DeLong p-Value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Target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w/o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/>
                <w:b/>
                <w:bCs/>
                <w:sz w:val="16"/>
              </w:rPr>
              <w:t xml:space="preserve">AUC [CI]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DeLong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+0.488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+0.639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0.581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+0.409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+0.146 [0.10,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+0.164 [0.13,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+0.143 [0.11,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model. On Oxford the</w:t>
      </w:r>
      <w:r>
        <w:t xml:space="preserve"> </w:t>
      </w:r>
      <w:r>
        <w:t xml:space="preserve">equivalent interval is uninformative (five cells, effectively four),</w:t>
      </w:r>
      <w:r>
        <w:t xml:space="preserve"> </w:t>
      </w:r>
      <w:r>
        <w:t xml:space="preserve">so the cycle-level DeLong</w:t>
      </w:r>
      <w:r>
        <w:t xml:space="preserve"> </w:t>
      </w:r>
      <m:oMath>
        <m:r>
          <m:t>p</m:t>
        </m:r>
      </m:oMath>
      <w:r>
        <w:t xml:space="preserve">-values, which are inflated by</w:t>
      </w:r>
      <w:r>
        <w:t xml:space="preserve"> </w:t>
      </w:r>
      <w:r>
        <w:t xml:space="preserve">pseudoreplication, are not used as primary evidence.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SOH, partly because SOH defines the failure criterion itself</w:t>
      </w:r>
      <w:r>
        <w:t xml:space="preserve"> </w:t>
      </w:r>
      <w:r>
        <w:t xml:space="preserve">(quantified by the failure-endpoint ablation),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  <w:pgSz w:w="12240" w:h="15840"/>
      <w:pgMar w:left="900" w:right="900" w:top="1080" w:bottom="1440"/>
      <w:cols w:num="2" w:spa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/>
      <w:jc w:val="both"/>
    </w:pPr>
    <w:rPr>
      <w:rFonts w:ascii="Times New Roman" w:hAnsi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b w:val="0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jc w:val="center"/>
      <w:outlineLvl w:val="0"/>
    </w:pPr>
    <w:rPr>
      <w:rFonts w:asciiTheme="majorHAnsi" w:cstheme="majorBidi" w:eastAsiaTheme="majorEastAsia" w:hAnsiTheme="majorHAnsi" w:ascii="Times New Roman" w:hAnsi="Times New Roman"/>
      <w:b w:val="0"/>
      <w:i w:val="0"/>
      <w:color w:themeColor="accent1" w:themeShade="BF" w:val="0F4761"/>
      <w:sz w:val="20"/>
      <w:szCs w:val="40"/>
      <w:smallCaps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20"/>
      <w:jc w:val="left"/>
      <w:outlineLvl w:val="1"/>
    </w:pPr>
    <w:rPr>
      <w:rFonts w:asciiTheme="majorHAnsi" w:cstheme="majorBidi" w:eastAsiaTheme="majorEastAsia" w:hAnsiTheme="majorHAnsi" w:ascii="Times New Roman" w:hAnsi="Times New Roman"/>
      <w:b w:val="0"/>
      <w:i/>
      <w:color w:themeColor="accent1" w:themeShade="BF" w:val="0F4761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20"/>
      <w:jc w:val="center"/>
    </w:pPr>
    <w:rPr>
      <w:rFonts w:ascii="Times New Roman" w:hAnsi="Times New Roman"/>
      <w:sz w:val="16"/>
    </w:rPr>
  </w:style>
  <w:style w:customStyle="1" w:styleId="ImageCaption" w:type="paragraph">
    <w:name w:val="Image Caption"/>
    <w:basedOn w:val="Caption"/>
    <w:pPr>
      <w:spacing w:after="120"/>
      <w:jc w:val="center"/>
    </w:pPr>
    <w:rPr>
      <w:rFonts w:ascii="Times New Roman" w:hAnsi="Times New Roman"/>
      <w:sz w:val="16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10" Type="http://schemas.openxmlformats.org/officeDocument/2006/relationships/image" Target="media/rId10.png"/><Relationship Id="rId28" Type="http://schemas.openxmlformats.org/officeDocument/2006/relationships/image" Target="media/rId28.png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Multi-Horizon Failure-Risk Models for Battery Failure Prediction: Within-Dataset Reliability, Cross-Chemistry Transferability, and Calibration Analysis</dc:title>
  <dc:creator>; ; ; ; </dc:creator>
  <cp:keywords/>
  <dcterms:created xsi:type="dcterms:W3CDTF">2026-09-10T15:19:08Z</dcterms:created>
  <dcterms:modified xsi:type="dcterms:W3CDTF">2026-09-10T15:19:08Z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