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12"/>
        <w:jc w:val="left"/>
      </w:pPr>
      <w:r>
        <w:rPr>
          <w:rFonts w:ascii="Times New Roman" w:eastAsia="Times New Roman"/>
          <w:b/>
          <w:bCs/>
          <w:color w:val="000000"/>
          <w:sz w:val="24"/>
          <w:szCs w:val="24"/>
        </w:rPr>
        <w:t xml:space="preserve">Hussain Touhid Siddiquee</w:t>
      </w:r>
    </w:p>
    <w:p>
      <w:pPr>
        <w:spacing w:after="0" w:line="288"/>
        <w:jc w:val="left"/>
      </w:pPr>
      <w:r>
        <w:rPr>
          <w:rFonts w:ascii="Times New Roman" w:eastAsia="Times New Roman"/>
          <w:color w:val="000000"/>
          <w:sz w:val="21"/>
          <w:szCs w:val="21"/>
        </w:rPr>
        <w:t xml:space="preserve">Researcher and Embedded Systems Engineer</w:t>
      </w:r>
    </w:p>
    <w:p>
      <w:pPr>
        <w:spacing w:after="0" w:line="288"/>
        <w:jc w:val="left"/>
      </w:pPr>
      <w:r>
        <w:rPr>
          <w:rFonts w:ascii="Times New Roman" w:eastAsia="Times New Roman"/>
          <w:color w:val="000000"/>
          <w:sz w:val="21"/>
          <w:szCs w:val="21"/>
        </w:rPr>
        <w:t xml:space="preserve">Department of Electrical and Electronic Engineering</w:t>
      </w:r>
    </w:p>
    <w:p>
      <w:pPr>
        <w:spacing w:after="0" w:line="288"/>
        <w:jc w:val="left"/>
      </w:pPr>
      <w:r>
        <w:rPr>
          <w:rFonts w:ascii="Times New Roman" w:eastAsia="Times New Roman"/>
          <w:color w:val="000000"/>
          <w:sz w:val="21"/>
          <w:szCs w:val="21"/>
        </w:rPr>
        <w:t xml:space="preserve">Leading University, Sylhet, Bangladesh</w:t>
      </w:r>
    </w:p>
    <w:p>
      <w:pPr>
        <w:spacing w:after="200" w:line="288"/>
        <w:jc w:val="left"/>
      </w:pPr>
      <w:r>
        <w:rPr>
          <w:rFonts w:ascii="Times New Roman" w:eastAsia="Times New Roman"/>
          <w:color w:val="000000"/>
          <w:sz w:val="21"/>
          <w:szCs w:val="21"/>
        </w:rPr>
        <w:t xml:space="preserve">touhidsiddiqueeraj@gmail.com</w:t>
      </w:r>
    </w:p>
    <w:p>
      <w:pPr>
        <w:spacing w:after="200" w:line="312"/>
        <w:jc w:val="left"/>
      </w:pPr>
      <w:r>
        <w:rPr>
          <w:rFonts w:ascii="Times New Roman" w:eastAsia="Times New Roman"/>
          <w:color w:val="000000"/>
          <w:sz w:val="24"/>
          <w:szCs w:val="24"/>
        </w:rPr>
        <w:t xml:space="preserve">October 30, 2026</w:t>
      </w:r>
    </w:p>
    <w:p>
      <w:pPr>
        <w:spacing w:after="0" w:line="288"/>
        <w:jc w:val="left"/>
      </w:pPr>
      <w:r>
        <w:rPr>
          <w:rFonts w:ascii="Times New Roman" w:eastAsia="Times New Roman"/>
          <w:b/>
          <w:bCs/>
          <w:color w:val="000000"/>
          <w:sz w:val="24"/>
          <w:szCs w:val="24"/>
        </w:rPr>
        <w:t xml:space="preserve">The Editor-in-Chief</w:t>
      </w:r>
    </w:p>
    <w:p>
      <w:pPr>
        <w:spacing w:after="200" w:line="288"/>
        <w:jc w:val="left"/>
      </w:pPr>
      <w:r>
        <w:rPr>
          <w:rFonts w:ascii="Times New Roman" w:eastAsia="Times New Roman"/>
          <w:b/>
          <w:bCs/>
          <w:color w:val="000000"/>
          <w:sz w:val="24"/>
          <w:szCs w:val="24"/>
        </w:rPr>
        <w:t xml:space="preserve">IEEE Transactions on Reliability</w:t>
      </w:r>
    </w:p>
    <w:p>
      <w:pPr>
        <w:spacing w:after="200" w:line="312"/>
        <w:jc w:val="left"/>
      </w:pPr>
      <w:r>
        <w:rPr>
          <w:rFonts w:ascii="Times New Roman" w:eastAsia="Times New Roman"/>
          <w:b/>
          <w:bCs/>
          <w:color w:val="000000"/>
          <w:sz w:val="24"/>
          <w:szCs w:val="24"/>
        </w:rPr>
        <w:t xml:space="preserve">Subject: </w:t>
      </w:r>
      <w:r>
        <w:rPr>
          <w:rFonts w:ascii="Times New Roman" w:eastAsia="Times New Roman"/>
          <w:color w:val="000000"/>
          <w:sz w:val="24"/>
          <w:szCs w:val="24"/>
        </w:rPr>
        <w:t xml:space="preserve">Submission of a Regular Paper — “Multi-Horizon Failure-Risk Models for Battery Failure Prediction: How Much Cross-Chemistry Transfer Is a State-of-Health Shortcut?”</w:t>
      </w:r>
    </w:p>
    <w:p>
      <w:pPr>
        <w:spacing w:after="160" w:line="312"/>
        <w:jc w:val="left"/>
      </w:pPr>
      <w:r>
        <w:rPr>
          <w:rFonts w:ascii="Times New Roman" w:eastAsia="Times New Roman"/>
          <w:color w:val="000000"/>
          <w:sz w:val="24"/>
          <w:szCs w:val="24"/>
        </w:rPr>
        <w:t xml:space="preserve">Dear Editor-in-Chief,</w:t>
      </w:r>
    </w:p>
    <w:p>
      <w:pPr>
        <w:spacing w:after="160" w:line="312"/>
        <w:jc w:val="left"/>
      </w:pPr>
      <w:r>
        <w:rPr>
          <w:rFonts w:ascii="Times New Roman" w:eastAsia="Times New Roman"/>
          <w:color w:val="000000"/>
          <w:sz w:val="24"/>
          <w:szCs w:val="24"/>
        </w:rPr>
        <w:t xml:space="preserve">On behalf of all co-authors, I am pleased to submit our manuscript titled </w:t>
      </w:r>
    </w:p>
    <w:p>
      <w:pPr>
        <w:spacing w:after="160" w:line="312"/>
        <w:jc w:val="left"/>
      </w:pPr>
      <w:r>
        <w:rPr>
          <w:rFonts w:ascii="Times New Roman" w:eastAsia="Times New Roman"/>
          <w:i/>
          <w:iCs/>
          <w:color w:val="000000"/>
          <w:sz w:val="24"/>
          <w:szCs w:val="24"/>
        </w:rPr>
        <w:t xml:space="preserve">Multi-Horizon Failure-Risk Models for Battery Failure Prediction: How Much Cross-Chemistry Transfer Is a State-of-Health Shortcut?</w:t>
      </w:r>
    </w:p>
    <w:p>
      <w:pPr>
        <w:spacing w:after="160" w:line="312"/>
        <w:jc w:val="left"/>
      </w:pPr>
      <w:r>
        <w:rPr>
          <w:rFonts w:ascii="Times New Roman" w:eastAsia="Times New Roman"/>
          <w:color w:val="000000"/>
          <w:sz w:val="24"/>
          <w:szCs w:val="24"/>
        </w:rPr>
        <w:t xml:space="preserve">for consideration as a Regular Paper in the IEEE Transactions on Reliability. The manuscript is 11 double-column pages, accompanied by a 3-page Supplementary Material.</w:t>
      </w:r>
    </w:p>
    <w:p>
      <w:pPr>
        <w:spacing w:after="160" w:line="312"/>
        <w:jc w:val="left"/>
      </w:pPr>
      <w:r>
        <w:rPr>
          <w:rFonts w:ascii="Times New Roman" w:eastAsia="Times New Roman"/>
          <w:color w:val="000000"/>
          <w:sz w:val="24"/>
          <w:szCs w:val="24"/>
        </w:rPr>
        <w:t xml:space="preserve">Predicting whether a lithium-ion cell will fail inside a short operating window is an operational reliability question, distinct from remaining-useful-life regression, and it is the question a battery management system must answer in real time. Our manuscript widens a recently proposed multi-horizon failure-risk classification framework into a validity-focused evaluation: four model families and a discrete-time hazard model are compared on eight public aging datasets spanning four chemistries (LCO, LFP, nickel-rich NCA, and NMC) from six laboratories, under cell-disjoint splits and a leakage-clean, cross-fitted calibration protocol.</w:t>
      </w:r>
    </w:p>
    <w:p>
      <w:pPr>
        <w:spacing w:after="160" w:line="312"/>
        <w:jc w:val="left"/>
      </w:pPr>
      <w:r>
        <w:rPr>
          <w:rFonts w:ascii="Times New Roman" w:eastAsia="Times New Roman"/>
          <w:color w:val="000000"/>
          <w:sz w:val="24"/>
          <w:szCs w:val="24"/>
        </w:rPr>
        <w:t xml:space="preserve">The central result is a controlled state-of-health (SOH) ablation. Apparent cross-dataset transfer with SOH included (pooled AUC up to 1.00) collapses without SOH (at best 0.58 at a 20-cycle horizon); a distance-to-threshold rule on SOH alone reproduces much of the with-SOH signal; relabeling failures by voltage sag alone, a criterion SOH does not define, removes about a fifth of the with-SOH advantage; and same-chemistry cross-laboratory controls show the collapse is driven by dataset shift at least as much as by chemistry. These findings replicate on 60 pre-registered NMC, NCA, and LFP cells from two further laboratories. The paper further quantifies probability-calibration failure under shift and its partial repair, includes a cost-sensitive operational evaluation, and demonstrates complete deployment of the three tree ensembles on a $12 ESP32-S3 microcontroller in under a millisecond per SRAM-resident model.</w:t>
      </w:r>
    </w:p>
    <w:p>
      <w:pPr>
        <w:spacing w:after="160" w:line="312"/>
        <w:jc w:val="left"/>
      </w:pPr>
      <w:r>
        <w:rPr>
          <w:rFonts w:ascii="Times New Roman" w:eastAsia="Times New Roman"/>
          <w:color w:val="000000"/>
          <w:sz w:val="24"/>
          <w:szCs w:val="24"/>
        </w:rPr>
        <w:t xml:space="preserve">We believe the manuscript fits the scope of the IEEE Transactions on Reliability closely. It treats battery prognostics as operational reliability estimation; it develops a discrete-time hazard formulation whose survival product is monotone in the horizon by construction; it evaluates the trustworthiness of risk estimates through calibration, uncertainty, and cost analyses; and it asks when reliability metrics survive distribution shift — a question of direct consequence for certifying prognostic models for electric-vehicle and grid deployment.</w:t>
      </w:r>
    </w:p>
    <w:p>
      <w:pPr>
        <w:pStyle w:val="Heading2"/>
        <w:spacing w:after="120" w:before="240" w:line="312"/>
      </w:pPr>
      <w:r>
        <w:rPr>
          <w:rFonts w:ascii="Times New Roman" w:eastAsia="Times New Roman"/>
          <w:b/>
          <w:bCs/>
          <w:color w:val="000000"/>
          <w:sz w:val="25"/>
          <w:szCs w:val="25"/>
        </w:rPr>
        <w:t xml:space="preserve">Originality and Integrity Statements</w:t>
      </w:r>
    </w:p>
    <w:p>
      <w:pPr>
        <w:spacing w:after="160" w:line="312"/>
        <w:jc w:val="left"/>
      </w:pPr>
      <w:r>
        <w:rPr>
          <w:rFonts w:ascii="Times New Roman" w:eastAsia="Times New Roman"/>
          <w:color w:val="000000"/>
          <w:sz w:val="24"/>
          <w:szCs w:val="24"/>
        </w:rPr>
        <w:t xml:space="preserve">We confirm that the manuscript is original, has not been published previously in any form, and is not under consideration by any other journal or conference. All authors have read and approved the submitted version and meet the authorship criteria of the IEEE. All datasets used are publicly available and are properly cited. We have no conflicts of interest, financial or otherwise, to declare. No human or animal subjects were involved.</w:t>
      </w:r>
    </w:p>
    <w:p>
      <w:pPr>
        <w:spacing w:after="160" w:line="312"/>
        <w:jc w:val="left"/>
      </w:pPr>
      <w:r>
        <w:rPr>
          <w:rFonts w:ascii="Times New Roman" w:eastAsia="Times New Roman"/>
          <w:color w:val="000000"/>
          <w:sz w:val="24"/>
          <w:szCs w:val="24"/>
        </w:rPr>
        <w:t xml:space="preserve">Suggested reviewers are provided in the accompanying file. The Supplementary Material is submitted as a separate file and is referred to from the main text.</w:t>
      </w:r>
    </w:p>
    <w:p>
      <w:pPr>
        <w:spacing w:after="160" w:line="312"/>
        <w:jc w:val="left"/>
      </w:pPr>
      <w:r>
        <w:rPr>
          <w:rFonts w:ascii="Times New Roman" w:eastAsia="Times New Roman"/>
          <w:color w:val="000000"/>
          <w:sz w:val="24"/>
          <w:szCs w:val="24"/>
        </w:rPr>
        <w:t xml:space="preserve">Thank you for considering our manuscript. We look forward to the reviewers’ comments.</w:t>
      </w:r>
    </w:p>
    <w:p>
      <w:pPr>
        <w:spacing w:after="0" w:before="300" w:line="312"/>
        <w:jc w:val="right"/>
      </w:pPr>
      <w:r>
        <w:rPr>
          <w:rFonts w:ascii="Times New Roman" w:eastAsia="Times New Roman"/>
          <w:color w:val="000000"/>
          <w:sz w:val="24"/>
          <w:szCs w:val="24"/>
        </w:rPr>
        <w:t xml:space="preserve">Sincerely,</w:t>
      </w:r>
    </w:p>
    <w:p>
      <w:pPr>
        <w:spacing w:after="0" w:line="312"/>
        <w:jc w:val="right"/>
      </w:pPr>
      <w:r>
        <w:rPr>
          <w:rFonts w:ascii="Times New Roman" w:eastAsia="Times New Roman"/>
          <w:b/>
          <w:bCs/>
          <w:color w:val="000000"/>
          <w:sz w:val="24"/>
          <w:szCs w:val="24"/>
        </w:rPr>
        <w:t xml:space="preserve">Hussain Touhid Siddiquee</w:t>
      </w:r>
    </w:p>
    <w:p>
      <w:pPr>
        <w:spacing w:line="288"/>
        <w:jc w:val="right"/>
      </w:pPr>
      <w:r>
        <w:rPr>
          <w:rFonts w:ascii="Times New Roman" w:eastAsia="Times New Roman"/>
          <w:color w:val="595959"/>
          <w:sz w:val="21"/>
          <w:szCs w:val="21"/>
        </w:rPr>
        <w:t xml:space="preserve">on behalf of all authors</w:t>
      </w:r>
    </w:p>
    <w:sectPr>
      <w:footerReference w:type="default" r:id="rId6"/>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95959"/>
        <w:sz w:val="18"/>
        <w:szCs w:val="18"/>
      </w:rPr>
      <w:fldChar w:fldCharType="begin"/>
    </w:r>
    <w:r>
      <w:rPr>
        <w:rFonts w:ascii="Times New Roman" w:eastAsia="Times New Roman"/>
        <w:color w:val="595959"/>
        <w:sz w:val="18"/>
        <w:szCs w:val="18"/>
      </w:rPr>
      <w:instrText xml:space="preserve">PAGE</w:instrText>
    </w:r>
    <w:r>
      <w:rPr>
        <w:rFonts w:ascii="Times New Roman" w:eastAsia="Times New Roman"/>
        <w:color w:val="595959"/>
        <w:sz w:val="18"/>
        <w:szCs w:val="18"/>
      </w:rPr>
      <w:fldChar w:fldCharType="separate"/>
    </w:r>
    <w:r>
      <w:rPr>
        <w:rFonts w:ascii="Times New Roman" w:eastAsia="Times New Roman"/>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2026-10-30T12:25:09.931Z</dcterms:created>
  <dcterms:modified xsi:type="dcterms:W3CDTF">2026-10-30T12:25:09.931Z</dcterms:modified>
</cp:coreProperties>
</file>

<file path=docProps/custom.xml><?xml version="1.0" encoding="utf-8"?>
<Properties xmlns="http://schemas.openxmlformats.org/officeDocument/2006/custom-properties" xmlns:vt="http://schemas.openxmlformats.org/officeDocument/2006/docPropsVTypes"/>
</file>