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left"/>
      </w:pPr>
      <w:r>
        <w:rPr>
          <w:rFonts w:ascii="Times New Roman" w:eastAsia="Times New Roman"/>
          <w:b/>
          <w:bCs/>
          <w:color w:val="000000"/>
          <w:sz w:val="32"/>
          <w:szCs w:val="32"/>
        </w:rPr>
        <w:t xml:space="preserve">Cover Letter</w:t>
      </w:r>
    </w:p>
    <w:p>
      <w:pPr>
        <w:spacing w:after="160" w:line="312"/>
        <w:jc w:val="left"/>
      </w:pPr>
      <w:r>
        <w:rPr>
          <w:rFonts w:ascii="Times New Roman" w:eastAsia="Times New Roman"/>
          <w:color w:val="595959"/>
          <w:sz w:val="21"/>
          <w:szCs w:val="21"/>
        </w:rPr>
        <w:t xml:space="preserve">30 October 2026</w:t>
      </w:r>
    </w:p>
    <w:p>
      <w:pPr>
        <w:spacing w:after="160" w:line="312"/>
        <w:jc w:val="left"/>
      </w:pPr>
      <w:r>
        <w:rPr>
          <w:rFonts w:ascii="Times New Roman" w:eastAsia="Times New Roman"/>
          <w:color w:val="000000"/>
          <w:sz w:val="24"/>
          <w:szCs w:val="24"/>
        </w:rPr>
        <w:t xml:space="preserve">The Editors-in-Chief</w:t>
      </w:r>
    </w:p>
    <w:p>
      <w:pPr>
        <w:spacing w:after="160" w:line="312"/>
        <w:jc w:val="left"/>
      </w:pPr>
      <w:r>
        <w:rPr>
          <w:rFonts w:ascii="Times New Roman" w:eastAsia="Times New Roman"/>
          <w:color w:val="000000"/>
          <w:sz w:val="24"/>
          <w:szCs w:val="24"/>
        </w:rPr>
        <w:t xml:space="preserve">International Transactions on Electrical Energy Systems</w:t>
      </w:r>
    </w:p>
    <w:p>
      <w:pPr>
        <w:spacing w:after="160" w:line="312"/>
        <w:jc w:val="left"/>
      </w:pPr>
      <w:r>
        <w:rPr>
          <w:rFonts w:ascii="Times New Roman" w:eastAsia="Times New Roman"/>
          <w:color w:val="000000"/>
          <w:sz w:val="24"/>
          <w:szCs w:val="24"/>
        </w:rPr>
        <w:t xml:space="preserve">Wiley</w:t>
      </w:r>
    </w:p>
    <w:p>
      <w:pPr>
        <w:spacing w:after="160" w:line="312"/>
        <w:jc w:val="left"/>
      </w:pPr>
      <w:r>
        <w:rPr>
          <w:rFonts w:ascii="Times New Roman" w:eastAsia="Times New Roman"/>
          <w:color w:val="000000"/>
          <w:sz w:val="24"/>
          <w:szCs w:val="24"/>
        </w:rPr>
        <w:t xml:space="preserve">Subject: Submission of an original research article</w:t>
      </w:r>
    </w:p>
    <w:p>
      <w:pPr>
        <w:spacing w:after="160" w:line="312"/>
        <w:jc w:val="left"/>
      </w:pPr>
      <w:r>
        <w:rPr>
          <w:rFonts w:ascii="Times New Roman" w:eastAsia="Times New Roman"/>
          <w:color w:val="000000"/>
          <w:sz w:val="24"/>
          <w:szCs w:val="24"/>
        </w:rPr>
        <w:t xml:space="preserve">Dear Editors,</w:t>
      </w:r>
    </w:p>
    <w:p>
      <w:pPr>
        <w:spacing w:after="160" w:line="312"/>
        <w:jc w:val="left"/>
      </w:pPr>
      <w:r>
        <w:rPr>
          <w:rFonts w:ascii="Times New Roman" w:eastAsia="Times New Roman"/>
          <w:color w:val="000000"/>
          <w:sz w:val="24"/>
          <w:szCs w:val="24"/>
        </w:rPr>
        <w:t xml:space="preserve">We are pleased to submit our manuscript “</w:t>
      </w:r>
      <w:r>
        <w:rPr>
          <w:rFonts w:ascii="Times New Roman" w:eastAsia="Times New Roman"/>
          <w:i/>
          <w:iCs/>
          <w:color w:val="000000"/>
          <w:sz w:val="24"/>
          <w:szCs w:val="24"/>
        </w:rPr>
        <w:t xml:space="preserve">Multi-Horizon Failure-Risk Models for Battery Failure Prediction: How Much Cross-Chemistry Transfer Is a State-of-Health Shortcut?</w:t>
      </w:r>
      <w:r>
        <w:rPr>
          <w:rFonts w:ascii="Times New Roman" w:eastAsia="Times New Roman"/>
          <w:color w:val="000000"/>
          <w:sz w:val="24"/>
          <w:szCs w:val="24"/>
        </w:rPr>
        <w:t xml:space="preserve">” for consideration as a Research Article in International Transactions on Electrical Energy Systems.</w:t>
      </w:r>
    </w:p>
    <w:p>
      <w:pPr>
        <w:spacing w:after="160" w:line="312"/>
        <w:jc w:val="left"/>
      </w:pPr>
      <w:r>
        <w:rPr>
          <w:rFonts w:ascii="Times New Roman" w:eastAsia="Times New Roman"/>
          <w:color w:val="000000"/>
          <w:sz w:val="24"/>
          <w:szCs w:val="24"/>
        </w:rPr>
        <w:t xml:space="preserve">Predicting whether a lithium-ion cell will fail within a short operating window — rather than estimating its remaining useful life — is the question a battery management system actually faces in electric vehicles and grid storage. This manuscript presents a validity-focused evaluation of multi-horizon failure-risk classification across four model families (three tree ensembles and a GRU), a discrete-time hazard formulation, and eight public aging datasets spanning four chemistries (LCO, LFP, NCA, NMC) from six laboratories, under cell-disjoint splits and a leakage-clean, cross-fitted calibration protocol. Its central finding is a controlled state-of-health (SOH) ablation: apparent cross-dataset transfer with SOH included (pooled AUC up to 1.00) collapses without SOH, and an unfitted distance-to-threshold rule on SOH alone reproduces much of the tuned ensembles’ transfer performance — because SOH also defines the failure label, with-SOH numbers are diagnostic-proximity upper bounds rather than pure prognosis. Same-chemistry cross-laboratory controls show the collapse is driven by dataset shift at least as much as by chemistry, the findings replicate on 60 pre-registered NMC, NCA, and LFP cells from two further laboratories, and the tree ensembles deploy on a $12 ESP32-S3 microcontroller in under a millisecond per inference.</w:t>
      </w:r>
    </w:p>
    <w:p>
      <w:pPr>
        <w:spacing w:after="160" w:line="312"/>
        <w:jc w:val="left"/>
      </w:pPr>
      <w:r>
        <w:rPr>
          <w:rFonts w:ascii="Times New Roman" w:eastAsia="Times New Roman"/>
          <w:color w:val="000000"/>
          <w:sz w:val="24"/>
          <w:szCs w:val="24"/>
        </w:rPr>
        <w:t xml:space="preserve">We believe this work is a natural continuation of a research line this journal has already recognized: the multi-horizon failure-intelligence framework was introduced in these pages by Shikdar and Laaksonen (“Learning When Not to Use a Battery: Multihorizon Failure Intelligence,” </w:t>
      </w:r>
      <w:r>
        <w:rPr>
          <w:rFonts w:ascii="Times New Roman" w:eastAsia="Times New Roman"/>
          <w:i/>
          <w:iCs/>
          <w:color w:val="000000"/>
          <w:sz w:val="24"/>
          <w:szCs w:val="24"/>
        </w:rPr>
        <w:t xml:space="preserve">International Transactions on Electrical Energy Systems</w:t>
      </w:r>
      <w:r>
        <w:rPr>
          <w:rFonts w:ascii="Times New Roman" w:eastAsia="Times New Roman"/>
          <w:color w:val="000000"/>
          <w:sz w:val="24"/>
          <w:szCs w:val="24"/>
        </w:rPr>
        <w:t xml:space="preserve">, vol. 2026, Article ID 6000810), on one model and one dataset. Our manuscript answers the question that framework leaves open and that energy-system practitioners must ask before deploying such models: does anything learned on one dataset transfer to another chemistry or laboratory, and if so, what exactly transfers? The answer — a rigorous negative result about shortcut learning, with label-, feature-, and dataset-level controls — is directly relevant to battery management and grid/EV reliability practice, and is, to our knowledge, the first controlled diagnosis of what transfers under dataset and chemistry shift for this task.</w:t>
      </w:r>
    </w:p>
    <w:p>
      <w:pPr>
        <w:spacing w:after="160" w:line="312"/>
        <w:jc w:val="left"/>
      </w:pPr>
      <w:r>
        <w:rPr>
          <w:rFonts w:ascii="Times New Roman" w:eastAsia="Times New Roman"/>
          <w:color w:val="000000"/>
          <w:sz w:val="24"/>
          <w:szCs w:val="24"/>
        </w:rPr>
        <w:t xml:space="preserve">All datasets used are public (NASA, CALCE, Oxford, MIT–Stanford, and the Battery Archive), so every result is independently checkable; the complete tabular evidence is provided in the Supplementary Material, submitted as a separate file. The manuscript is 18 pages in the single-column submission format; we understand the journal imposes no page limit for research articles.</w:t>
      </w:r>
    </w:p>
    <w:p>
      <w:pPr>
        <w:spacing w:after="160" w:line="312"/>
        <w:jc w:val="left"/>
      </w:pPr>
      <w:r>
        <w:rPr>
          <w:rFonts w:ascii="Times New Roman" w:eastAsia="Times New Roman"/>
          <w:color w:val="000000"/>
          <w:sz w:val="24"/>
          <w:szCs w:val="24"/>
        </w:rPr>
        <w:t xml:space="preserve">We confirm that this manuscript is original, has not been published previously, and is not under consideration by any other journal. All authors have read and approved the submitted version and declare no conflicts of interest. No specific funding was received for this work. All authors are affiliated with the Department of Electrical and Electronic Engineering, Leading University, Sylhet, Bangladesh; the corresponding author is Hussain Touhid Siddiquee (touhidsiddiqueeraj@gmail.com).</w:t>
      </w:r>
    </w:p>
    <w:p>
      <w:pPr>
        <w:spacing w:after="160" w:line="312"/>
        <w:jc w:val="left"/>
      </w:pPr>
      <w:r>
        <w:rPr>
          <w:rFonts w:ascii="Times New Roman" w:eastAsia="Times New Roman"/>
          <w:color w:val="000000"/>
          <w:sz w:val="24"/>
          <w:szCs w:val="24"/>
        </w:rPr>
        <w:t xml:space="preserve">Suggested reviewers are provided in the accompanying file. Thank you for considering our manuscript; we look forward to the reviewers’ comments.</w:t>
      </w:r>
    </w:p>
    <w:p>
      <w:pPr>
        <w:spacing w:after="160" w:line="312"/>
        <w:jc w:val="left"/>
      </w:pPr>
      <w:r>
        <w:rPr>
          <w:rFonts w:ascii="Times New Roman" w:eastAsia="Times New Roman"/>
          <w:color w:val="000000"/>
          <w:sz w:val="24"/>
          <w:szCs w:val="24"/>
        </w:rPr>
        <w:t xml:space="preserve">Yours sincerely,</w:t>
      </w:r>
    </w:p>
    <w:p>
      <w:pPr>
        <w:spacing w:after="160" w:line="312"/>
        <w:jc w:val="left"/>
      </w:pPr>
      <w:r>
        <w:rPr>
          <w:rFonts w:ascii="Times New Roman" w:eastAsia="Times New Roman"/>
          <w:b/>
          <w:bCs/>
          <w:color w:val="000000"/>
          <w:sz w:val="24"/>
          <w:szCs w:val="24"/>
        </w:rPr>
        <w:t xml:space="preserve">Hussain Touhid Siddiquee</w:t>
      </w:r>
      <w:r>
        <w:rPr>
          <w:rFonts w:ascii="Times New Roman" w:eastAsia="Times New Roman"/>
          <w:color w:val="000000"/>
          <w:sz w:val="24"/>
          <w:szCs w:val="24"/>
        </w:rPr>
        <w:t xml:space="preserve"> (corresponding author), on behalf of all authors</w:t>
      </w:r>
    </w:p>
    <w:p>
      <w:pPr>
        <w:spacing w:after="20" w:line="288"/>
        <w:jc w:val="left"/>
      </w:pPr>
      <w:r>
        <w:rPr>
          <w:rFonts w:ascii="Times New Roman" w:eastAsia="Times New Roman"/>
          <w:color w:val="595959"/>
          <w:sz w:val="21"/>
          <w:szCs w:val="21"/>
        </w:rPr>
        <w:t xml:space="preserve">Department of Electrical and Electronic Engineering</w:t>
      </w:r>
    </w:p>
    <w:p>
      <w:pPr>
        <w:spacing w:after="20" w:line="288"/>
        <w:jc w:val="left"/>
      </w:pPr>
      <w:r>
        <w:rPr>
          <w:rFonts w:ascii="Times New Roman" w:eastAsia="Times New Roman"/>
          <w:color w:val="595959"/>
          <w:sz w:val="21"/>
          <w:szCs w:val="21"/>
        </w:rPr>
        <w:t xml:space="preserve">Leading University, Sylhet, Bangladesh</w:t>
      </w:r>
    </w:p>
    <w:p>
      <w:pPr>
        <w:spacing w:after="160" w:line="288"/>
        <w:jc w:val="left"/>
      </w:pPr>
      <w:r>
        <w:rPr>
          <w:rFonts w:ascii="Times New Roman" w:eastAsia="Times New Roman"/>
          <w:color w:val="595959"/>
          <w:sz w:val="21"/>
          <w:szCs w:val="21"/>
        </w:rPr>
        <w:t xml:space="preserve">touhidsiddiqueeraj@gmail.com · ORCID: 0009-0002-8804-6195</w:t>
      </w:r>
    </w:p>
    <w:sectPr>
      <w:footerReference w:type="default" r:id="rId6"/>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595959"/>
        <w:sz w:val="18"/>
        <w:szCs w:val="18"/>
      </w:rPr>
      <w:fldChar w:fldCharType="begin"/>
    </w:r>
    <w:r>
      <w:rPr>
        <w:rFonts w:ascii="Times New Roman" w:eastAsia="Times New Roman"/>
        <w:color w:val="595959"/>
        <w:sz w:val="18"/>
        <w:szCs w:val="18"/>
      </w:rPr>
      <w:instrText xml:space="preserve">PAGE</w:instrText>
    </w:r>
    <w:r>
      <w:rPr>
        <w:rFonts w:ascii="Times New Roman" w:eastAsia="Times New Roman"/>
        <w:color w:val="595959"/>
        <w:sz w:val="18"/>
        <w:szCs w:val="18"/>
      </w:rPr>
      <w:fldChar w:fldCharType="separate"/>
    </w:r>
    <w:r>
      <w:rPr>
        <w:rFonts w:ascii="Times New Roman" w:eastAsia="Times New Roman"/>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2026-10-30T17:30:16.015Z</dcterms:created>
  <dcterms:modified xsi:type="dcterms:W3CDTF">2026-10-30T17:30:16.015Z</dcterms:modified>
</cp:coreProperties>
</file>

<file path=docProps/custom.xml><?xml version="1.0" encoding="utf-8"?>
<Properties xmlns="http://schemas.openxmlformats.org/officeDocument/2006/custom-properties" xmlns:vt="http://schemas.openxmlformats.org/officeDocument/2006/docPropsVTypes"/>
</file>