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120"/>
      </w:pPr>
      <w:r>
        <w:t xml:space="preserve">Multi-Horizon Failure-Risk Models for Battery Failure Prediction: Within-Dataset Reliability, Cross-Chemistry Transferability, and Calibration Analysis</w:t>
      </w:r>
    </w:p>
    <w:sectPr>
      <w:pgSz w:w="12240" w:h="15840"/>
      <w:pgMar w:top="1080" w:bottom="1440" w:left="900" w:right="900" w:header="480" w:footer="480" w:gutter="0"/>
      <w:type w:val="continuous"/>
    </w:sectPr>
    <w:p>
      <w:pPr>
        <w:pStyle w:val="FirstParagraph"/>
        <w:spacing w:before="120"/>
      </w:pPr>
      <w:r>
        <w:rPr>
          <w:b/>
          <w:bCs/>
          <w:sz w:val="18"/>
        </w:rPr>
        <w:t xml:space="preserve">Abstract—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This paper presents a multi-horizon failure-risk prediction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framework for lithium-ion battery failure that integrates probability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calibration, cross-dataset evaluation, and statistical significance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testing, and uses it to answer a validity question: when failure-risk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models appear to transfer between datasets and chemistries, is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degradation knowledge actually transferring, or is the model reading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variable that encodes proximity to the failure criterion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itself? Three tree ensembles (XGBoost, LightGBM, Random Forest) and a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GRU baseline are trained on the NASA and CALCE LCO datasets under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cell-disjoint folds with leakage-free, cross-fitted calibration, and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evaluated on the Oxford and MIT–Stanford Severson LFP datasets across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four horizons (10, 20, 30, 50 cycles). Under the clean protocol, every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model–horizon–dataset combination reaches a fold-mean AUC of at least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0.85 (32 of 32), and Platt scaling better preserves discrimination than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isotonic regression while achieving comparable or better calibration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error. The central result is a controlled State-of-Health (SOH)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ablation: apparent cross-dataset, cross-chemistry transfer with SOH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included (pooled AUC up to 1.00) collapses without SOH (at best 0.58 at</w:t>
      </w:r>
      <w:r>
        <w:rPr>
          <w:b/>
          <w:sz w:val="18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rPr>
          <w:b/>
          <w:sz w:val="18"/>
        </w:rPr>
        <w:t xml:space="preserve">), and an unfitted distance-to-threshold rule on SOH alone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reproduces most of the with-SOH transfer. Because SOH also enters the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failure definition, all with-SOH numbers are upper bounds that partly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measure label proximity: relabeling failure by voltage sag alone cuts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with-SOH transfer by a quarter. Same-chemistry cross-laboratory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controls show the collapse is driven by dataset shift at least as much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as by chemistry, so SOH acts as a dataset- and chemistry-dependent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health-state shortcut rather than a chemistry-specific transferable</w:t>
      </w:r>
      <w:r>
        <w:rPr>
          <w:b/>
          <w:sz w:val="18"/>
        </w:rPr>
        <w:t xml:space="preserve"> </w:t>
      </w:r>
      <w:r>
        <w:rPr>
          <w:b/>
          <w:sz w:val="18"/>
        </w:rPr>
        <w:t xml:space="preserve">signal.</w:t>
      </w:r>
    </w:p>
    <w:p>
      <w:pPr>
        <w:pStyle w:val="BodyText"/>
      </w:pPr>
      <w:r>
        <w:rPr>
          <w:i/>
          <w:iCs/>
        </w:rPr>
        <w:t xml:space="preserve">Keywords—</w:t>
      </w:r>
      <w:r>
        <w:t xml:space="preserve">battery management systems, machine</w:t>
      </w:r>
      <w:r>
        <w:t xml:space="preserve"> </w:t>
      </w:r>
      <w:r>
        <w:t xml:space="preserve">learning, probability calibration, prognostics and health management,</w:t>
      </w:r>
      <w:r>
        <w:t xml:space="preserve"> </w:t>
      </w:r>
      <w:r>
        <w:t xml:space="preserve">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  <w:jc w:val="center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Cells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Chem.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Cycles/Cell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 18650 [24]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1–445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 CX2 [25]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LCO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775–1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Training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 LFP [26]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46–78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 [23]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141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LFP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101–2</w:t>
            </w:r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  <w:jc w:val="center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AUC and Brier Scor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H=10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H=20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H=30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H=50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Mean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0.307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  <w:jc w:val="center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Dataset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AUC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Brier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ECE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0.136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0.178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Isotonic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Platt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0.073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Temperature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  <w:jc w:val="center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 SOH 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With and Without SOH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Training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0.595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0.533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1.000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0.674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0.152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0.416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0.643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0.665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0.120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0.100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0.777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0.524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GRU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0.053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0.015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  <w:jc w:val="center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 label (0.723 versus 0.611 without SOH) indicates</w:t>
      </w:r>
      <w:r>
        <w:t xml:space="preserve"> </w:t>
      </w:r>
      <w:r>
        <w:t xml:space="preserve">genuine but weak health-state information: cells far below nominal</w:t>
      </w:r>
      <w:r>
        <w:t xml:space="preserve"> </w:t>
      </w:r>
      <w:r>
        <w:t xml:space="preserve">capacity fail 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Label endpoint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Oxford no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Combined (SOH or sag)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SOH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Voltage sag only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0.723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 (Pooled Raw AUC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Pair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LCO)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0.566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0.471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sz w:val="16"/>
              </w:rPr>
              <w:t xml:space="preserve">LFP)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0.688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Setting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Fixed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Hazard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0.927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0.314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/>
                <w:i/>
                <w:iCs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(Target 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Target FNR% / FPR%)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Features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raw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Platt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93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 / 92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with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32 / 4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31 / 6</w:t>
            </w:r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no SOH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70 / 10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Bootstrap CI and DeLong</w:t>
      </w:r>
      <w:r>
        <w:t xml:space="preserve"> </w:t>
      </w:r>
      <m:oMath>
        <m:r>
          <m:t>p</m:t>
        </m:r>
      </m:oMath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With Bootstrap CI and DeLong p-Value"/>
        <w:tblBorders>
          <w:top w:val="single" w:sz="8" w:color="000000"/>
          <w:bottom w:val="single" w:sz="8" w:color="000000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Target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 SOH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w/o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b/>
                <w:bCs/>
                <w:sz w:val="16"/>
              </w:rPr>
              <w:t xml:space="preserve">AUC [CI]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DeLong</w:t>
            </w:r>
            <w:r>
              <w:rPr>
                <w:rFonts w:ascii="Times New Roman" w:hAnsi="Times New Roman"/>
                <w:b/>
                <w:bCs/>
                <w:sz w:val="16"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0.917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0.429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+0.488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0.332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+0.639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Oxford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0.581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+0.409 (5 cells)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0.896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+0.146 [0.10,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LightGBM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0.882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0.718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+0.164 [0.13,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Severson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0.746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+0.143 [0.11, 0.23]</w:t>
            </w:r>
          </w:p>
        </w:tc>
        <w:tc>
          <w:tcPr/>
          <w:p>
            <w:pPr>
              <w:pStyle w:val="Compact"/>
              <w:spacing w:after="20" w:before="20"/>
              <w:jc w:val="center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are inflated by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  <w:pgSz w:w="12240" w:h="15840"/>
      <w:pgMar w:left="900" w:right="900" w:top="1080" w:bottom="1440"/>
      <w:cols w:num="2" w:spa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/>
      <w:jc w:val="both"/>
    </w:pPr>
    <w:rPr>
      <w:rFonts w:ascii="Times New Roman" w:hAnsi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b w:val="0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jc w:val="center"/>
      <w:outlineLvl w:val="0"/>
    </w:pPr>
    <w:rPr>
      <w:rFonts w:asciiTheme="majorHAnsi" w:cstheme="majorBidi" w:eastAsiaTheme="majorEastAsia" w:hAnsiTheme="majorHAnsi" w:ascii="Times New Roman" w:hAnsi="Times New Roman"/>
      <w:b w:val="0"/>
      <w:i w:val="0"/>
      <w:color w:themeColor="accent1" w:themeShade="BF" w:val="0F4761"/>
      <w:sz w:val="20"/>
      <w:szCs w:val="40"/>
      <w:smallCaps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20"/>
      <w:jc w:val="left"/>
      <w:outlineLvl w:val="1"/>
    </w:pPr>
    <w:rPr>
      <w:rFonts w:asciiTheme="majorHAnsi" w:cstheme="majorBidi" w:eastAsiaTheme="majorEastAsia" w:hAnsiTheme="majorHAnsi" w:ascii="Times New Roman" w:hAnsi="Times New Roman"/>
      <w:b w:val="0"/>
      <w:i/>
      <w:color w:themeColor="accent1" w:themeShade="BF" w:val="0F4761"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120"/>
      <w:jc w:val="center"/>
    </w:pPr>
    <w:rPr>
      <w:rFonts w:ascii="Times New Roman" w:hAnsi="Times New Roman"/>
      <w:sz w:val="16"/>
    </w:rPr>
  </w:style>
  <w:style w:customStyle="1" w:styleId="ImageCaption" w:type="paragraph">
    <w:name w:val="Image Caption"/>
    <w:basedOn w:val="Caption"/>
    <w:pPr>
      <w:spacing w:after="120"/>
      <w:jc w:val="center"/>
    </w:pPr>
    <w:rPr>
      <w:rFonts w:ascii="Times New Roman" w:hAnsi="Times New Roman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10" Type="http://schemas.openxmlformats.org/officeDocument/2006/relationships/image" Target="media/rId10.png"/><Relationship Id="rId28" Type="http://schemas.openxmlformats.org/officeDocument/2006/relationships/image" Target="media/rId28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/>
  <cp:keywords/>
  <dcterms:created xsi:type="dcterms:W3CDTF">2026-09-10T16:09:08Z</dcterms:created>
  <dcterms:modified xsi:type="dcterms:W3CDTF">2026-09-10T16:09:08Z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