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after="120"/>
      </w:pPr>
      <w:r>
        <w:t xml:space="preserve">When Battery Failure Models Appear to Transfer: Exposing Health-State Shortcuts Under Dataset and Chemistry Shift</w:t>
      </w:r>
    </w:p>
    <w:sectPr>
      <w:pgSz w:w="12240" w:h="15840"/>
      <w:pgMar w:top="1080" w:bottom="1440" w:left="900" w:right="900" w:header="480" w:footer="480" w:gutter="0"/>
      <w:type w:val="continuous"/>
    </w:sectPr>
    <w:p>
      <w:pPr>
        <w:pStyle w:val="FirstParagraph"/>
        <w:spacing w:before="120"/>
      </w:pPr>
      <w:r>
        <w:rPr>
          <w:b/>
          <w:bCs/>
          <w:sz w:val="18"/>
        </w:rPr>
        <w:t xml:space="preserve">Abstract—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This paper presents a multi-horizon failure-risk prediction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framework for lithium-ion battery failure that integrates probability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calibration, cross-dataset evaluation, and statistical significance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testing, and uses it to answer a validity question: when failure-risk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models appear to transfer between datasets and chemistries, is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degradation knowledge actually transferring, or is the model reading a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health-state variable that encodes proximity to the failure criterion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itself? Three tree ensembles (XGBoost, LightGBM, Random Forest) and a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GRU baseline are trained on the NASA and CALCE LCO datasets under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cell-disjoint folds with leakage-free, cross-fitted calibration, and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evaluated on the Oxford and MIT–Stanford Severson LFP datasets across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four horizons (10, 20, 30, 50 cycles). Under the clean protocol, every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model–horizon–dataset combination reaches a fold-mean AUC of at least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0.85 (32 of 32), and Platt scaling better preserves discrimination than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isotonic regression while achieving comparable or better calibration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error. The central result is a controlled State-of-Health (SOH)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ablation: apparent cross-dataset, cross-chemistry transfer with SOH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included (pooled AUC up to 1.00) collapses without SOH (at best 0.58 at</w:t>
      </w:r>
      <w:r>
        <w:rPr>
          <w:b/>
          <w:sz w:val="18"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20</m:t>
        </m:r>
      </m:oMath>
      <w:r>
        <w:rPr>
          <w:b/>
          <w:sz w:val="18"/>
        </w:rPr>
        <w:t xml:space="preserve">), and an unfitted distance-to-threshold rule on SOH alone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reproduces most of the with-SOH transfer. Because SOH also enters the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failure definition, all with-SOH numbers are upper bounds that partly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measure label proximity: relabeling failure by voltage sag alone cuts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with-SOH transfer by a quarter. Same-chemistry cross-laboratory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controls show the collapse is driven by dataset shift at least as much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as by chemistry, so SOH acts as a dataset- and chemistry-dependent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health-state shortcut rather than a chemistry-specific transferable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signal.</w:t>
      </w:r>
    </w:p>
    <w:p>
      <w:pPr>
        <w:pStyle w:val="BodyText"/>
      </w:pPr>
      <w:r>
        <w:rPr>
          <w:b/>
          <w:bCs/>
          <w:i/>
          <w:iCs/>
        </w:rPr>
        <w:t xml:space="preserve">Keywords—</w:t>
      </w:r>
      <w:r>
        <w:rPr>
          <w:i/>
          <w:iCs/>
        </w:rPr>
        <w:t xml:space="preserve">battery management</w:t>
      </w:r>
      <w:r>
        <w:rPr>
          <w:i/>
          <w:iCs/>
        </w:rPr>
        <w:t xml:space="preserve"> </w:t>
      </w:r>
      <w:r>
        <w:rPr>
          <w:i/>
          <w:iCs/>
        </w:rPr>
        <w:t xml:space="preserve">systems, machine learning, probability calibration, prognostics and</w:t>
      </w:r>
      <w:r>
        <w:rPr>
          <w:i/>
          <w:iCs/>
        </w:rPr>
        <w:t xml:space="preserve"> </w:t>
      </w:r>
      <w:r>
        <w:rPr>
          <w:i/>
          <w:iCs/>
        </w:rPr>
        <w:t xml:space="preserve">health management, transfer learning, dataset shift.</w:t>
      </w:r>
    </w:p>
    <w:bookmarkStart w:id="9" w:name="i.-introduction-and-related-work"/>
    <w:p>
      <w:pPr>
        <w:pStyle w:val="Heading1"/>
      </w:pPr>
      <w:r>
        <w:t xml:space="preserve">I. Introduction and Related Work</w:t>
      </w:r>
    </w:p>
    <w:p>
      <w:pPr>
        <w:pStyle w:val="FirstParagraph"/>
      </w:pPr>
      <w:r>
        <w:t xml:space="preserve">Lithium-ion batteries have become the default choice for electric</w:t>
      </w:r>
      <w:r>
        <w:t xml:space="preserve"> </w:t>
      </w:r>
      <w:r>
        <w:t xml:space="preserve">vehicles and grid-scale energy storage, thanks to their high energy</w:t>
      </w:r>
      <w:r>
        <w:t xml:space="preserve"> </w:t>
      </w:r>
      <w:r>
        <w:t xml:space="preserve">density, fast charging capability, and long cycle life. The same</w:t>
      </w:r>
      <w:r>
        <w:t xml:space="preserve"> </w:t>
      </w:r>
      <w:r>
        <w:t xml:space="preserve">electrochemistry, however, degrades in complicated and highly</w:t>
      </w:r>
      <w:r>
        <w:t xml:space="preserve"> </w:t>
      </w:r>
      <w:r>
        <w:t xml:space="preserve">nonlinear ways, which is precisely what makes failure prediction</w:t>
      </w:r>
      <w:r>
        <w:t xml:space="preserve"> </w:t>
      </w:r>
      <w:r>
        <w:t xml:space="preserve">difficult. Individual failures may be uncommon, but the safety hazards</w:t>
      </w:r>
      <w:r>
        <w:t xml:space="preserve"> </w:t>
      </w:r>
      <w:r>
        <w:t xml:space="preserve">and economic losses they cause are serious enough that battery</w:t>
      </w:r>
      <w:r>
        <w:t xml:space="preserve"> </w:t>
      </w:r>
      <w:r>
        <w:t xml:space="preserve">management systems need forecasts they can genuinely rely</w:t>
      </w:r>
      <w:r>
        <w:t xml:space="preserve"> </w:t>
      </w:r>
      <w:r>
        <w:t xml:space="preserve">on [1]. Research effort has accordingly concentrated</w:t>
      </w:r>
      <w:r>
        <w:t xml:space="preserve"> </w:t>
      </w:r>
      <w:r>
        <w:t xml:space="preserve">on state-of-health (SOH) estimation and remaining useful life (RUL)</w:t>
      </w:r>
      <w:r>
        <w:t xml:space="preserve"> </w:t>
      </w:r>
      <w:r>
        <w:t xml:space="preserve">prediction. Reviews of conventional SOH methods, covering everything</w:t>
      </w:r>
      <w:r>
        <w:t xml:space="preserve"> </w:t>
      </w:r>
      <w:r>
        <w:t xml:space="preserve">from coulomb counting and impedance spectroscopy to Kalman filtering,</w:t>
      </w:r>
      <w:r>
        <w:t xml:space="preserve"> </w:t>
      </w:r>
      <w:r>
        <w:t xml:space="preserve">fuzzy logic, and machine learning, are well established [1].</w:t>
      </w:r>
      <w:r>
        <w:t xml:space="preserve"> </w:t>
      </w:r>
      <w:r>
        <w:t xml:space="preserve">More recently, deep learning has reshaped much of this landscape:</w:t>
      </w:r>
      <w:r>
        <w:t xml:space="preserve"> </w:t>
      </w:r>
      <w:r>
        <w:t xml:space="preserve">STL-LSTM models with spatio-temporal attention [2],</w:t>
      </w:r>
      <w:r>
        <w:t xml:space="preserve"> </w:t>
      </w:r>
      <w:r>
        <w:t xml:space="preserve">multilayer perceptrons [3], and SHAP-assisted feature</w:t>
      </w:r>
      <w:r>
        <w:t xml:space="preserve"> </w:t>
      </w:r>
      <w:r>
        <w:t xml:space="preserve">engineering [4] are representative examples, and</w:t>
      </w:r>
      <w:r>
        <w:t xml:space="preserve"> </w:t>
      </w:r>
      <w:r>
        <w:t xml:space="preserve">comprehensive reviews of RUL prediction are also</w:t>
      </w:r>
      <w:r>
        <w:t xml:space="preserve"> </w:t>
      </w:r>
      <w:r>
        <w:t xml:space="preserve">available [5]–[7]. On the modeling side,</w:t>
      </w:r>
      <w:r>
        <w:t xml:space="preserve"> </w:t>
      </w:r>
      <w:r>
        <w:t xml:space="preserve">LightGBM [8], GRU-based [9], hybrid</w:t>
      </w:r>
      <w:r>
        <w:t xml:space="preserve"> </w:t>
      </w:r>
      <w:r>
        <w:t xml:space="preserve">neural [10], and convolutional [11]</w:t>
      </w:r>
      <w:r>
        <w:t xml:space="preserve"> </w:t>
      </w:r>
      <w:r>
        <w:t xml:space="preserve">architectures have each reported competitive lifetime prediction, and</w:t>
      </w:r>
      <w:r>
        <w:t xml:space="preserve"> </w:t>
      </w:r>
      <w:r>
        <w:t xml:space="preserve">survival analysis is steadily gaining ground as an alternative way to</w:t>
      </w:r>
      <w:r>
        <w:t xml:space="preserve"> </w:t>
      </w:r>
      <w:r>
        <w:t xml:space="preserve">frame the problem [12]–[14]. What has</w:t>
      </w:r>
      <w:r>
        <w:t xml:space="preserve"> </w:t>
      </w:r>
      <w:r>
        <w:t xml:space="preserve">received surprisingly little attention, by contrast, is what happens</w:t>
      </w:r>
      <w:r>
        <w:t xml:space="preserve"> </w:t>
      </w:r>
      <w:r>
        <w:t xml:space="preserve">when a trained model is pointed at a different chemistry. Pang et</w:t>
      </w:r>
      <w:r>
        <w:t xml:space="preserve"> </w:t>
      </w:r>
      <w:r>
        <w:t xml:space="preserve">al. [15] proposed a Transformer–BiLSTM framework for</w:t>
      </w:r>
      <w:r>
        <w:t xml:space="preserve"> </w:t>
      </w:r>
      <w:r>
        <w:t xml:space="preserve">multi-chemistry SOH estimation, but their focus remained SOH rather</w:t>
      </w:r>
      <w:r>
        <w:t xml:space="preserve"> </w:t>
      </w:r>
      <w:r>
        <w:t xml:space="preserve">than failure prediction. Probability calibration is similarly</w:t>
      </w:r>
      <w:r>
        <w:t xml:space="preserve"> </w:t>
      </w:r>
      <w:r>
        <w:t xml:space="preserve">neglected, despite the availability of established</w:t>
      </w:r>
      <w:r>
        <w:t xml:space="preserve"> </w:t>
      </w:r>
      <w:r>
        <w:t xml:space="preserve">methods [16]–[18]. In the</w:t>
      </w:r>
      <w:r>
        <w:t xml:space="preserve"> </w:t>
      </w:r>
      <w:r>
        <w:t xml:space="preserve">background, SHAP-based interpretability [19] and a</w:t>
      </w:r>
      <w:r>
        <w:t xml:space="preserve"> </w:t>
      </w:r>
      <w:r>
        <w:t xml:space="preserve">growing collection of public benchmark datasets [20], [21]</w:t>
      </w:r>
      <w:r>
        <w:t xml:space="preserve"> </w:t>
      </w:r>
      <w:r>
        <w:t xml:space="preserve">continue to advance the field as a whole.</w:t>
      </w:r>
    </w:p>
    <w:p>
      <w:pPr>
        <w:pStyle w:val="BodyText"/>
      </w:pPr>
      <w:r>
        <w:t xml:space="preserve">Taken together, these threads leave a clear gap. Most studies still</w:t>
      </w:r>
      <w:r>
        <w:t xml:space="preserve"> </w:t>
      </w:r>
      <w:r>
        <w:t xml:space="preserve">evaluate a single dataset, chemistry, horizon, or metric, and</w:t>
      </w:r>
      <w:r>
        <w:t xml:space="preserve"> </w:t>
      </w:r>
      <w:r>
        <w:t xml:space="preserve">cross-dataset transfer, calibration, and significance testing are</w:t>
      </w:r>
      <w:r>
        <w:t xml:space="preserve"> </w:t>
      </w:r>
      <w:r>
        <w:t xml:space="preserve">rarely examined together. There is also a more basic concern that is</w:t>
      </w:r>
      <w:r>
        <w:t xml:space="preserve"> </w:t>
      </w:r>
      <w:r>
        <w:t xml:space="preserve">easy to overlook: it is often unclear whether apparent transfer</w:t>
      </w:r>
      <w:r>
        <w:t xml:space="preserve"> </w:t>
      </w:r>
      <w:r>
        <w:t xml:space="preserve">performance reflects genuine degradation knowledge or simply a</w:t>
      </w:r>
      <w:r>
        <w:t xml:space="preserve"> </w:t>
      </w:r>
      <w:r>
        <w:t xml:space="preserve">health-state shortcut. The composite failure label is defined from</w:t>
      </w:r>
      <w:r>
        <w:t xml:space="preserve"> </w:t>
      </w:r>
      <w:r>
        <w:t xml:space="preserve">SOH, and SOH happens to be the strongest input feature, so a model can</w:t>
      </w:r>
      <w:r>
        <w:t xml:space="preserve"> </w:t>
      </w:r>
      <w:r>
        <w:t xml:space="preserve">score well on transfer while doing little more than reading the label</w:t>
      </w:r>
      <w:r>
        <w:t xml:space="preserve"> </w:t>
      </w:r>
      <w:r>
        <w:t xml:space="preserve">criterion. A further practical issue concerns the DeLong</w:t>
      </w:r>
      <w:r>
        <w:t xml:space="preserve"> </w:t>
      </w:r>
      <w:r>
        <w:t xml:space="preserve">test [22], the usual tool for comparing ROC curves, which</w:t>
      </w:r>
      <w:r>
        <w:t xml:space="preserve"> </w:t>
      </w:r>
      <w:r>
        <w:t xml:space="preserve">treats every cycle-level prediction as independent even though cycles</w:t>
      </w:r>
      <w:r>
        <w:t xml:space="preserve"> </w:t>
      </w:r>
      <w:r>
        <w:t xml:space="preserve">within a cell are strongly correlated. Finally, although the Severson</w:t>
      </w:r>
      <w:r>
        <w:t xml:space="preserve"> </w:t>
      </w:r>
      <w:r>
        <w:t xml:space="preserve">dataset [23] makes large-scale LFP validation possible,</w:t>
      </w:r>
      <w:r>
        <w:t xml:space="preserve"> </w:t>
      </w:r>
      <w:r>
        <w:t xml:space="preserve">it has rarely been paired with cross-chemistry experiments.</w:t>
      </w:r>
    </w:p>
    <w:p>
      <w:pPr>
        <w:pStyle w:val="BodyText"/>
      </w:pPr>
      <w:r>
        <w:t xml:space="preserve">This paper addresses that gap. We train XGBoost, LightGBM, Random</w:t>
      </w:r>
      <w:r>
        <w:t xml:space="preserve"> </w:t>
      </w:r>
      <w:r>
        <w:t xml:space="preserve">Forest, and a GRU baseline on the NASA and CALCE LCO datasets under</w:t>
      </w:r>
      <w:r>
        <w:t xml:space="preserve"> </w:t>
      </w:r>
      <w:r>
        <w:t xml:space="preserve">cell-disjoint folds, evaluate on the Oxford and Severson LFP datasets</w:t>
      </w:r>
      <w:r>
        <w:t xml:space="preserve"> </w:t>
      </w:r>
      <w:r>
        <w:t xml:space="preserve">across four horizons (10, 20, 30, 50 cycles), compare Platt and</w:t>
      </w:r>
      <w:r>
        <w:t xml:space="preserve"> </w:t>
      </w:r>
      <w:r>
        <w:t xml:space="preserve">isotonic calibration under a leakage-free cross-fitted protocol, run an</w:t>
      </w:r>
      <w:r>
        <w:t xml:space="preserve"> </w:t>
      </w:r>
      <w:r>
        <w:t xml:space="preserve">SOH ablation with cell-level bootstrap confidence intervals, and add</w:t>
      </w:r>
      <w:r>
        <w:t xml:space="preserve"> </w:t>
      </w:r>
      <w:r>
        <w:t xml:space="preserve">same-chemistry cross-laboratory controls (NASA</w:t>
      </w:r>
      <m:oMath>
        <m:r>
          <m:rPr>
            <m:sty m:val="p"/>
          </m:rPr>
          <m:t>↔</m:t>
        </m:r>
      </m:oMath>
      <w:r>
        <w:t xml:space="preserve">CALCE</w:t>
      </w:r>
      <w:r>
        <w:t xml:space="preserve"> </w:t>
      </w:r>
      <w:r>
        <w:t xml:space="preserve">and Severson</w:t>
      </w:r>
      <m:oMath>
        <m:r>
          <m:rPr>
            <m:sty m:val="p"/>
          </m:rPr>
          <m:t>→</m:t>
        </m:r>
      </m:oMath>
      <w:r>
        <w:t xml:space="preserve">Oxford) that separate dataset shift from chemistry</w:t>
      </w:r>
      <w:r>
        <w:t xml:space="preserve"> </w:t>
      </w:r>
      <w:r>
        <w:t xml:space="preserve">shift. The key finding is that apparent cross-chemistry transfer</w:t>
      </w:r>
      <w:r>
        <w:t xml:space="preserve"> </w:t>
      </w:r>
      <w:r>
        <w:t xml:space="preserve">success depends largely on SOH acting as a dataset- and</w:t>
      </w:r>
      <w:r>
        <w:t xml:space="preserve"> </w:t>
      </w:r>
      <w:r>
        <w:t xml:space="preserve">chemistry-dependent health-state shortcut, not a shared degradation</w:t>
      </w:r>
      <w:r>
        <w:t xml:space="preserve"> </w:t>
      </w:r>
      <w:r>
        <w:t xml:space="preserve">pattern.</w:t>
      </w:r>
    </w:p>
    <w:bookmarkEnd w:id="9"/>
    <w:bookmarkStart w:id="20" w:name="ii.-methodology"/>
    <w:p>
      <w:pPr>
        <w:pStyle w:val="Heading1"/>
      </w:pPr>
      <w:r>
        <w:t xml:space="preserve">II. Methodology</w:t>
      </w:r>
    </w:p>
    <w:p>
      <w:pPr>
        <w:pStyle w:val="FirstParagraph"/>
      </w:pPr>
      <w:r>
        <w:t xml:space="preserve">Fig. 1 overviews the workflow: LCO training cells and</w:t>
      </w:r>
      <w:r>
        <w:t xml:space="preserve"> </w:t>
      </w:r>
      <w:r>
        <w:t xml:space="preserve">LFP transfer targets are represented by per-cycle features and composite</w:t>
      </w:r>
      <w:r>
        <w:t xml:space="preserve"> </w:t>
      </w:r>
      <w:r>
        <w:t xml:space="preserve">failure labels, four model families are trained per horizon, calibrated</w:t>
      </w:r>
      <w:r>
        <w:t xml:space="preserve"> </w:t>
      </w:r>
      <w:r>
        <w:t xml:space="preserve">with leakage-free cross-fitted functions, and evaluated with</w:t>
      </w:r>
      <w:r>
        <w:t xml:space="preserve"> </w:t>
      </w:r>
      <w:r>
        <w:t xml:space="preserve">cell-disjoint reliability checks, transfer experiments, and</w:t>
      </w:r>
      <w:r>
        <w:t xml:space="preserve"> </w:t>
      </w:r>
      <w:r>
        <w:t xml:space="preserve">shortcut controls.</w:t>
      </w:r>
    </w:p>
    <w:bookmarkStart w:id="13" w:name="fig:framework"/>
    <w:p>
      <w:pPr>
        <w:pStyle w:val="CaptionedFigure"/>
        <w:jc w:val="center"/>
      </w:pPr>
      <w:r>
        <w:drawing>
          <wp:inline>
            <wp:extent cx="5334000" cy="4662766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figs/fig_framework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2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Overview of the proposed multi-horizon failure-risk framework.</w:t>
      </w:r>
    </w:p>
    <w:bookmarkEnd w:id="13"/>
    <w:bookmarkStart w:id="15" w:name="ii-a-datasets-and-feature-representation"/>
    <w:p>
      <w:pPr>
        <w:pStyle w:val="Heading2"/>
      </w:pPr>
      <w:r>
        <w:t xml:space="preserve">II-A Datasets and Feature Representation</w:t>
      </w:r>
    </w:p>
    <w:p>
      <w:pPr>
        <w:pStyle w:val="FirstParagraph"/>
      </w:pPr>
      <w:r>
        <w:t xml:space="preserve">Four public datasets spanning two battery chemistries are used</w:t>
      </w:r>
      <w:r>
        <w:t xml:space="preserve"> </w:t>
      </w:r>
      <w:r>
        <w:t xml:space="preserve">(Table I). The NASA PCoE [24] and CALCE</w:t>
      </w:r>
      <w:r>
        <w:t xml:space="preserve"> </w:t>
      </w:r>
      <w:r>
        <w:t xml:space="preserve">CX2 [25] datasets are used for training, while the Oxford</w:t>
      </w:r>
      <w:r>
        <w:t xml:space="preserve"> </w:t>
      </w:r>
      <w:r>
        <w:t xml:space="preserve">Battery Degradation Dataset [26] and MIT–Stanford</w:t>
      </w:r>
      <w:r>
        <w:t xml:space="preserve"> </w:t>
      </w:r>
      <w:r>
        <w:t xml:space="preserve">Severson [23] datasets serve as cross-chemistry transfer</w:t>
      </w:r>
      <w:r>
        <w:t xml:space="preserve"> </w:t>
      </w:r>
      <w:r>
        <w:t xml:space="preserve">targets. A battery is labeled as failed when SOH falls below 0.80 or</w:t>
      </w:r>
      <w:r>
        <w:t xml:space="preserve"> </w:t>
      </w:r>
      <w:r>
        <w:t xml:space="preserve">the average voltage sag drops below 94% of the first ten-cycle</w:t>
      </w:r>
      <w:r>
        <w:t xml:space="preserve"> </w:t>
      </w:r>
      <w:r>
        <w:t xml:space="preserve">baseline.</w:t>
      </w:r>
    </w:p>
    <w:bookmarkStart w:id="14" w:name="tab:datasets"/>
    <w:p>
      <w:pPr>
        <w:pStyle w:val="TableCaption"/>
      </w:pPr>
      <w:r>
        <w:t xml:space="preserve">Summary of the Four Battery Datasets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mmary of the Four Battery Datasets"/>
        <w:tblBorders>
          <w:top w:val="single" w:sz="8" w:color="000000"/>
          <w:bottom w:val="single" w:sz="8" w:color="000000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Dataset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Cells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Chem.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Cycles/Cell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 18650 [24]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37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LCO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1–445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Training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 CX2 [25]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LCO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775–1</w:t>
            </w:r>
            <w:r>
              <w:rPr>
                <w:rFonts w:ascii="Times New Roman" w:hAnsi="Times New Roman"/>
                <w:sz w:val="16"/>
              </w:rPr>
              <w:t xml:space="preserve">,</w:t>
            </w:r>
            <w:r>
              <w:rPr>
                <w:rFonts w:ascii="Times New Roman" w:hAnsi="Times New Roman"/>
                <w:sz w:val="16"/>
              </w:rPr>
              <w:t xml:space="preserve">961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Training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Oxford LFP [26]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LFP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46–78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Transfer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Severson [23]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141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LFP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101–2</w:t>
            </w:r>
            <w:r>
              <w:rPr>
                <w:rFonts w:ascii="Times New Roman" w:hAnsi="Times New Roman"/>
                <w:sz w:val="16"/>
              </w:rPr>
              <w:t xml:space="preserve">,</w:t>
            </w:r>
            <w:r>
              <w:rPr>
                <w:rFonts w:ascii="Times New Roman" w:hAnsi="Times New Roman"/>
                <w:sz w:val="16"/>
              </w:rPr>
              <w:t xml:space="preserve">237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Transfer</w:t>
            </w:r>
          </w:p>
        </w:tc>
      </w:tr>
    </w:tbl>
    <w:bookmarkEnd w:id="14"/>
    <w:p>
      <w:pPr>
        <w:pStyle w:val="BodyText"/>
      </w:pPr>
      <w:r>
        <w:t xml:space="preserve">Two properties of these datasets matter for interpretation. First, the</w:t>
      </w:r>
      <w:r>
        <w:t xml:space="preserve"> </w:t>
      </w:r>
      <w:r>
        <w:t xml:space="preserve">Oxford release logs discharge summaries at roughly 100-cycle intervals,</w:t>
      </w:r>
      <w:r>
        <w:t xml:space="preserve"> </w:t>
      </w:r>
      <w:r>
        <w:t xml:space="preserve">so after preprocessing only 46–78 usable cycles per cell remain and</w:t>
      </w:r>
      <w:r>
        <w:t xml:space="preserve"> </w:t>
      </w:r>
      <w:r>
        <w:t xml:space="preserve">every horizon is shorter than the sampling interval; Oxford failure</w:t>
      </w:r>
      <w:r>
        <w:t xml:space="preserve"> </w:t>
      </w:r>
      <w:r>
        <w:t xml:space="preserve">labels are identical across all four horizons, and Oxford scores measure</w:t>
      </w:r>
      <w:r>
        <w:t xml:space="preserve"> </w:t>
      </w:r>
      <w:r>
        <w:t xml:space="preserve">pooled failure detection rather than horizon-resolved prediction</w:t>
      </w:r>
      <w:r>
        <w:t xml:space="preserve"> </w:t>
      </w:r>
      <w:r>
        <w:t xml:space="preserve">(per-cell statistics effectively cover four of its five cells). Second, because</w:t>
      </w:r>
      <w:r>
        <w:t xml:space="preserve"> </w:t>
      </w:r>
      <w:r>
        <w:t xml:space="preserve">chemistry, laboratory, cell manufacturer, cycling protocol, and logging</w:t>
      </w:r>
      <w:r>
        <w:t xml:space="preserve"> </w:t>
      </w:r>
      <w:r>
        <w:t xml:space="preserve">resolution all change simultaneously between any source and target, the</w:t>
      </w:r>
      <w:r>
        <w:t xml:space="preserve"> </w:t>
      </w:r>
      <w:r>
        <w:t xml:space="preserve">shift evaluated here is cross-</w:t>
      </w:r>
      <w:r>
        <w:rPr>
          <w:i/>
          <w:iCs/>
        </w:rPr>
        <w:t xml:space="preserve">dataset</w:t>
      </w:r>
      <w:r>
        <w:t xml:space="preserve"> </w:t>
      </w:r>
      <w:r>
        <w:t xml:space="preserve">as well as</w:t>
      </w:r>
      <w:r>
        <w:t xml:space="preserve"> </w:t>
      </w:r>
      <w:r>
        <w:t xml:space="preserve">cross-chemistry;</w:t>
      </w:r>
      <w:r>
        <w:t xml:space="preserve"> </w:t>
      </w:r>
      <w:r>
        <w:t xml:space="preserve">“cross-chemistry”</w:t>
      </w:r>
      <w:r>
        <w:t xml:space="preserve"> </w:t>
      </w:r>
      <w:r>
        <w:t xml:space="preserve">is used as shorthand and</w:t>
      </w:r>
      <w:r>
        <w:t xml:space="preserve"> </w:t>
      </w:r>
      <w:r>
        <w:t xml:space="preserve">Section II-E describes the controls that separate the two.</w:t>
      </w:r>
    </w:p>
    <w:p>
      <w:pPr>
        <w:pStyle w:val="BodyText"/>
      </w:pPr>
      <w:r>
        <w:t xml:space="preserve">The feature vector consists of standard battery management system (BMS)</w:t>
      </w:r>
      <w:r>
        <w:t xml:space="preserve"> </w:t>
      </w:r>
      <w:r>
        <w:t xml:space="preserve">measurements requiring no additional sensors,</w:t>
      </w:r>
    </w:p>
    <w:p>
      <w:pPr>
        <w:pStyle w:val="BodyText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V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(1)</m:t>
          </m:r>
        </m:oMath>
      </m:oMathPara>
    </w:p>
    <w:p>
      <w:pPr>
        <w:pStyle w:val="FirstParagraph"/>
      </w:pPr>
      <w:r>
        <w:t xml:space="preserve">used directly by the tree ensembles, while the GRU processes a rolling</w:t>
      </w:r>
      <w:r>
        <w:t xml:space="preserve"> </w:t>
      </w:r>
      <w:r>
        <w:t xml:space="preserve">window of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cycles,</w:t>
      </w:r>
    </w:p>
    <w:p>
      <w:pPr>
        <w:pStyle w:val="BodyText"/>
        <w:jc w:val="center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w</m:t>
              </m:r>
              <m:r>
                <m:rPr>
                  <m:sty m:val="p"/>
                </m:rPr>
                <m:t>×</m:t>
              </m:r>
              <m:r>
                <m:t>d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(2)</m:t>
          </m:r>
        </m:oMath>
      </m:oMathPara>
    </w:p>
    <w:p>
      <w:pPr>
        <w:pStyle w:val="FirstParagraph"/>
      </w:pPr>
      <w:r>
        <w:t xml:space="preserve">In the CALCE dataset, average temperature and</w:t>
      </w:r>
      <w:r>
        <w:t xml:space="preserve"> </w:t>
      </w:r>
      <w:r>
        <w:t xml:space="preserve">duration are completely missing and are zero-imputed for the tree</w:t>
      </w:r>
      <w:r>
        <w:t xml:space="preserve"> </w:t>
      </w:r>
      <w:r>
        <w:t xml:space="preserve">models; this is harmless within a single dataset but a constant-zero</w:t>
      </w:r>
      <w:r>
        <w:t xml:space="preserve"> </w:t>
      </w:r>
      <w:r>
        <w:t xml:space="preserve">column can act as a dataset identifier in pooled training, which</w:t>
      </w:r>
      <w:r>
        <w:t xml:space="preserve"> </w:t>
      </w:r>
      <w:r>
        <w:t xml:space="preserve">Section III-C controls for with a common-feature variant. The GRU</w:t>
      </w:r>
      <w:r>
        <w:t xml:space="preserve"> </w:t>
      </w:r>
      <w:r>
        <w:t xml:space="preserve">excludes those two features and uses only cycle, average voltage,</w:t>
      </w:r>
      <w:r>
        <w:t xml:space="preserve"> </w:t>
      </w:r>
      <w:r>
        <w:t xml:space="preserve">minimum voltage, and SOH during transfer; the tree ensembles are</w:t>
      </w:r>
      <w:r>
        <w:t xml:space="preserve"> </w:t>
      </w:r>
      <w:r>
        <w:t xml:space="preserve">additionally evaluated on this identical common feature set, so that</w:t>
      </w:r>
      <w:r>
        <w:t xml:space="preserve"> </w:t>
      </w:r>
      <w:r>
        <w:t xml:space="preserve">architecture and feature availability are not confounded when</w:t>
      </w:r>
      <w:r>
        <w:t xml:space="preserve"> </w:t>
      </w:r>
      <w:r>
        <w:t xml:space="preserve">comparing models under shift.</w:t>
      </w:r>
    </w:p>
    <w:bookmarkEnd w:id="15"/>
    <w:bookmarkStart w:id="16" w:name="ii-b-operational-reliability-formulation"/>
    <w:p>
      <w:pPr>
        <w:pStyle w:val="Heading2"/>
      </w:pPr>
      <w:r>
        <w:t xml:space="preserve">II-B Operational Reliability Formulation</w:t>
      </w:r>
    </w:p>
    <w:p>
      <w:pPr>
        <w:pStyle w:val="FirstParagraph"/>
      </w:pPr>
      <w:r>
        <w:t xml:space="preserve">Rather than estimate SOH or remaining useful life directly, we predict</w:t>
      </w:r>
      <w:r>
        <w:t xml:space="preserve"> </w:t>
      </w:r>
      <w:r>
        <w:t xml:space="preserve">failure probability within a fixed operating horizon,</w:t>
      </w:r>
    </w:p>
    <w:p>
      <w:pPr>
        <w:pStyle w:val="BodyText"/>
        <w:jc w:val="center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failure occurs within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H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  <m:r>
            <m:t>  </m:t>
          </m:r>
          <m:r>
            <m:rPr>
              <m:nor/>
              <m:sty m:val="p"/>
            </m:rPr>
            <m:t>(3)</m:t>
          </m:r>
        </m:oMath>
      </m:oMathPara>
    </w:p>
    <w:p>
      <w:pPr>
        <w:pStyle w:val="FirstParagraph"/>
      </w:pPr>
      <w:r>
        <w:t xml:space="preserve">with conditional failure probability</w:t>
      </w:r>
    </w:p>
    <w:p>
      <w:pPr>
        <w:pStyle w:val="BodyText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(4)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failure cycle. This framing treats battery</w:t>
      </w:r>
      <w:r>
        <w:t xml:space="preserve"> </w:t>
      </w:r>
      <w:r>
        <w:t xml:space="preserve">prognostics as a discrete-time survival problem, aligned with how a BMS</w:t>
      </w:r>
      <w:r>
        <w:t xml:space="preserve"> </w:t>
      </w:r>
      <w:r>
        <w:t xml:space="preserve">would use the output operationally. Two honesty notes are essential.</w:t>
      </w:r>
      <w:r>
        <w:t xml:space="preserve"> </w:t>
      </w:r>
      <w:r>
        <w:t xml:space="preserve">First, (5) is a fixed-horizon</w:t>
      </w:r>
      <w:r>
        <w:t xml:space="preserve"> </w:t>
      </w:r>
      <w:r>
        <w:rPr>
          <w:i/>
          <w:iCs/>
        </w:rPr>
        <w:t xml:space="preserve">cumulative failure-risk</w:t>
      </w:r>
      <w:r>
        <w:t xml:space="preserve"> </w:t>
      </w:r>
      <w:r>
        <w:t xml:space="preserve">target:</w:t>
      </w:r>
      <w:r>
        <w:t xml:space="preserve"> </w:t>
      </w:r>
      <w:r>
        <w:t xml:space="preserve">each horizon is an independent binary classifier, no cycle-level hazard</w:t>
      </w:r>
      <w:r>
        <w:t xml:space="preserve"> </w:t>
      </w:r>
      <w:r>
        <w:t xml:space="preserve">or survival product is estimated, and no monotonicity constraint</w:t>
      </w:r>
      <w:r>
        <w:t xml:space="preserve"> </w:t>
      </w:r>
      <m:oMath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20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30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50</m:t>
            </m:r>
          </m:sub>
        </m:sSub>
      </m:oMath>
      <w:r>
        <w:t xml:space="preserve"> </w:t>
      </w:r>
      <w:r>
        <w:t xml:space="preserve">is enforced (violations reach</w:t>
      </w:r>
      <w:r>
        <w:t xml:space="preserve"> </w:t>
      </w:r>
      <w:r>
        <w:t xml:space="preserve">up to 45% of within-dataset rows), which is why we say</w:t>
      </w:r>
      <w:r>
        <w:t xml:space="preserve"> </w:t>
      </w:r>
      <w:r>
        <w:rPr>
          <w:i/>
          <w:iCs/>
        </w:rPr>
        <w:t xml:space="preserve">failure-risk classification</w:t>
      </w:r>
      <w:r>
        <w:t xml:space="preserve"> </w:t>
      </w:r>
      <w:r>
        <w:t xml:space="preserve">rather than hazard modeling.</w:t>
      </w:r>
      <w:r>
        <w:t xml:space="preserve"> </w:t>
      </w:r>
      <w:r>
        <w:t xml:space="preserve">Second, the label is</w:t>
      </w:r>
      <w:r>
        <w:t xml:space="preserve"> </w:t>
      </w:r>
      <w:r>
        <w:rPr>
          <w:i/>
          <w:iCs/>
        </w:rPr>
        <w:t xml:space="preserve">partially defined by SOH itself</w:t>
      </w:r>
      <w:r>
        <w:t xml:space="preserve"> </w:t>
      </w:r>
      <w:r>
        <w:t xml:space="preserve">and SOH is</w:t>
      </w:r>
      <w:r>
        <w:t xml:space="preserve"> </w:t>
      </w:r>
      <w:r>
        <w:t xml:space="preserve">also an input feature (Eq. (1)); with-SOH results are</w:t>
      </w:r>
      <w:r>
        <w:t xml:space="preserve"> </w:t>
      </w:r>
      <w:r>
        <w:t xml:space="preserve">upper bounds that include this label-proximity leakage, and</w:t>
      </w:r>
      <w:r>
        <w:t xml:space="preserve"> </w:t>
      </w:r>
      <w:r>
        <w:t xml:space="preserve">Section III-E quantifies it directly.</w:t>
      </w:r>
    </w:p>
    <w:bookmarkEnd w:id="16"/>
    <w:bookmarkStart w:id="17" w:name="ii-c-models-and-training"/>
    <w:p>
      <w:pPr>
        <w:pStyle w:val="Heading2"/>
      </w:pPr>
      <w:r>
        <w:t xml:space="preserve">II-C Models and Training</w:t>
      </w:r>
    </w:p>
    <w:p>
      <w:pPr>
        <w:pStyle w:val="FirstParagraph"/>
      </w:pPr>
      <w:r>
        <w:t xml:space="preserve">We evaluate XGBoost (max_depth 4, learning rate 0.05, subsample 0.8,</w:t>
      </w:r>
      <w:r>
        <w:t xml:space="preserve"> </w:t>
      </w:r>
      <w:r>
        <w:t xml:space="preserve">colsample 0.8, min_child_weight 5), LightGBM with matched</w:t>
      </w:r>
      <w:r>
        <w:t xml:space="preserve"> </w:t>
      </w:r>
      <w:r>
        <w:t xml:space="preserve">hyperparameters, Random Forest (300 trees, max_depth 6), and a</w:t>
      </w:r>
      <w:r>
        <w:t xml:space="preserve"> </w:t>
      </w:r>
      <w:r>
        <w:t xml:space="preserve">single-layer GRU (8 hidden units, 10-cycle window, Adam at learning</w:t>
      </w:r>
      <w:r>
        <w:t xml:space="preserve"> </w:t>
      </w:r>
      <w:r>
        <w:t xml:space="preserve">rate 0.005, early stopping). Within-dataset evaluation uses 5-fold</w:t>
      </w:r>
      <w:r>
        <w:t xml:space="preserve"> </w:t>
      </w:r>
      <w:r>
        <w:t xml:space="preserve">cell-grouped cross-validation on NASA (37 cells) and</w:t>
      </w:r>
      <w:r>
        <w:t xml:space="preserve"> </w:t>
      </w:r>
      <w:r>
        <w:t xml:space="preserve">leave-one-cell-out on CALCE (7 cells): every cycle from a given cell</w:t>
      </w:r>
      <w:r>
        <w:t xml:space="preserve"> </w:t>
      </w:r>
      <w:r>
        <w:t xml:space="preserve">stays on one side of every split, models are retrained per horizon,</w:t>
      </w:r>
      <w:r>
        <w:t xml:space="preserve"> </w:t>
      </w:r>
      <w:r>
        <w:t xml:space="preserve">and the cell, not the cycle, is the experimental unit.</w:t>
      </w:r>
    </w:p>
    <w:bookmarkEnd w:id="17"/>
    <w:bookmarkStart w:id="18" w:name="ii-d-probability-calibration"/>
    <w:p>
      <w:pPr>
        <w:pStyle w:val="Heading2"/>
      </w:pPr>
      <w:r>
        <w:t xml:space="preserve">II-D Probability Calibration</w:t>
      </w:r>
    </w:p>
    <w:p>
      <w:pPr>
        <w:pStyle w:val="FirstParagraph"/>
      </w:pPr>
      <w:r>
        <w:t xml:space="preserve">Raw predictions are calibrated with Platt scaling [16],</w:t>
      </w:r>
    </w:p>
    <w:p>
      <w:pPr>
        <w:pStyle w:val="BodyText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(5)</m:t>
          </m:r>
        </m:oMath>
      </m:oMathPara>
    </w:p>
    <w:p>
      <w:pPr>
        <w:pStyle w:val="FirstParagraph"/>
      </w:pPr>
      <w:r>
        <w:t xml:space="preserve">which fits the logistic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out-of-fold scores</w:t>
      </w:r>
      <w:r>
        <w:t xml:space="preserve"> </w:t>
      </w:r>
      <m:oMath>
        <m:r>
          <m:t>s</m:t>
        </m:r>
      </m:oMath>
      <w:r>
        <w:t xml:space="preserve">, and isotonic regression [17],</w:t>
      </w:r>
    </w:p>
    <w:p>
      <w:pPr>
        <w:pStyle w:val="BodyText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g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arg min</m:t>
              </m:r>
            </m:e>
            <m:lim>
              <m:r>
                <m:t>g</m:t>
              </m:r>
              <m:r>
                <m:t> 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nor/>
                  <m:sty m:val="p"/>
                </m:rPr>
                <m:t>-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g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(6)</m:t>
          </m:r>
        </m:oMath>
      </m:oMathPara>
    </w:p>
    <w:p>
      <w:pPr>
        <w:pStyle w:val="FirstParagraph"/>
      </w:pPr>
      <w:r>
        <w:t xml:space="preserve">a non-decreasing step fit, with temperature scaling 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f>
              <m:fPr>
                <m:type m:val="lin"/>
              </m:fPr>
              <m:num>
                <m:r>
                  <m:t>s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s</m:t>
                </m:r>
              </m:den>
            </m:f>
            <m:r>
              <m:rPr>
                <m:sty m:val="p"/>
              </m:rPr>
              <m:t>/</m:t>
            </m:r>
            <m:r>
              <m:t>T</m:t>
            </m:r>
          </m:e>
        </m:d>
      </m:oMath>
      <w:r>
        <w:t xml:space="preserve">) as a reference. The protocol is leakage-clean: calibrators are fitted only on</w:t>
      </w:r>
      <w:r>
        <w:t xml:space="preserve"> </w:t>
      </w:r>
      <w:r>
        <w:t xml:space="preserve">out-of-fold scores produced by an inner cell-disjoint split of the</w:t>
      </w:r>
      <w:r>
        <w:t xml:space="preserve"> </w:t>
      </w:r>
      <w:r>
        <w:t xml:space="preserve">training cells, and the untouched test cells are scored by a model</w:t>
      </w:r>
      <w:r>
        <w:t xml:space="preserve"> </w:t>
      </w:r>
      <w:r>
        <w:t xml:space="preserve">trained on all training cells. No calibrator is ever fitted on the</w:t>
      </w:r>
      <w:r>
        <w:t xml:space="preserve"> </w:t>
      </w:r>
      <w:r>
        <w:t xml:space="preserve">scores it is applied to, which removes the optimistic bias of in-sample</w:t>
      </w:r>
      <w:r>
        <w:t xml:space="preserve"> </w:t>
      </w:r>
      <w:r>
        <w:t xml:space="preserve">fitting (an earlier version of this study fitted calibrators directly</w:t>
      </w:r>
      <w:r>
        <w:t xml:space="preserve"> </w:t>
      </w:r>
      <w:r>
        <w:t xml:space="preserve">on training-fold predictions; the absolute calibration numbers here are</w:t>
      </w:r>
      <w:r>
        <w:t xml:space="preserve"> </w:t>
      </w:r>
      <w:r>
        <w:t xml:space="preserve">accordingly more conservative). Calibration quality</w:t>
      </w:r>
      <w:r>
        <w:t xml:space="preserve"> </w:t>
      </w:r>
      <w:r>
        <w:t xml:space="preserve">is assessed by the Brier score, expected calibration error (ECE, ten</w:t>
      </w:r>
      <w:r>
        <w:t xml:space="preserve"> </w:t>
      </w:r>
      <w:r>
        <w:t xml:space="preserve">equal-width bins), and the slope of a logistic recalibration of the</w:t>
      </w:r>
      <w:r>
        <w:t xml:space="preserve"> </w:t>
      </w:r>
      <w:r>
        <w:t xml:space="preserve">predicted probabilities (slope 1 indicates perfect probabilistic</w:t>
      </w:r>
      <w:r>
        <w:t xml:space="preserve"> </w:t>
      </w:r>
      <w:r>
        <w:t xml:space="preserve">calibration).</w:t>
      </w:r>
    </w:p>
    <w:bookmarkEnd w:id="18"/>
    <w:bookmarkStart w:id="19" w:name="X4a825e9983566a103cefe29da6b7557c157aef7"/>
    <w:p>
      <w:pPr>
        <w:pStyle w:val="Heading2"/>
      </w:pPr>
      <w:r>
        <w:t xml:space="preserve">II-E Transfer Protocol and Statistical Testing</w:t>
      </w:r>
    </w:p>
    <w:p>
      <w:pPr>
        <w:pStyle w:val="FirstParagraph"/>
      </w:pPr>
      <w:r>
        <w:t xml:space="preserve">Models are trained on NASA, CALCE, or their combination and evaluated</w:t>
      </w:r>
      <w:r>
        <w:t xml:space="preserve"> </w:t>
      </w:r>
      <w:r>
        <w:t xml:space="preserve">per cell on Oxford and Severson, with pooled results accompanied by</w:t>
      </w:r>
      <w:r>
        <w:t xml:space="preserve"> </w:t>
      </w:r>
      <w:r>
        <w:t xml:space="preserve">cell-level bootstrap 95% confidence intervals (resampling cells, not</w:t>
      </w:r>
      <w:r>
        <w:t xml:space="preserve"> </w:t>
      </w:r>
      <w:r>
        <w:t xml:space="preserve">cycles). We consider two feature settings, the full feature set and</w:t>
      </w:r>
      <w:r>
        <w:t xml:space="preserve"> </w:t>
      </w:r>
      <w:r>
        <w:t xml:space="preserve">SOH removed, to test whether cross-chemistry performance reflects</w:t>
      </w:r>
      <w:r>
        <w:t xml:space="preserve"> </w:t>
      </w:r>
      <w:r>
        <w:t xml:space="preserve">transferable degradation or mainly depends on SOH, and additionally a</w:t>
      </w:r>
      <w:r>
        <w:t xml:space="preserve"> </w:t>
      </w:r>
      <w:r>
        <w:t xml:space="preserve">distance-to-threshold baseline that scores each cycle by the unfitted</w:t>
      </w:r>
      <w:r>
        <w:t xml:space="preserve"> </w:t>
      </w:r>
      <w:r>
        <w:t xml:space="preserve">rule</w:t>
      </w:r>
      <w:r>
        <w:t xml:space="preserve"> </w:t>
      </w:r>
      <m:oMath>
        <m:r>
          <m:t>0.80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t xml:space="preserve">, which is the correct first baseline if the</w:t>
      </w:r>
      <w:r>
        <w:t xml:space="preserve"> </w:t>
      </w:r>
      <w:r>
        <w:t xml:space="preserve">health state itself is what transfers. Significance is assessed with</w:t>
      </w:r>
      <w:r>
        <w:t xml:space="preserve"> </w:t>
      </w:r>
      <w:r>
        <w:t xml:space="preserve">the DeLong test [22] as secondary evidence only: the test</w:t>
      </w:r>
      <w:r>
        <w:t xml:space="preserve"> </w:t>
      </w:r>
      <w:r>
        <w:t xml:space="preserve">treats cycle-level predictions as independent despite within-cell</w:t>
      </w:r>
      <w:r>
        <w:t xml:space="preserve"> </w:t>
      </w:r>
      <w:r>
        <w:t xml:space="preserve">correlation, which can produce anti-conservative inference and</w:t>
      </w:r>
      <w:r>
        <w:t xml:space="preserve"> </w:t>
      </w:r>
      <w:r>
        <w:t xml:space="preserve">artificially small</w:t>
      </w:r>
      <w:r>
        <w:t xml:space="preserve"> </w:t>
      </w:r>
      <m:oMath>
        <m:r>
          <m:t>p</m:t>
        </m:r>
      </m:oMath>
      <w:r>
        <w:t xml:space="preserve">-values (pseudoreplication). We therefore use</w:t>
      </w:r>
      <w:r>
        <w:t xml:space="preserve"> </w:t>
      </w:r>
      <w:r>
        <w:t xml:space="preserve">DeLong only as a directional consistency check.</w:t>
      </w:r>
    </w:p>
    <w:bookmarkEnd w:id="19"/>
    <w:bookmarkEnd w:id="20"/>
    <w:bookmarkStart w:id="47" w:name="iii.-results-and-discussion"/>
    <w:p>
      <w:pPr>
        <w:pStyle w:val="Heading1"/>
      </w:pPr>
      <w:r>
        <w:t xml:space="preserve">III. Results and Discussion</w:t>
      </w:r>
    </w:p>
    <w:bookmarkStart w:id="27" w:name="iii-a-within-dataset-reliability"/>
    <w:p>
      <w:pPr>
        <w:pStyle w:val="Heading2"/>
      </w:pPr>
      <w:r>
        <w:t xml:space="preserve">III-A Within-Dataset Reliability</w:t>
      </w:r>
    </w:p>
    <w:p>
      <w:pPr>
        <w:pStyle w:val="FirstParagraph"/>
      </w:pPr>
      <w:r>
        <w:t xml:space="preserve">Table II reports fold-mean Platt-calibrated AUC per</w:t>
      </w:r>
      <w:r>
        <w:t xml:space="preserve"> </w:t>
      </w:r>
      <w:r>
        <w:t xml:space="preserve">horizon. All 32 model–horizon–dataset combinations reach a fold-mean</w:t>
      </w:r>
      <w:r>
        <w:t xml:space="preserve"> </w:t>
      </w:r>
      <w:r>
        <w:t xml:space="preserve">AUC of at least 0.85 under the clean protocol</w:t>
      </w:r>
      <w:r>
        <w:t xml:space="preserve"> </w:t>
      </w:r>
      <w:r>
        <w:t xml:space="preserve">(Fig. 2); the GRU shows the largest fold-to-fold</w:t>
      </w:r>
      <w:r>
        <w:t xml:space="preserve"> </w:t>
      </w:r>
      <w:r>
        <w:t xml:space="preserve">variance while the tree ensembles remain stable, and Brier scores stay</w:t>
      </w:r>
      <w:r>
        <w:t xml:space="preserve"> </w:t>
      </w:r>
      <w:r>
        <w:t xml:space="preserve">low. Platt calibration preserves these rankings at comparable</w:t>
      </w:r>
      <w:r>
        <w:t xml:space="preserve"> </w:t>
      </w:r>
      <w:r>
        <w:t xml:space="preserve">calibration error (Table III).</w:t>
      </w:r>
    </w:p>
    <w:bookmarkStart w:id="21" w:name="tab:within"/>
    <w:p>
      <w:pPr>
        <w:pStyle w:val="TableCaption"/>
      </w:pPr>
      <w:r>
        <w:t xml:space="preserve">Within-Dataset AUC and Brier Score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ithin-Dataset AUC and Brier Score"/>
        <w:tblBorders>
          <w:top w:val="single" w:sz="8" w:color="000000"/>
          <w:bottom w:val="single" w:sz="8" w:color="000000"/>
          <w:left w:val="none"/>
          <w:right w:val="none"/>
          <w:insideH w:val="none"/>
          <w:insideV w:val="none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Model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Dataset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H=10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H=20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H=30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H=50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Mean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Brier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XGBoost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0.903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0.899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0.910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0.918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0.907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0.182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XGBoost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0.965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0.967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0.967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0.943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0.961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0.075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LightGBM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0.912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0.909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0.892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0.901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0.903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0.206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LightGBM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0.967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0.968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0.943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0.942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0.955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0.075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Random Forest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0.911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0.901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0.912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0.927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0.913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0.201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Random Forest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0.934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0.933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0.917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0.903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0.922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0.070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GRU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0.872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0.893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0.884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0.856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0.876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0.307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GRU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0.952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0.959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0.935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0.921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0.942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0.130</w:t>
            </w:r>
          </w:p>
        </w:tc>
      </w:tr>
    </w:tbl>
    <w:bookmarkEnd w:id="21"/>
    <w:bookmarkStart w:id="25" w:name="fig:horizons"/>
    <w:p>
      <w:pPr>
        <w:pStyle w:val="CaptionedFigure"/>
        <w:jc w:val="center"/>
      </w:pPr>
      <w:r>
        <w:drawing>
          <wp:inline>
            <wp:extent cx="5334000" cy="2584302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s/fig_within_horizon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4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Within-dataset fold-mean Platt AUC across horizons.</w:t>
      </w:r>
    </w:p>
    <w:bookmarkEnd w:id="25"/>
    <w:bookmarkStart w:id="26" w:name="tab:calibration"/>
    <w:p>
      <w:pPr>
        <w:pStyle w:val="TableCaption"/>
      </w:pPr>
      <w:r>
        <w:t xml:space="preserve">Calibration Method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libration Method Comparison"/>
        <w:tblBorders>
          <w:top w:val="single" w:sz="8" w:color="000000"/>
          <w:bottom w:val="single" w:sz="8" w:color="000000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Dataset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Method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AUC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Brier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ECE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Slope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Isotonic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0.854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0.207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0.151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0.48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Platt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0.908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0.196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0.136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Temperature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0.908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0.178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0.107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1.22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Isotonic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0.915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0.067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0.049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0.41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Platt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0.946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0.073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0.029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0.01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Temperature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0.945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0.080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0.067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0.53</w:t>
            </w:r>
          </w:p>
        </w:tc>
      </w:tr>
    </w:tbl>
    <w:bookmarkEnd w:id="26"/>
    <w:bookmarkEnd w:id="27"/>
    <w:bookmarkStart w:id="32" w:name="X06d5bd560761010118a1248fdc61b1af468ed74"/>
    <w:p>
      <w:pPr>
        <w:pStyle w:val="Heading2"/>
      </w:pPr>
      <w:r>
        <w:t xml:space="preserve">III-B Calibration: Platt Preserves Discrimination Best</w:t>
      </w:r>
    </w:p>
    <w:p>
      <w:pPr>
        <w:pStyle w:val="FirstParagraph"/>
      </w:pPr>
      <w:r>
        <w:t xml:space="preserve">Table III compares the three calibrators. A fitted</w:t>
      </w:r>
      <w:r>
        <w:t xml:space="preserve"> </w:t>
      </w:r>
      <w:r>
        <w:t xml:space="preserve">calibrator is a monotone re-mapping, so per-fold ranking is preserved</w:t>
      </w:r>
      <w:r>
        <w:t xml:space="preserve"> </w:t>
      </w:r>
      <w:r>
        <w:t xml:space="preserve">up to the ties it introduces and fold-mean AUC differences are small.</w:t>
      </w:r>
      <w:r>
        <w:t xml:space="preserve"> </w:t>
      </w:r>
      <w:r>
        <w:t xml:space="preserve">Isotonic’s tied step groups cost precision–recall, and Platt’s fitted</w:t>
      </w:r>
      <w:r>
        <w:t xml:space="preserve"> </w:t>
      </w:r>
      <w:r>
        <w:t xml:space="preserve">slope on CALCE is only 0.01: under leave-one-cell-out the out-of-fold</w:t>
      </w:r>
      <w:r>
        <w:t xml:space="preserve"> </w:t>
      </w:r>
      <w:r>
        <w:t xml:space="preserve">sigmoid reduces confidence toward the base rate while preserving</w:t>
      </w:r>
      <w:r>
        <w:t xml:space="preserve"> </w:t>
      </w:r>
      <w:r>
        <w:t xml:space="preserve">ranking. Platt therefore preserves discrimination best while achieving</w:t>
      </w:r>
      <w:r>
        <w:t xml:space="preserve"> </w:t>
      </w:r>
      <w:r>
        <w:t xml:space="preserve">calibration error comparable to or better than isotonic, and raw</w:t>
      </w:r>
      <w:r>
        <w:t xml:space="preserve"> </w:t>
      </w:r>
      <w:r>
        <w:t xml:space="preserve">scores remain the safest ranking signal when the operating context is</w:t>
      </w:r>
      <w:r>
        <w:t xml:space="preserve"> </w:t>
      </w:r>
      <w:r>
        <w:t xml:space="preserve">uncertain (Fig. 3).</w:t>
      </w:r>
    </w:p>
    <w:bookmarkStart w:id="31" w:name="fig:reliability"/>
    <w:p>
      <w:pPr>
        <w:pStyle w:val="CaptionedFigure"/>
        <w:jc w:val="center"/>
      </w:pPr>
      <w:r>
        <w:drawing>
          <wp:inline>
            <wp:extent cx="5334000" cy="2850497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s/fig_reliability_v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Reliability diagrams under the cross-fitted protocol. (a)</w:t>
      </w:r>
      <w:r>
        <w:t xml:space="preserve"> </w:t>
      </w:r>
      <w:r>
        <w:t xml:space="preserve">Within CALCE. (b) ALL-LCO</w:t>
      </w:r>
      <m:oMath>
        <m:r>
          <m:rPr>
            <m:sty m:val="p"/>
          </m:rPr>
          <m:t>→</m:t>
        </m:r>
      </m:oMath>
      <w:r>
        <w:t xml:space="preserve">Severson without SOH.</w:t>
      </w:r>
    </w:p>
    <w:bookmarkEnd w:id="31"/>
    <w:bookmarkEnd w:id="32"/>
    <w:bookmarkStart w:id="38" w:name="X1e7675d1853bec8bf505d9ff36e4121f83f337d"/>
    <w:p>
      <w:pPr>
        <w:pStyle w:val="Heading2"/>
      </w:pPr>
      <w:r>
        <w:t xml:space="preserve">III-C Cross-Dataset Transfer and the SOH Shortcut</w:t>
      </w:r>
    </w:p>
    <w:p>
      <w:pPr>
        <w:pStyle w:val="FirstParagraph"/>
      </w:pPr>
      <w:r>
        <w:t xml:space="preserve">Table IV reports transfer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with and without</w:t>
      </w:r>
      <w:r>
        <w:t xml:space="preserve"> </w:t>
      </w:r>
      <w:r>
        <w:t xml:space="preserve">SOH as a feature; transfer is reported in raw AUC because calibration</w:t>
      </w:r>
      <w:r>
        <w:t xml:space="preserve"> </w:t>
      </w:r>
      <w:r>
        <w:t xml:space="preserve">parameters are dataset-specific. With SOH included, the tree ensembles</w:t>
      </w:r>
      <w:r>
        <w:t xml:space="preserve"> </w:t>
      </w:r>
      <w:r>
        <w:t xml:space="preserve">reach pooled AUC between 0.85 and 1.00. Removing SOH reduces every</w:t>
      </w:r>
      <w:r>
        <w:t xml:space="preserve"> </w:t>
      </w:r>
      <w:r>
        <w:t xml:space="preserve">tree model substantially: on NASA+CALCE</w:t>
      </w:r>
      <m:oMath>
        <m:r>
          <m:rPr>
            <m:sty m:val="p"/>
          </m:rPr>
          <m:t>→</m:t>
        </m:r>
      </m:oMath>
      <w:r>
        <w:t xml:space="preserve">Oxford, XGBoost falls from</w:t>
      </w:r>
      <w:r>
        <w:t xml:space="preserve"> </w:t>
      </w:r>
      <w:r>
        <w:t xml:space="preserve">0.917 to 0.429, no no-SOH configuration exceeds 0.59 on Oxford or 0.78</w:t>
      </w:r>
      <w:r>
        <w:t xml:space="preserve"> </w:t>
      </w:r>
      <w:r>
        <w:t xml:space="preserve">on Severson, and several configurations fall below 0.5, meaning the</w:t>
      </w:r>
      <w:r>
        <w:t xml:space="preserve"> </w:t>
      </w:r>
      <w:r>
        <w:t xml:space="preserve">remaining sensor features rank the target distribution worse than</w:t>
      </w:r>
      <w:r>
        <w:t xml:space="preserve"> </w:t>
      </w:r>
      <w:r>
        <w:t xml:space="preserve">chance. The GRU is unstable across training seeds under shift</w:t>
      </w:r>
      <w:r>
        <w:t xml:space="preserve"> </w:t>
      </w:r>
      <w:r>
        <w:t xml:space="preserve">(per-cell AUC from 0.21 to 1.00 at fixed settings) and shows no</w:t>
      </w:r>
      <w:r>
        <w:t xml:space="preserve"> </w:t>
      </w:r>
      <w:r>
        <w:t xml:space="preserve">transfer advantage despite using the same common feature set as the</w:t>
      </w:r>
      <w:r>
        <w:t xml:space="preserve"> </w:t>
      </w:r>
      <w:r>
        <w:t xml:space="preserve">trees in the matched comparison. Fig. 4 summarizes</w:t>
      </w:r>
      <w:r>
        <w:t xml:space="preserve"> </w:t>
      </w:r>
      <w:r>
        <w:t xml:space="preserve">the AUC drop caused by removing SOH across all source, target, and</w:t>
      </w:r>
      <w:r>
        <w:t xml:space="preserve"> </w:t>
      </w:r>
      <w:r>
        <w:t xml:space="preserve">model configurations.</w:t>
      </w:r>
    </w:p>
    <w:bookmarkStart w:id="33" w:name="tab:transfer"/>
    <w:p>
      <w:pPr>
        <w:pStyle w:val="TableCaption"/>
      </w:pPr>
      <w:r>
        <w:t xml:space="preserve">Cross-Dataset Transfer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(Pooled Raw AUC)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oss-Dataset Transfer at H{=}20 (Pooled Raw AUC)"/>
        <w:tblBorders>
          <w:top w:val="single" w:sz="8" w:color="000000"/>
          <w:bottom w:val="single" w:sz="8" w:color="000000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Training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Model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Oxford w/ SOH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Oxford no SOH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Severson w/ SOH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Severson no SOH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XGBoost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0.957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0.518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0.871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0.595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LightGBM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1.000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0.533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0.849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0.527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Random Forest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1.000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0.521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0.861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0.674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GRU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0.143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0.152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0.832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0.766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XGBoost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0.850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0.416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0.850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0.682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LightGBM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0.889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0.462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0.863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0.643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Random Forest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0.850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0.501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0.902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0.665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GRU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0.120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0.100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0.777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0.524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NASA+CALCE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XGBoost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0.917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0.429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0.896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0.750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NASA+CALCE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LightGBM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0.971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0.332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0.882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0.718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NASA+CALCE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Random Forest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0.989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0.581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0.889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0.746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NASA+CALCE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GRU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0.053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0.015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0.799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0.748</w:t>
            </w:r>
          </w:p>
        </w:tc>
      </w:tr>
    </w:tbl>
    <w:bookmarkEnd w:id="33"/>
    <w:bookmarkStart w:id="37" w:name="fig:collapse"/>
    <w:p>
      <w:pPr>
        <w:pStyle w:val="CaptionedFigure"/>
        <w:jc w:val="center"/>
      </w:pPr>
      <w:r>
        <w:drawing>
          <wp:inline>
            <wp:extent cx="5334000" cy="275138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igs/fig_collapse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1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Transferability collapse map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20</m:t>
        </m:r>
      </m:oMath>
      <w:r>
        <w:t xml:space="preserve">.</w:t>
      </w:r>
    </w:p>
    <w:bookmarkEnd w:id="37"/>
    <w:p>
      <w:pPr>
        <w:pStyle w:val="BodyText"/>
      </w:pPr>
      <w:r>
        <w:t xml:space="preserve">A first control is the distance-to-threshold rule</w:t>
      </w:r>
      <w:r>
        <w:t xml:space="preserve"> </w:t>
      </w:r>
      <m:oMath>
        <m:r>
          <m:t>0.80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t xml:space="preserve">, which involves no fitting: it transfers to</w:t>
      </w:r>
      <w:r>
        <w:t xml:space="preserve"> </w:t>
      </w:r>
      <w:r>
        <w:t xml:space="preserve">Severson at pooled AUC 0.912 (95% CI [0.84, 1.00]) for the ALL-LCO</w:t>
      </w:r>
      <w:r>
        <w:t xml:space="preserve"> </w:t>
      </w:r>
      <w:r>
        <w:t xml:space="preserve">source, within the confidence range of the tuned ensembles. Most of</w:t>
      </w:r>
      <w:r>
        <w:t xml:space="preserve"> </w:t>
      </w:r>
      <w:r>
        <w:t xml:space="preserve">the apparent transfer is therefore explained by the SOH coordinate</w:t>
      </w:r>
      <w:r>
        <w:t xml:space="preserve"> </w:t>
      </w:r>
      <w:r>
        <w:t xml:space="preserve">itself. The remaining controls are the subject of the next</w:t>
      </w:r>
      <w:r>
        <w:t xml:space="preserve"> </w:t>
      </w:r>
      <w:r>
        <w:t xml:space="preserve">subsection.</w:t>
      </w:r>
    </w:p>
    <w:bookmarkEnd w:id="38"/>
    <w:bookmarkStart w:id="41" w:name="X0a4ac38889bfb5e2ca2b115ac63c229c186713b"/>
    <w:p>
      <w:pPr>
        <w:pStyle w:val="Heading2"/>
      </w:pPr>
      <w:r>
        <w:t xml:space="preserve">III-D Failure-Definition Ablation and Same-Chemistry Controls</w:t>
      </w:r>
    </w:p>
    <w:p>
      <w:pPr>
        <w:pStyle w:val="FirstParagraph"/>
      </w:pPr>
      <w:r>
        <w:t xml:space="preserve">The ablation of Table V relabels failure by a single</w:t>
      </w:r>
      <w:r>
        <w:t xml:space="preserve"> </w:t>
      </w:r>
      <w:r>
        <w:t xml:space="preserve">endpoint at a time (SOH</w:t>
      </w:r>
      <w:r>
        <w:t xml:space="preserve"> </w:t>
      </w:r>
      <m:oMath>
        <m:r>
          <m:rPr>
            <m:sty m:val="p"/>
          </m:rPr>
          <m:t>≤</m:t>
        </m:r>
        <m:r>
          <m:t>0.80</m:t>
        </m:r>
      </m:oMath>
      <w:r>
        <w:t xml:space="preserve"> </w:t>
      </w:r>
      <w:r>
        <w:t xml:space="preserve">only, voltage sag only, or both).</w:t>
      </w:r>
      <w:r>
        <w:t xml:space="preserve"> </w:t>
      </w:r>
      <w:r>
        <w:t xml:space="preserve">With-SOH transfer increases with the share of SOH in the label</w:t>
      </w:r>
      <w:r>
        <w:t xml:space="preserve"> </w:t>
      </w:r>
      <w:r>
        <w:t xml:space="preserve">definition. Under an SOH-only label, transfer to Severson is 0.985;</w:t>
      </w:r>
      <w:r>
        <w:t xml:space="preserve"> </w:t>
      </w:r>
      <w:r>
        <w:t xml:space="preserve">under the combined label it is 0.896; under the voltage-sag label,</w:t>
      </w:r>
      <w:r>
        <w:t xml:space="preserve"> </w:t>
      </w:r>
      <w:r>
        <w:t xml:space="preserve">which SOH does not enter, it is 0.723. The residual with-SOH advantage</w:t>
      </w:r>
      <w:r>
        <w:t xml:space="preserve"> </w:t>
      </w:r>
      <w:r>
        <w:t xml:space="preserve">under the voltage-sag endpoint (0.723 versus 0.611 without SOH) is</w:t>
      </w:r>
      <w:r>
        <w:t xml:space="preserve"> </w:t>
      </w:r>
      <w:r>
        <w:t xml:space="preserve">consistent with SOH retaining some genuine health-state information</w:t>
      </w:r>
      <w:r>
        <w:t xml:space="preserve"> </w:t>
      </w:r>
      <w:r>
        <w:t xml:space="preserve">even when it does not directly define the endpoint.</w:t>
      </w:r>
    </w:p>
    <w:bookmarkStart w:id="39" w:name="tab:faildef"/>
    <w:p>
      <w:pPr>
        <w:pStyle w:val="TableCaption"/>
      </w:pPr>
      <w:r>
        <w:t xml:space="preserve">Failure-Definition Ablation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20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tblCaption w:val="Failure-Definition Ablation at H{=}20"/>
        <w:tblBorders>
          <w:top w:val="single" w:sz="8" w:color="000000"/>
          <w:bottom w:val="single" w:sz="8" w:color="000000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Label endpoint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Oxford w/ SOH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Oxford no SOH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Severson w/ SOH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Severson no SOH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Combined (SOH or sag)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0.917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0.429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0.896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0.750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SOH only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0.995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0.464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0.985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0.759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Voltage sag only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0.723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0.611</w:t>
            </w:r>
          </w:p>
        </w:tc>
      </w:tr>
    </w:tbl>
    <w:bookmarkEnd w:id="39"/>
    <w:bookmarkStart w:id="40" w:name="tab:samechem"/>
    <w:p>
      <w:pPr>
        <w:pStyle w:val="TableCaption"/>
      </w:pPr>
      <w:r>
        <w:t xml:space="preserve">Same-Chemistry Controls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20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tblCaption w:val="Same-Chemistry Controls at H{=}20"/>
        <w:tblBorders>
          <w:top w:val="single" w:sz="8" w:color="000000"/>
          <w:bottom w:val="single" w:sz="8" w:color="000000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Pair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w/ SOH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no SOH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sz w:val="16"/>
              </w:rPr>
              <w:t xml:space="preserve">CALCE (LCO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sz w:val="16"/>
              </w:rPr>
              <w:t xml:space="preserve">LCO)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0.870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0.849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sz w:val="16"/>
              </w:rPr>
              <w:t xml:space="preserve">NASA (LCO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sz w:val="16"/>
              </w:rPr>
              <w:t xml:space="preserve">LCO)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0.543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0.566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Severson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sz w:val="16"/>
              </w:rPr>
              <w:t xml:space="preserve">Oxford (LFP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sz w:val="16"/>
              </w:rPr>
              <w:t xml:space="preserve">LFP)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0.997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0.471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Oxford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sz w:val="16"/>
              </w:rPr>
              <w:t xml:space="preserve">Severson (LFP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sz w:val="16"/>
              </w:rPr>
              <w:t xml:space="preserve">LFP)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0.688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0.500</w:t>
            </w:r>
          </w:p>
        </w:tc>
      </w:tr>
    </w:tbl>
    <w:bookmarkEnd w:id="40"/>
    <w:p>
      <w:pPr>
        <w:pStyle w:val="BodyText"/>
      </w:pPr>
      <w:r>
        <w:t xml:space="preserve">If the collapse were a chemistry effect, transfer should survive when</w:t>
      </w:r>
      <w:r>
        <w:t xml:space="preserve"> </w:t>
      </w:r>
      <w:r>
        <w:t xml:space="preserve">chemistry is held constant; Table VI shows it does</w:t>
      </w:r>
      <w:r>
        <w:t xml:space="preserve"> </w:t>
      </w:r>
      <w:r>
        <w:t xml:space="preserve">not. Severson</w:t>
      </w:r>
      <m:oMath>
        <m:r>
          <m:rPr>
            <m:sty m:val="p"/>
          </m:rPr>
          <m:t>→</m:t>
        </m:r>
      </m:oMath>
      <w:r>
        <w:t xml:space="preserve">Oxford (both LFP) reproduces the pattern of the</w:t>
      </w:r>
      <w:r>
        <w:t xml:space="preserve"> </w:t>
      </w:r>
      <w:r>
        <w:t xml:space="preserve">cross-chemistry shifts: 0.997 with SOH falls to 0.471 without.</w:t>
      </w:r>
      <w:r>
        <w:t xml:space="preserve"> </w:t>
      </w:r>
      <w:r>
        <w:t xml:space="preserve">NASA</w:t>
      </w:r>
      <m:oMath>
        <m:r>
          <m:rPr>
            <m:sty m:val="p"/>
          </m:rPr>
          <m:t>→</m:t>
        </m:r>
      </m:oMath>
      <w:r>
        <w:t xml:space="preserve">CALCE (both LCO) transfers partially even without SOH</w:t>
      </w:r>
      <w:r>
        <w:t xml:space="preserve"> </w:t>
      </w:r>
      <w:r>
        <w:t xml:space="preserve">(0.870 to 0.849), helped by the very different per-cell cycle lives of</w:t>
      </w:r>
      <w:r>
        <w:t xml:space="preserve"> </w:t>
      </w:r>
      <w:r>
        <w:t xml:space="preserve">the two datasets. Conversely, CALCE</w:t>
      </w:r>
      <m:oMath>
        <m:r>
          <m:rPr>
            <m:sty m:val="p"/>
          </m:rPr>
          <m:t>→</m:t>
        </m:r>
      </m:oMath>
      <w:r>
        <w:t xml:space="preserve">NASA stays near chance even</w:t>
      </w:r>
      <w:r>
        <w:t xml:space="preserve"> </w:t>
      </w:r>
      <w:r>
        <w:t xml:space="preserve">with SOH, showing that a small, heterogeneous source limits transfer</w:t>
      </w:r>
      <w:r>
        <w:t xml:space="preserve"> </w:t>
      </w:r>
      <w:r>
        <w:t xml:space="preserve">in both directions. Much of the observed</w:t>
      </w:r>
      <w:r>
        <w:t xml:space="preserve"> </w:t>
      </w:r>
      <w:r>
        <w:t xml:space="preserve">cross-dataset, cross-chemistry discrimination is therefore attributable</w:t>
      </w:r>
      <w:r>
        <w:t xml:space="preserve"> </w:t>
      </w:r>
      <w:r>
        <w:t xml:space="preserve">to SOH, partly because SOH defines the failure criterion itself, and</w:t>
      </w:r>
      <w:r>
        <w:t xml:space="preserve"> </w:t>
      </w:r>
      <w:r>
        <w:t xml:space="preserve">the same-chemistry controls attribute the collapse to dataset shift at</w:t>
      </w:r>
      <w:r>
        <w:t xml:space="preserve"> </w:t>
      </w:r>
      <w:r>
        <w:t xml:space="preserve">least as much as to chemistry.</w:t>
      </w:r>
    </w:p>
    <w:bookmarkEnd w:id="41"/>
    <w:bookmarkStart w:id="43" w:name="Xc81ac68ac4d5a3645870492f4c47bc11f325f66"/>
    <w:p>
      <w:pPr>
        <w:pStyle w:val="Heading2"/>
      </w:pPr>
      <w:r>
        <w:t xml:space="preserve">III-E Multi-Horizon Analysis, Monotonicity, and a Discrete-Time Hazard Model</w:t>
      </w:r>
    </w:p>
    <w:p>
      <w:pPr>
        <w:pStyle w:val="FirstParagraph"/>
      </w:pPr>
      <w:r>
        <w:t xml:space="preserve">Across the fixed-horizon classifiers, fold-mean AUC varies by less than</w:t>
      </w:r>
      <w:r>
        <w:t xml:space="preserve"> </w:t>
      </w:r>
      <w:r>
        <w:t xml:space="preserve">0.05 over</w:t>
      </w:r>
      <w:r>
        <w:t xml:space="preserve"> </w:t>
      </w:r>
      <m:oMath>
        <m:r>
          <m:t>H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}</m:t>
        </m:r>
      </m:oMath>
      <w:r>
        <w:t xml:space="preserve"> </w:t>
      </w:r>
      <w:r>
        <w:t xml:space="preserve">on both training datasets</w:t>
      </w:r>
      <w:r>
        <w:t xml:space="preserve"> </w:t>
      </w:r>
      <w:r>
        <w:t xml:space="preserve">(Fig. 2), with slightly larger variation at short</w:t>
      </w:r>
      <w:r>
        <w:t xml:space="preserve"> </w:t>
      </w:r>
      <w:r>
        <w:t xml:space="preserve">horizons due to class imbalance. Because the four horizons are</w:t>
      </w:r>
      <w:r>
        <w:t xml:space="preserve"> </w:t>
      </w:r>
      <w:r>
        <w:t xml:space="preserve">independent classifiers, cumulative risk coherence is not guaranteed: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20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30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50</m:t>
            </m:r>
          </m:sub>
        </m:sSub>
      </m:oMath>
      <w:r>
        <w:t xml:space="preserve"> </w:t>
      </w:r>
      <w:r>
        <w:t xml:space="preserve">is violated in 32–45% of within-dataset rows and up to 96% of rows</w:t>
      </w:r>
      <w:r>
        <w:t xml:space="preserve"> </w:t>
      </w:r>
      <w:r>
        <w:t xml:space="preserve">on the transferred Severson target.</w:t>
      </w:r>
    </w:p>
    <w:bookmarkStart w:id="42" w:name="tab:hazard"/>
    <w:p>
      <w:pPr>
        <w:pStyle w:val="TableCaption"/>
      </w:pPr>
      <w:r>
        <w:t xml:space="preserve">Fixed-Horizon Versus Hazard Model AUC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xed-Horizon Versus Hazard Model AUC"/>
        <w:tblBorders>
          <w:top w:val="single" w:sz="8" w:color="000000"/>
          <w:bottom w:val="single" w:sz="8" w:color="000000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Setting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Fixed</w:t>
            </w:r>
            <w:r>
              <w:rPr>
                <w:rFonts w:ascii="Times New Roman" w:hAnsi="Times New Roman"/>
                <w:b/>
                <w:bCs/>
                <w:sz w:val="16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Hazard</w:t>
            </w:r>
            <w:r>
              <w:rPr>
                <w:rFonts w:ascii="Times New Roman" w:hAnsi="Times New Roman"/>
                <w:b/>
                <w:bCs/>
                <w:sz w:val="16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Fixed</w:t>
            </w:r>
            <w:r>
              <w:rPr>
                <w:rFonts w:ascii="Times New Roman" w:hAnsi="Times New Roman"/>
                <w:b/>
                <w:bCs/>
                <w:sz w:val="16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50</m:t>
              </m:r>
            </m:oMath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Hazard</w:t>
            </w:r>
            <w:r>
              <w:rPr>
                <w:rFonts w:ascii="Times New Roman" w:hAnsi="Times New Roman"/>
                <w:b/>
                <w:bCs/>
                <w:sz w:val="16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50</m:t>
              </m:r>
            </m:oMath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0.899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0.935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0.918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0.927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0.967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0.893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0.943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0.889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i/>
                <w:iCs/>
                <w:sz w:val="16"/>
              </w:rPr>
              <w:t xml:space="preserve">Oxford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0.957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0.971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i/>
                <w:iCs/>
                <w:sz w:val="16"/>
              </w:rPr>
              <w:t xml:space="preserve">Severson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0.871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0.884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i/>
                <w:iCs/>
                <w:sz w:val="16"/>
              </w:rPr>
              <w:t xml:space="preserve">Oxford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0.850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0.466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i/>
                <w:iCs/>
                <w:sz w:val="16"/>
              </w:rPr>
              <w:t xml:space="preserve">Severson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0.850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0.737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NASA+CALCE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i/>
                <w:iCs/>
                <w:sz w:val="16"/>
              </w:rPr>
              <w:t xml:space="preserve">Oxford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0.917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0.314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NASA+CALCE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i/>
                <w:iCs/>
                <w:sz w:val="16"/>
              </w:rPr>
              <w:t xml:space="preserve">Severson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0.896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0.866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—</w:t>
            </w:r>
          </w:p>
        </w:tc>
      </w:tr>
    </w:tbl>
    <w:bookmarkEnd w:id="42"/>
    <w:p>
      <w:pPr>
        <w:pStyle w:val="BodyText"/>
      </w:pPr>
      <w:r>
        <w:t xml:space="preserve">We therefore also fit an explicit discrete-time hazard model. For each</w:t>
      </w:r>
      <w:r>
        <w:t xml:space="preserve"> </w:t>
      </w:r>
      <w:r>
        <w:t xml:space="preserve">observed cycle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offset</w:t>
      </w:r>
      <w:r>
        <w:t xml:space="preserve"> </w:t>
      </w:r>
      <m:oMath>
        <m:r>
          <m:t>ℓ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50</m:t>
        </m:r>
      </m:oMath>
      <w:r>
        <w:t xml:space="preserve">,</w:t>
      </w:r>
      <w:r>
        <w:t xml:space="preserve"> </w:t>
      </w:r>
      <w:r>
        <w:t xml:space="preserve">the hazard conditional on the features measured 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(operational: no</w:t>
      </w:r>
      <w:r>
        <w:t xml:space="preserve"> </w:t>
      </w:r>
      <w:r>
        <w:t xml:space="preserve">future measurements) is</w:t>
      </w:r>
    </w:p>
    <w:p>
      <w:pPr>
        <w:pStyle w:val="BodyText"/>
        <w:jc w:val="center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ℓ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ℓ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ℓ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(7)</m:t>
          </m:r>
        </m:oMath>
      </m:oMathPara>
    </w:p>
    <w:p>
      <w:pPr>
        <w:pStyle w:val="FirstParagraph"/>
      </w:pPr>
      <w:r>
        <w:t xml:space="preserve">estimated by one pooled classifier on the offset-expanded at-risk</w:t>
      </w:r>
      <w:r>
        <w:t xml:space="preserve"> </w:t>
      </w:r>
      <w:r>
        <w:t xml:space="preserve">training rows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t>ℓ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as an additional input</w:t>
      </w:r>
      <w:r>
        <w:t xml:space="preserve"> </w:t>
      </w:r>
      <w:r>
        <w:t xml:space="preserve">feature. Cumulative failure risk follows the survival product</w:t>
      </w:r>
    </w:p>
    <w:p>
      <w:pPr>
        <w:pStyle w:val="BodyText"/>
        <w:jc w:val="center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ℓ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H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b>
                      <m:r>
                        <m:t>ℓ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(8)</m:t>
          </m:r>
        </m:oMath>
      </m:oMathPara>
    </w:p>
    <w:p>
      <w:pPr>
        <w:pStyle w:val="FirstParagraph"/>
      </w:pPr>
      <w:r>
        <w:t xml:space="preserve">which is monotone non-decreasing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by construction and yields all</w:t>
      </w:r>
      <w:r>
        <w:t xml:space="preserve"> </w:t>
      </w:r>
      <w:r>
        <w:t xml:space="preserve">four horizons from a single fit (Table VII). Within datasets the survival product matches</w:t>
      </w:r>
      <w:r>
        <w:t xml:space="preserve"> </w:t>
      </w:r>
      <w:r>
        <w:t xml:space="preserve">the fixed-horizon classifier at no cost. Under transfer it inherits the</w:t>
      </w:r>
      <w:r>
        <w:t xml:space="preserve"> </w:t>
      </w:r>
      <w:r>
        <w:t xml:space="preserve">same SOH dependence as every other model, because formulating the</w:t>
      </w:r>
      <w:r>
        <w:t xml:space="preserve"> </w:t>
      </w:r>
      <w:r>
        <w:t xml:space="preserve">output does not exempt the inputs from dataset shift, and behaves</w:t>
      </w:r>
      <w:r>
        <w:t xml:space="preserve"> </w:t>
      </w:r>
      <w:r>
        <w:t xml:space="preserve">source-dependently (0.97 down to 0.31 pooled on Oxford). Its</w:t>
      </w:r>
      <w:r>
        <w:t xml:space="preserve"> </w:t>
      </w:r>
      <w:r>
        <w:t xml:space="preserve">monotonicity violation rate is zero by construction.</w:t>
      </w:r>
    </w:p>
    <w:bookmarkEnd w:id="43"/>
    <w:bookmarkStart w:id="46" w:name="iii-f-operational-threshold-evaluation"/>
    <w:p>
      <w:pPr>
        <w:pStyle w:val="Heading2"/>
      </w:pPr>
      <w:r>
        <w:t xml:space="preserve">III-F Operational Threshold Evaluation</w:t>
      </w:r>
    </w:p>
    <w:p>
      <w:pPr>
        <w:pStyle w:val="FirstParagraph"/>
      </w:pPr>
      <w:r>
        <w:t xml:space="preserve">AUC weights all errors equally, whereas a BMS must trade false</w:t>
      </w:r>
      <w:r>
        <w:t xml:space="preserve"> </w:t>
      </w:r>
      <w:r>
        <w:t xml:space="preserve">negatives against false positives. We select the decision</w:t>
      </w:r>
      <w:r>
        <w:t xml:space="preserve"> </w:t>
      </w:r>
      <w:r>
        <w:t xml:space="preserve">threshold on source out-of-fold scores with a 10% false-alarm budget</w:t>
      </w:r>
      <w:r>
        <w:t xml:space="preserve"> </w:t>
      </w:r>
      <w:r>
        <w:t xml:space="preserve">and apply it unchanged to the target (Table VIII).</w:t>
      </w:r>
      <w:r>
        <w:t xml:space="preserve"> </w:t>
      </w:r>
      <w:r>
        <w:t xml:space="preserve">On Severson with SOH, the transferred threshold misses 32% of target</w:t>
      </w:r>
      <w:r>
        <w:t xml:space="preserve"> </w:t>
      </w:r>
      <w:r>
        <w:t xml:space="preserve">failures while holding false alarms to 4%; without SOH the miss rate</w:t>
      </w:r>
      <w:r>
        <w:t xml:space="preserve"> </w:t>
      </w:r>
      <w:r>
        <w:t xml:space="preserve">rises to 70% with the full budget spent. The three score types differ</w:t>
      </w:r>
      <w:r>
        <w:t xml:space="preserve"> </w:t>
      </w:r>
      <w:r>
        <w:t xml:space="preserve">only marginally in this setting. On Oxford, nearly every row is</w:t>
      </w:r>
      <w:r>
        <w:t xml:space="preserve"> </w:t>
      </w:r>
      <w:r>
        <w:t xml:space="preserve">positive under the coarse pooled labels, so no discriminating</w:t>
      </w:r>
      <w:r>
        <w:t xml:space="preserve"> </w:t>
      </w:r>
      <w:r>
        <w:t xml:space="preserve">operating point exists (Section II-B).</w:t>
      </w:r>
    </w:p>
    <w:bookmarkStart w:id="44" w:name="tab:operational"/>
    <w:p>
      <w:pPr>
        <w:pStyle w:val="TableCaption"/>
      </w:pPr>
      <w:r>
        <w:t xml:space="preserve">Operational Evaluation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(FNR% / FPR%)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erational Evaluation at H{=}20 (FNR% / FPR%)"/>
        <w:tblBorders>
          <w:top w:val="single" w:sz="8" w:color="000000"/>
          <w:bottom w:val="single" w:sz="8" w:color="000000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Target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Features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raw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Platt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Isotonic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Oxford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with SOH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 / 93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 / 93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 / 93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Oxford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no SOH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 / 92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 / 92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 / 92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Severson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with SOH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32 / 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32 / 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31 / 6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Severson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no SOH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70 / 10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70 / 10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67 / 12</w:t>
            </w:r>
          </w:p>
        </w:tc>
      </w:tr>
    </w:tbl>
    <w:bookmarkEnd w:id="44"/>
    <w:bookmarkStart w:id="45" w:name="tab:soh"/>
    <w:p>
      <w:pPr>
        <w:pStyle w:val="TableCaption"/>
      </w:pPr>
      <w:r>
        <w:t xml:space="preserve">SOH Ablation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(Bootstrap CI, DeLong</w:t>
      </w:r>
      <w:r>
        <w:t xml:space="preserve"> </w:t>
      </w:r>
      <m:oMath>
        <m:r>
          <m:t>p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OH Ablation at H{=}20 (Bootstrap CI, DeLong p)"/>
        <w:tblBorders>
          <w:top w:val="single" w:sz="8" w:color="000000"/>
          <w:bottom w:val="single" w:sz="8" w:color="000000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Target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Model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w/ SOH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w/o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rPr>
                <w:rFonts w:ascii="Times New Roman" w:hAnsi="Times New Roman"/>
                <w:b/>
                <w:bCs/>
                <w:sz w:val="16"/>
              </w:rPr>
              <w:t xml:space="preserve">AUC [95% CI]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DeLong</w:t>
            </w:r>
            <w:r>
              <w:rPr>
                <w:rFonts w:ascii="Times New Roman" w:hAnsi="Times New Roman"/>
                <w:b/>
                <w:bCs/>
                <w:sz w:val="16"/>
              </w:rP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Oxford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XGBoost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0.917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0.429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+0.488 [NA; n=5]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m:oMath>
              <m:r>
                <m:t>7.2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51</m:t>
              </m:r>
            </m:oMath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Oxford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LightGBM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0.971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0.332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+0.639 [NA; n=5]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m:oMath>
              <m:r>
                <m:t>2.6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64</m:t>
              </m:r>
            </m:oMath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Oxford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Random Forest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0.989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0.581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+0.409 [NA; n=5]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m:oMath>
              <m:r>
                <m:t>6.5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36</m:t>
              </m:r>
            </m:oMath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Severson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XGBoost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0.896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0.750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+0.146 [0.10, 0.23]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300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Severson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LightGBM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0.882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0.718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+0.164 [0.13, 0.23]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300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Severson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Random Forest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0.889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0.746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+0.143 [0.11, 0.23]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300</m:t>
                  </m:r>
                </m:sup>
              </m:sSup>
            </m:oMath>
          </w:p>
        </w:tc>
      </w:tr>
    </w:tbl>
    <w:bookmarkEnd w:id="45"/>
    <w:p>
      <w:pPr>
        <w:pStyle w:val="BodyText"/>
      </w:pPr>
      <w:r>
        <w:t xml:space="preserve">Table IX states the central comparison with the cell as the</w:t>
      </w:r>
      <w:r>
        <w:t xml:space="preserve"> </w:t>
      </w:r>
      <w:r>
        <w:t xml:space="preserve">experimental unit. On Severson the bootstrap interval on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AUC</w:t>
      </w:r>
      <w:r>
        <w:t xml:space="preserve"> </w:t>
      </w:r>
      <w:r>
        <w:t xml:space="preserve">excludes zero by a wide margin for every model. On Oxford the</w:t>
      </w:r>
      <w:r>
        <w:t xml:space="preserve"> </w:t>
      </w:r>
      <w:r>
        <w:t xml:space="preserve">equivalent interval is uninformative (five cells, effectively four),</w:t>
      </w:r>
      <w:r>
        <w:t xml:space="preserve"> </w:t>
      </w:r>
      <w:r>
        <w:t xml:space="preserve">so the cycle-level DeLong</w:t>
      </w:r>
      <w:r>
        <w:t xml:space="preserve"> </w:t>
      </w:r>
      <m:oMath>
        <m:r>
          <m:t>p</m:t>
        </m:r>
      </m:oMath>
      <w:r>
        <w:t xml:space="preserve">-values, which treat correlated cycles</w:t>
      </w:r>
      <w:r>
        <w:t xml:space="preserve"> </w:t>
      </w:r>
      <w:r>
        <w:t xml:space="preserve">as independent and can therefore be anti-conservatively small under</w:t>
      </w:r>
      <w:r>
        <w:t xml:space="preserve"> </w:t>
      </w:r>
      <w:r>
        <w:t xml:space="preserve">pseudoreplication, are not used as primary evidence. Within-dataset</w:t>
      </w:r>
      <w:r>
        <w:t xml:space="preserve"> </w:t>
      </w:r>
      <w:r>
        <w:t xml:space="preserve">model comparisons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mostly not significant after honest</w:t>
      </w:r>
      <w:r>
        <w:t xml:space="preserve"> </w:t>
      </w:r>
      <w:r>
        <w:t xml:space="preserve">accounting (DeLong on pooled rows: XGBoost vs. LightGBM</w:t>
      </w:r>
      <w:r>
        <w:t xml:space="preserve"> </w:t>
      </w:r>
      <m:oMath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on NASA,</w:t>
      </w:r>
      <w:r>
        <w:t xml:space="preserve"> </w:t>
      </w:r>
      <m:oMath>
        <m:r>
          <m:t>6.9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28</m:t>
            </m:r>
          </m:sup>
        </m:sSup>
      </m:oMath>
      <w:r>
        <w:t xml:space="preserve"> </w:t>
      </w:r>
      <w:r>
        <w:t xml:space="preserve">on CALCE; XGBoost vs. Random Forest</w:t>
      </w:r>
      <w:r>
        <w:t xml:space="preserve"> </w:t>
      </w:r>
      <m:oMath>
        <m:r>
          <m:t>3.3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8.5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), so no architecture</w:t>
      </w:r>
      <w:r>
        <w:t xml:space="preserve"> </w:t>
      </w:r>
      <w:r>
        <w:t xml:space="preserve">superiority is claimed.</w:t>
      </w:r>
    </w:p>
    <w:bookmarkEnd w:id="46"/>
    <w:bookmarkEnd w:id="47"/>
    <w:bookmarkStart w:id="48" w:name="iv.-conclusion"/>
    <w:p>
      <w:pPr>
        <w:pStyle w:val="Heading1"/>
      </w:pPr>
      <w:r>
        <w:t xml:space="preserve">IV. Conclusion</w:t>
      </w:r>
    </w:p>
    <w:p>
      <w:pPr>
        <w:pStyle w:val="FirstParagraph"/>
      </w:pPr>
      <w:r>
        <w:t xml:space="preserve">This paper presented a multi-horizon failure-risk framework for</w:t>
      </w:r>
      <w:r>
        <w:t xml:space="preserve"> </w:t>
      </w:r>
      <w:r>
        <w:t xml:space="preserve">predicting lithium-ion battery failure across multiple datasets and</w:t>
      </w:r>
      <w:r>
        <w:t xml:space="preserve"> </w:t>
      </w:r>
      <w:r>
        <w:t xml:space="preserve">chemistries, and used it to run a validity analysis rather than only a</w:t>
      </w:r>
      <w:r>
        <w:t xml:space="preserve"> </w:t>
      </w:r>
      <w:r>
        <w:t xml:space="preserve">benchmark. Under cell-disjoint evaluation with leakage-free</w:t>
      </w:r>
      <w:r>
        <w:t xml:space="preserve"> </w:t>
      </w:r>
      <w:r>
        <w:t xml:space="preserve">cross-fitted calibration, within-dataset performance is uniformly</w:t>
      </w:r>
      <w:r>
        <w:t xml:space="preserve"> </w:t>
      </w:r>
      <w:r>
        <w:t xml:space="preserve">strong (fold-mean AUC</w:t>
      </w:r>
      <w:r>
        <w:t xml:space="preserve"> </w:t>
      </w:r>
      <m:oMath>
        <m:r>
          <m:rPr>
            <m:sty m:val="p"/>
          </m:rPr>
          <m:t>≥</m:t>
        </m:r>
        <m:r>
          <m:t>0.85</m:t>
        </m:r>
      </m:oMath>
      <w:r>
        <w:t xml:space="preserve"> </w:t>
      </w:r>
      <w:r>
        <w:t xml:space="preserve">in all 32 model–horizon–dataset</w:t>
      </w:r>
      <w:r>
        <w:t xml:space="preserve"> </w:t>
      </w:r>
      <w:r>
        <w:t xml:space="preserve">combinations). The cross-dataset results support a narrower and more</w:t>
      </w:r>
      <w:r>
        <w:t xml:space="preserve"> </w:t>
      </w:r>
      <w:r>
        <w:t xml:space="preserve">useful conclusion than apparent transfer success suggests: much of the</w:t>
      </w:r>
      <w:r>
        <w:t xml:space="preserve"> </w:t>
      </w:r>
      <w:r>
        <w:t xml:space="preserve">observed cross-dataset, cross-chemistry discrimination is attributable</w:t>
      </w:r>
      <w:r>
        <w:t xml:space="preserve"> </w:t>
      </w:r>
      <w:r>
        <w:t xml:space="preserve">to SOH, partly because SOH defines the failure criterion itself</w:t>
      </w:r>
      <w:r>
        <w:t xml:space="preserve"> </w:t>
      </w:r>
      <w:r>
        <w:t xml:space="preserve">(quantified by the failure-endpoint ablation), rather than to</w:t>
      </w:r>
      <w:r>
        <w:t xml:space="preserve"> </w:t>
      </w:r>
      <w:r>
        <w:t xml:space="preserve">degradation information in the remaining measured features, and</w:t>
      </w:r>
      <w:r>
        <w:t xml:space="preserve"> </w:t>
      </w:r>
      <w:r>
        <w:t xml:space="preserve">same-chemistry controls attribute the collapse to dataset shift at</w:t>
      </w:r>
      <w:r>
        <w:t xml:space="preserve"> </w:t>
      </w:r>
      <w:r>
        <w:t xml:space="preserve">least as much as to chemistry. Platt scaling preserves discrimination</w:t>
      </w:r>
      <w:r>
        <w:t xml:space="preserve"> </w:t>
      </w:r>
      <w:r>
        <w:t xml:space="preserve">best at comparable calibration error, though no source-fitted</w:t>
      </w:r>
      <w:r>
        <w:t xml:space="preserve"> </w:t>
      </w:r>
      <w:r>
        <w:t xml:space="preserve">calibrator repairs calibration on the shifted target.</w:t>
      </w:r>
    </w:p>
    <w:p>
      <w:pPr>
        <w:pStyle w:val="BodyText"/>
      </w:pPr>
      <w:r>
        <w:t xml:space="preserve">Several limitations bound these claims: the fixed-horizon</w:t>
      </w:r>
      <w:r>
        <w:t xml:space="preserve"> </w:t>
      </w:r>
      <w:r>
        <w:t xml:space="preserve">classifiers have no enforced monotonicity across horizons; Oxford’s</w:t>
      </w:r>
      <w:r>
        <w:t xml:space="preserve"> </w:t>
      </w:r>
      <w:r>
        <w:t xml:space="preserve">coarse 100-cycle sampling limits it to pooled-detection use; CALCE</w:t>
      </w:r>
      <w:r>
        <w:t xml:space="preserve"> </w:t>
      </w:r>
      <w:r>
        <w:t xml:space="preserve">contributes only seven cells; cross-chemistry evaluation covered LCO</w:t>
      </w:r>
      <w:r>
        <w:t xml:space="preserve"> </w:t>
      </w:r>
      <w:r>
        <w:t xml:space="preserve">and LFP only; and all datasets are laboratory-scale. Future work will</w:t>
      </w:r>
      <w:r>
        <w:t xml:space="preserve"> </w:t>
      </w:r>
      <w:r>
        <w:t xml:space="preserve">extend the framework to minimal-feature baselines as standard</w:t>
      </w:r>
      <w:r>
        <w:t xml:space="preserve"> </w:t>
      </w:r>
      <w:r>
        <w:t xml:space="preserve">practice, controlled same-laboratory cross-chemistry campaigns,</w:t>
      </w:r>
      <w:r>
        <w:t xml:space="preserve"> </w:t>
      </w:r>
      <w:r>
        <w:t xml:space="preserve">continuous time-to-failure modeling, and validation on large-scale</w:t>
      </w:r>
      <w:r>
        <w:t xml:space="preserve"> </w:t>
      </w:r>
      <w:r>
        <w:t xml:space="preserve">industrial datasets.</w:t>
      </w:r>
    </w:p>
    <w:bookmarkEnd w:id="48"/>
    <w:bookmarkStart w:id="49" w:name="acknowledgment"/>
    <w:p>
      <w:pPr>
        <w:pStyle w:val="Heading1"/>
      </w:pPr>
      <w:r>
        <w:t xml:space="preserve">Acknowledgment</w:t>
      </w:r>
    </w:p>
    <w:p>
      <w:pPr>
        <w:pStyle w:val="FirstParagraph"/>
      </w:pPr>
      <w:r>
        <w:t xml:space="preserve">The authors would like to acknowledge the use of writing-support and</w:t>
      </w:r>
      <w:r>
        <w:t xml:space="preserve"> </w:t>
      </w:r>
      <w:r>
        <w:t xml:space="preserve">language-enhancement tools, including OpenAI ChatGPT, Grammarly, and</w:t>
      </w:r>
      <w:r>
        <w:t xml:space="preserve"> </w:t>
      </w:r>
      <w:r>
        <w:t xml:space="preserve">QuillBot, during the preparation of this manuscript. These tools were</w:t>
      </w:r>
      <w:r>
        <w:t xml:space="preserve"> </w:t>
      </w:r>
      <w:r>
        <w:t xml:space="preserve">used to assist with grammar correction, readability improvement,</w:t>
      </w:r>
      <w:r>
        <w:t xml:space="preserve"> </w:t>
      </w:r>
      <w:r>
        <w:t xml:space="preserve">language refinement, and sentence restructuring. All technical</w:t>
      </w:r>
      <w:r>
        <w:t xml:space="preserve"> </w:t>
      </w:r>
      <w:r>
        <w:t xml:space="preserve">content, analysis, interpretations, and research contributions are</w:t>
      </w:r>
      <w:r>
        <w:t xml:space="preserve"> </w:t>
      </w:r>
      <w:r>
        <w:t xml:space="preserve">those of the authors.</w:t>
      </w:r>
    </w:p>
    <w:p>
      <w:pPr>
        <w:pStyle w:val="BodyText"/>
      </w:pPr>
      <w:r>
        <w:t xml:space="preserve">M. Berecibar, I. Gandiaga, I. Villarreal, N. Omar, J. Van Mierlo, and P. Van den Bossche,</w:t>
      </w:r>
      <w:r>
        <w:t xml:space="preserve"> </w:t>
      </w:r>
      <w:r>
        <w:t xml:space="preserve">“Critical review of state of health estimation methods of Li-ion batteries for real applications,”</w:t>
      </w:r>
      <w:r>
        <w:t xml:space="preserve"> </w:t>
      </w:r>
      <w:r>
        <w:rPr>
          <w:i/>
          <w:iCs/>
        </w:rPr>
        <w:t xml:space="preserve">Renewable and Sustainable Energy Reviews</w:t>
      </w:r>
      <w:r>
        <w:t xml:space="preserve">, vol. 56, pp. 572–587, 2016, doi: 10.1016/j.rser.2015.11.042.</w:t>
      </w:r>
    </w:p>
    <w:p>
      <w:pPr>
        <w:pStyle w:val="BodyText"/>
      </w:pPr>
      <w:r>
        <w:t xml:space="preserve">G. Xu, J. Xu, and Y. Zhu,</w:t>
      </w:r>
      <w:r>
        <w:t xml:space="preserve"> </w:t>
      </w:r>
      <w:r>
        <w:t xml:space="preserve">“LSTM-based estimation of lithium-ion battery SOH using data characteristics and spatio-temporal attention,”</w:t>
      </w:r>
      <w:r>
        <w:t xml:space="preserve"> </w:t>
      </w:r>
      <w:r>
        <w:rPr>
          <w:i/>
          <w:iCs/>
        </w:rPr>
        <w:t xml:space="preserve">PLoS ONE</w:t>
      </w:r>
      <w:r>
        <w:t xml:space="preserve">, vol. 19, no. 12, Art. no. e0312856, 2024, doi: 10.1371/journal.pone.0312856.</w:t>
      </w:r>
    </w:p>
    <w:p>
      <w:pPr>
        <w:pStyle w:val="BodyText"/>
      </w:pPr>
      <w:r>
        <w:t xml:space="preserve">B. Bairwa, K. Pareek, and V. K. Jadoun,</w:t>
      </w:r>
      <w:r>
        <w:t xml:space="preserve"> </w:t>
      </w:r>
      <w:r>
        <w:t xml:space="preserve">“Cycle based state of health estimation of lithium-ion cells using deep learning architectures,”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, vol. 15, Art. no. 37078, 2025, doi: 10.1038/s41598-025-20995-7.</w:t>
      </w:r>
    </w:p>
    <w:p>
      <w:pPr>
        <w:pStyle w:val="BodyText"/>
      </w:pPr>
      <w:r>
        <w:t xml:space="preserve">T. Tetik,</w:t>
      </w:r>
      <w:r>
        <w:t xml:space="preserve"> </w:t>
      </w:r>
      <w:r>
        <w:t xml:space="preserve">“Feature engineering and explainable artificial intelligence for state of health estimation of lithium-ion batteries,”</w:t>
      </w:r>
      <w:r>
        <w:t xml:space="preserve"> </w:t>
      </w:r>
      <w:r>
        <w:rPr>
          <w:i/>
          <w:iCs/>
        </w:rPr>
        <w:t xml:space="preserve">Journal of Energy Storage</w:t>
      </w:r>
      <w:r>
        <w:t xml:space="preserve">, vol. 144, Art. no. 119873, 2026, doi: 10.1016/j.est.2025.119873.</w:t>
      </w:r>
    </w:p>
    <w:p>
      <w:pPr>
        <w:pStyle w:val="BodyText"/>
      </w:pPr>
      <w:r>
        <w:t xml:space="preserve">S. Jin, X. Sui, X. Huang, S. Wang, R. Teodorescu, and D.-I. Stroe,</w:t>
      </w:r>
      <w:r>
        <w:t xml:space="preserve"> </w:t>
      </w:r>
      <w:r>
        <w:t xml:space="preserve">“Overview of machine learning methods for lithium-ion battery remaining useful lifetime prediction,”</w:t>
      </w:r>
      <w:r>
        <w:t xml:space="preserve"> </w:t>
      </w:r>
      <w:r>
        <w:rPr>
          <w:i/>
          <w:iCs/>
        </w:rPr>
        <w:t xml:space="preserve">Electronics</w:t>
      </w:r>
      <w:r>
        <w:t xml:space="preserve">, vol. 10, no. 24, Art. no. 3126, 2021, doi: 10.3390/electronics10243126.</w:t>
      </w:r>
    </w:p>
    <w:p>
      <w:pPr>
        <w:pStyle w:val="BodyText"/>
      </w:pPr>
      <w:r>
        <w:t xml:space="preserve">Y. Li, H. Shi, S. Wang, Q. Huang, C. Liu, S. Nie, X. Jia, and T. Luo,</w:t>
      </w:r>
      <w:r>
        <w:t xml:space="preserve"> </w:t>
      </w:r>
      <w:r>
        <w:t xml:space="preserve">“A comprehensive review of remaining useful life prediction methods for lithium-ion batteries: Models, trends, and engineering applications,”</w:t>
      </w:r>
      <w:r>
        <w:t xml:space="preserve"> </w:t>
      </w:r>
      <w:r>
        <w:rPr>
          <w:i/>
          <w:iCs/>
        </w:rPr>
        <w:t xml:space="preserve">Journal of Energy Chemistry</w:t>
      </w:r>
      <w:r>
        <w:t xml:space="preserve">, vol. 112, pp. 384–414, 2026, doi: 10.1016/j.jechem.2025.08.056.</w:t>
      </w:r>
    </w:p>
    <w:p>
      <w:pPr>
        <w:pStyle w:val="BodyText"/>
      </w:pPr>
      <w:r>
        <w:t xml:space="preserve">A. Thelen, X. Huan, N. Paulson, S. Onori, Z. Hu, and C. Hu,</w:t>
      </w:r>
      <w:r>
        <w:t xml:space="preserve"> </w:t>
      </w:r>
      <w:r>
        <w:t xml:space="preserve">“Probabilistic machine learning for battery health diagnostics and prognostics—review and perspectives,”</w:t>
      </w:r>
      <w:r>
        <w:t xml:space="preserve"> </w:t>
      </w:r>
      <w:r>
        <w:rPr>
          <w:i/>
          <w:iCs/>
        </w:rPr>
        <w:t xml:space="preserve">npj Materials Sustainability</w:t>
      </w:r>
      <w:r>
        <w:t xml:space="preserve">, vol. 2, Art. no. 14, 2024, doi: 10.1038/s44296-024-00011-1.</w:t>
      </w:r>
    </w:p>
    <w:p>
      <w:pPr>
        <w:pStyle w:val="BodyText"/>
      </w:pPr>
      <w:r>
        <w:t xml:space="preserve">H. Li,</w:t>
      </w:r>
      <w:r>
        <w:t xml:space="preserve"> </w:t>
      </w:r>
      <w:r>
        <w:t xml:space="preserve">“Battery health prediction of new energy vehicles based on LightGBM,”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Int. Workshop on Advances in Deep Learning for Image Analysis and Computer Vision (IWADIC 2025)</w:t>
      </w:r>
      <w:r>
        <w:t xml:space="preserve">, 2026, pp. 80–89, doi: 10.2991/978-94-6239-648-7_10.</w:t>
      </w:r>
    </w:p>
    <w:p>
      <w:pPr>
        <w:pStyle w:val="BodyText"/>
      </w:pPr>
      <w:r>
        <w:t xml:space="preserve">Z. Wang, Q. Ma, and Y. Guo,</w:t>
      </w:r>
      <w:r>
        <w:t xml:space="preserve"> </w:t>
      </w:r>
      <w:r>
        <w:t xml:space="preserve">“Remaining useful life prediction of lithium-ion batteries based on deep learning and soft sensing,”</w:t>
      </w:r>
      <w:r>
        <w:t xml:space="preserve"> </w:t>
      </w:r>
      <w:r>
        <w:rPr>
          <w:i/>
          <w:iCs/>
        </w:rPr>
        <w:t xml:space="preserve">Actuators</w:t>
      </w:r>
      <w:r>
        <w:t xml:space="preserve">, vol. 10, no. 9, Art. no. 234, 2021, doi: 10.3390/act10090234.</w:t>
      </w:r>
    </w:p>
    <w:p>
      <w:pPr>
        <w:pStyle w:val="BodyText"/>
      </w:pPr>
      <w:r>
        <w:t xml:space="preserve">A. Rastegarpanah, M. E. Asif, and R. Stolkin,</w:t>
      </w:r>
      <w:r>
        <w:t xml:space="preserve"> </w:t>
      </w:r>
      <w:r>
        <w:t xml:space="preserve">“Hybrid neural networks for enhanced predictions of remaining useful life in lithium-ion batteries,”</w:t>
      </w:r>
      <w:r>
        <w:t xml:space="preserve"> </w:t>
      </w:r>
      <w:r>
        <w:rPr>
          <w:i/>
          <w:iCs/>
        </w:rPr>
        <w:t xml:space="preserve">Batteries</w:t>
      </w:r>
      <w:r>
        <w:t xml:space="preserve">, vol. 10, no. 3, Art. no. 106, 2024, doi: 10.3390/batteries10030106.</w:t>
      </w:r>
    </w:p>
    <w:p>
      <w:pPr>
        <w:pStyle w:val="BodyText"/>
      </w:pPr>
      <w:r>
        <w:t xml:space="preserve">L. Sun, X. Huang, J. Liu, J. Song, and S. Wu,</w:t>
      </w:r>
      <w:r>
        <w:t xml:space="preserve"> </w:t>
      </w:r>
      <w:r>
        <w:t xml:space="preserve">“Remaining useful life prediction of lithium batteries based on jump connection multi-scale CNN,”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, vol. 15, Art. no. 32873, 2025, doi: 10.1038/s41598-025-08619-6.</w:t>
      </w:r>
    </w:p>
    <w:p>
      <w:pPr>
        <w:pStyle w:val="BodyText"/>
      </w:pPr>
      <w:r>
        <w:t xml:space="preserve">R. Ibraheem, T. I. Cannings, T. Sell, and G. dos Reis,</w:t>
      </w:r>
      <w:r>
        <w:t xml:space="preserve"> </w:t>
      </w:r>
      <w:r>
        <w:t xml:space="preserve">“Robust survival model for the prediction of Li-ion battery lifetime reliability and risk functions,”</w:t>
      </w:r>
      <w:r>
        <w:t xml:space="preserve"> </w:t>
      </w:r>
      <w:r>
        <w:rPr>
          <w:i/>
          <w:iCs/>
        </w:rPr>
        <w:t xml:space="preserve">Energy and AI</w:t>
      </w:r>
      <w:r>
        <w:t xml:space="preserve">, vol. 19, Art. no. 100465, 2025, doi: 10.1016/j.egyai.2024.100465.</w:t>
      </w:r>
    </w:p>
    <w:p>
      <w:pPr>
        <w:pStyle w:val="BodyText"/>
      </w:pPr>
      <w:r>
        <w:t xml:space="preserve">T. Li, Z. Zhou, A. Thelen, D. A. Howey, and C. Hu,</w:t>
      </w:r>
      <w:r>
        <w:t xml:space="preserve"> </w:t>
      </w:r>
      <w:r>
        <w:t xml:space="preserve">“Predicting battery lifetime under varying usage conditions from early aging data,”</w:t>
      </w:r>
      <w:r>
        <w:t xml:space="preserve"> </w:t>
      </w:r>
      <w:r>
        <w:rPr>
          <w:i/>
          <w:iCs/>
        </w:rPr>
        <w:t xml:space="preserve">Cell Reports Physical Science</w:t>
      </w:r>
      <w:r>
        <w:t xml:space="preserve">, vol. 5, no. 4, Art. no. 101891, 2024, doi: 10.1016/j.xcrp.2024.101891.</w:t>
      </w:r>
    </w:p>
    <w:p>
      <w:pPr>
        <w:pStyle w:val="BodyText"/>
      </w:pPr>
      <w:r>
        <w:t xml:space="preserve">J. Yao, Q. Gao, T. Gao, B. Jiang, and K. M. Powell,</w:t>
      </w:r>
      <w:r>
        <w:t xml:space="preserve"> </w:t>
      </w:r>
      <w:r>
        <w:t xml:space="preserve">“A physics-guided machine learning approach to capacity fading mechanism detection and fading rate prediction using early cycle data,”</w:t>
      </w:r>
      <w:r>
        <w:t xml:space="preserve"> </w:t>
      </w:r>
      <w:r>
        <w:rPr>
          <w:i/>
          <w:iCs/>
        </w:rPr>
        <w:t xml:space="preserve">Batteries</w:t>
      </w:r>
      <w:r>
        <w:t xml:space="preserve">, vol. 10, no. 8, Art. no. 283, 2024, doi: 10.3390/batteries10080283.</w:t>
      </w:r>
    </w:p>
    <w:p>
      <w:pPr>
        <w:pStyle w:val="BodyText"/>
      </w:pPr>
      <w:r>
        <w:t xml:space="preserve">H. Pang, X. Qu, K. Chen, X. Yan, A. F. Burke, and J. Zhao,</w:t>
      </w:r>
      <w:r>
        <w:t xml:space="preserve"> </w:t>
      </w:r>
      <w:r>
        <w:t xml:space="preserve">“A transferable deep learning framework for cross-chemistry and cross-scale state of health estimation in lithium-ion batteries,”</w:t>
      </w:r>
      <w:r>
        <w:t xml:space="preserve"> </w:t>
      </w:r>
      <w:r>
        <w:rPr>
          <w:i/>
          <w:iCs/>
        </w:rPr>
        <w:t xml:space="preserve">Energy</w:t>
      </w:r>
      <w:r>
        <w:t xml:space="preserve">, vol. 354, Art. no. 141079, 2026, doi: 10.1016/j.energy.2026.141079.</w:t>
      </w:r>
    </w:p>
    <w:p>
      <w:pPr>
        <w:pStyle w:val="BodyText"/>
      </w:pPr>
      <w:r>
        <w:t xml:space="preserve">J. C. Platt,</w:t>
      </w:r>
      <w:r>
        <w:t xml:space="preserve"> </w:t>
      </w:r>
      <w:r>
        <w:t xml:space="preserve">“Probabilistic outputs for support vector machines and comparisons to regularized likelihood methods,”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Large Margin Classifiers</w:t>
      </w:r>
      <w:r>
        <w:t xml:space="preserve">, Cambridge, MA, USA: MIT Press, 1999, pp. 61–74.</w:t>
      </w:r>
    </w:p>
    <w:p>
      <w:pPr>
        <w:pStyle w:val="BodyText"/>
      </w:pPr>
      <w:r>
        <w:t xml:space="preserve">B. Zadrozny and C. Elkan,</w:t>
      </w:r>
      <w:r>
        <w:t xml:space="preserve"> </w:t>
      </w:r>
      <w:r>
        <w:t xml:space="preserve">“Transforming classifier scores into accurate multiclass probability estimates,”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8th ACM SIGKDD Int. Conf. Knowledge Discovery and Data Mining</w:t>
      </w:r>
      <w:r>
        <w:t xml:space="preserve">, Edmonton, AB, Canada, 2002, pp. 694–699.</w:t>
      </w:r>
    </w:p>
    <w:p>
      <w:pPr>
        <w:pStyle w:val="BodyText"/>
      </w:pPr>
      <w:r>
        <w:t xml:space="preserve">M. Goldstein, X. Han, A. Puli, and R. Ranganath,</w:t>
      </w:r>
      <w:r>
        <w:t xml:space="preserve"> </w:t>
      </w:r>
      <w:r>
        <w:t xml:space="preserve">“X-CAL: Explicit calibration for survival analysis,”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 33 (NeurIPS 2020)</w:t>
      </w:r>
      <w:r>
        <w:t xml:space="preserve">, 2020, pp. 12759–12771.</w:t>
      </w:r>
    </w:p>
    <w:p>
      <w:pPr>
        <w:pStyle w:val="BodyText"/>
      </w:pPr>
      <w:r>
        <w:t xml:space="preserve">S. M. Lundberg and S.-I. Lee,</w:t>
      </w:r>
      <w:r>
        <w:t xml:space="preserve"> </w:t>
      </w:r>
      <w:r>
        <w:t xml:space="preserve">“A unified approach to interpreting model predictions,”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 30 (NeurIPS 2017)</w:t>
      </w:r>
      <w:r>
        <w:t xml:space="preserve">, 2017, pp. 4768–4777.</w:t>
      </w:r>
    </w:p>
    <w:p>
      <w:pPr>
        <w:pStyle w:val="BodyText"/>
      </w:pPr>
      <w:r>
        <w:t xml:space="preserve">G. dos Reis, C. Strange, M. Yadav, and S. Li,</w:t>
      </w:r>
      <w:r>
        <w:t xml:space="preserve"> </w:t>
      </w:r>
      <w:r>
        <w:t xml:space="preserve">“Lithium-ion battery data and where to find it,”</w:t>
      </w:r>
      <w:r>
        <w:t xml:space="preserve"> </w:t>
      </w:r>
      <w:r>
        <w:rPr>
          <w:i/>
          <w:iCs/>
        </w:rPr>
        <w:t xml:space="preserve">Energy and AI</w:t>
      </w:r>
      <w:r>
        <w:t xml:space="preserve">, vol. 5, Art. no. 100081, 2021, doi: 10.1016/j.egyai.2021.100081.</w:t>
      </w:r>
    </w:p>
    <w:p>
      <w:pPr>
        <w:pStyle w:val="BodyText"/>
      </w:pPr>
      <w:r>
        <w:t xml:space="preserve">D. Li, J. Nan, A. F. Burke, and J. Zhao,</w:t>
      </w:r>
      <w:r>
        <w:t xml:space="preserve"> </w:t>
      </w:r>
      <w:r>
        <w:t xml:space="preserve">“Battery prognostics and health management: AI and big data,”</w:t>
      </w:r>
      <w:r>
        <w:t xml:space="preserve"> </w:t>
      </w:r>
      <w:r>
        <w:rPr>
          <w:i/>
          <w:iCs/>
        </w:rPr>
        <w:t xml:space="preserve">World Electric Vehicle Journal</w:t>
      </w:r>
      <w:r>
        <w:t xml:space="preserve">, vol. 16, no. 1, p. 10, 2025, doi: 10.3390/wevj16010010.</w:t>
      </w:r>
    </w:p>
    <w:p>
      <w:pPr>
        <w:pStyle w:val="BodyText"/>
      </w:pPr>
      <w:r>
        <w:t xml:space="preserve">E. R. DeLong, D. M. DeLong, and D. L. Clarke-Pearson,</w:t>
      </w:r>
      <w:r>
        <w:t xml:space="preserve"> </w:t>
      </w:r>
      <w:r>
        <w:t xml:space="preserve">“Comparing the areas under two or more correlated receiver operating characteristic curves: A nonparametric approach,”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, vol. 44, no. 3, pp. 837–845, 1988.</w:t>
      </w:r>
    </w:p>
    <w:p>
      <w:pPr>
        <w:pStyle w:val="BodyText"/>
      </w:pPr>
      <w:r>
        <w:t xml:space="preserve">K. A. Severson, P. M. Attia, N. Jin, et al.,</w:t>
      </w:r>
      <w:r>
        <w:t xml:space="preserve"> </w:t>
      </w:r>
      <w:r>
        <w:t xml:space="preserve">“Data-driven prediction of battery cycle life before capacity degradation,”</w:t>
      </w:r>
      <w:r>
        <w:t xml:space="preserve"> </w:t>
      </w:r>
      <w:r>
        <w:rPr>
          <w:i/>
          <w:iCs/>
        </w:rPr>
        <w:t xml:space="preserve">Nature Energy</w:t>
      </w:r>
      <w:r>
        <w:t xml:space="preserve">, vol. 4, pp. 383–391, 2019, doi: 10.1038/s41560-019-0356-8.</w:t>
      </w:r>
    </w:p>
    <w:p>
      <w:pPr>
        <w:pStyle w:val="BodyText"/>
      </w:pPr>
      <w:r>
        <w:t xml:space="preserve">B. Saha and K. Goebel,</w:t>
      </w:r>
      <w:r>
        <w:t xml:space="preserve"> </w:t>
      </w:r>
      <w:r>
        <w:t xml:space="preserve">“Battery Data Set,”</w:t>
      </w:r>
      <w:r>
        <w:t xml:space="preserve"> </w:t>
      </w:r>
      <w:r>
        <w:t xml:space="preserve">NASA Ames Prognostics Data Repository, NASA Ames Research Center, Moffett Field, CA, USA, 2007.</w:t>
      </w:r>
    </w:p>
    <w:p>
      <w:pPr>
        <w:pStyle w:val="BodyText"/>
      </w:pPr>
      <w:r>
        <w:t xml:space="preserve">CALCE Battery Research Group,</w:t>
      </w:r>
      <w:r>
        <w:t xml:space="preserve"> </w:t>
      </w:r>
      <w:r>
        <w:t xml:space="preserve">“Battery aging datasets,”</w:t>
      </w:r>
      <w:r>
        <w:t xml:space="preserve"> </w:t>
      </w:r>
      <w:r>
        <w:t xml:space="preserve">Center for Advanced Life Cycle Engineering, Univ. of Maryland, College Park, MD, USA, 2023.</w:t>
      </w:r>
    </w:p>
    <w:p>
      <w:pPr>
        <w:pStyle w:val="BodyText"/>
      </w:pPr>
      <w:r>
        <w:t xml:space="preserve">D. Howey and C. Birkl,</w:t>
      </w:r>
      <w:r>
        <w:t xml:space="preserve"> </w:t>
      </w:r>
      <w:r>
        <w:t xml:space="preserve">“Oxford Battery Degradation Dataset 1,”</w:t>
      </w:r>
      <w:r>
        <w:t xml:space="preserve"> </w:t>
      </w:r>
      <w:r>
        <w:t xml:space="preserve">Univ. of Oxford, Oxford, U.K., 2017.</w:t>
      </w:r>
    </w:p>
    <w:bookmarkEnd w:id="49"/>
    <w:sectPr>
      <w:footnotePr>
        <w:numRestart w:val="eachSect"/>
      </w:footnotePr>
      <w:pgSz w:w="12240" w:h="15840"/>
      <w:pgMar w:left="900" w:right="900" w:top="1080" w:bottom="1440"/>
      <w:cols w:num="2" w:space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/>
      <w:jc w:val="both"/>
    </w:pPr>
    <w:rPr>
      <w:rFonts w:ascii="Times New Roman" w:hAnsi="Times New Roman" w:eastAsia="Times New Roman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eastAsia="Times New Roman"/>
      <w:b w:val="0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/>
      <w:jc w:val="center"/>
      <w:outlineLvl w:val="0"/>
    </w:pPr>
    <w:rPr>
      <w:rFonts w:asciiTheme="majorHAnsi" w:cstheme="majorBidi" w:eastAsiaTheme="majorEastAsia" w:hAnsiTheme="majorHAnsi" w:ascii="Times New Roman" w:hAnsi="Times New Roman"/>
      <w:b w:val="0"/>
      <w:i w:val="0"/>
      <w:color w:themeColor="accent1" w:themeShade="BF" w:val="0F4761"/>
      <w:sz w:val="20"/>
      <w:szCs w:val="40"/>
      <w:smallCaps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20"/>
      <w:jc w:val="left"/>
      <w:outlineLvl w:val="1"/>
    </w:pPr>
    <w:rPr>
      <w:rFonts w:asciiTheme="majorHAnsi" w:cstheme="majorBidi" w:eastAsiaTheme="majorEastAsia" w:hAnsiTheme="majorHAnsi" w:ascii="Times New Roman" w:hAnsi="Times New Roman"/>
      <w:b w:val="0"/>
      <w:i/>
      <w:color w:themeColor="accent1" w:themeShade="BF" w:val="0F4761"/>
      <w:sz w:val="2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120"/>
      <w:jc w:val="center"/>
    </w:pPr>
    <w:rPr>
      <w:rFonts w:ascii="Times New Roman" w:hAnsi="Times New Roman"/>
      <w:sz w:val="16"/>
    </w:rPr>
  </w:style>
  <w:style w:customStyle="1" w:styleId="ImageCaption" w:type="paragraph">
    <w:name w:val="Image Caption"/>
    <w:basedOn w:val="Caption"/>
    <w:pPr>
      <w:spacing w:after="120"/>
      <w:jc w:val="center"/>
    </w:pPr>
    <w:rPr>
      <w:rFonts w:ascii="Times New Roman" w:hAnsi="Times New Roman"/>
      <w:sz w:val="16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10" Type="http://schemas.openxmlformats.org/officeDocument/2006/relationships/image" Target="media/rId10.png"/><Relationship Id="rId28" Type="http://schemas.openxmlformats.org/officeDocument/2006/relationships/image" Target="media/rId28.png"/><Relationship Id="rId22" Type="http://schemas.openxmlformats.org/officeDocument/2006/relationships/image" Target="media/rId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Battery Failure Models Appear to Transfer: Exposing Health-State Shortcuts Under Dataset and Chemistry Shift</dc:title>
  <dc:creator/>
  <cp:keywords/>
  <dcterms:created xsi:type="dcterms:W3CDTF">2026-09-15T11:55:00Z</dcterms:created>
  <dcterms:modified xsi:type="dcterms:W3CDTF">2026-09-15T11:55:00Z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