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2.png" ContentType="image/png"/>
  <Override PartName="/word/media/rId47.png" ContentType="image/png"/>
  <Override PartName="/word/media/rId61.png" ContentType="image/png"/>
  <Override PartName="/word/media/rId57.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p>
    <w:p>
      <w:pPr>
        <w:pStyle w:val="Author"/>
      </w:pPr>
    </w:p>
    <w:p>
      <w:pPr>
        <w:pStyle w:val="Author"/>
      </w:pP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about 680x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(from the 27 mV coarse-ADC ripple to the 205 mV 6-bit-PWM limit cycle).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+/-40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(Maksimovic et al. 2004; Corradini et al. 2015)</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(White 1969; Peterchev and Sanders 2003; Peng et al. 2007; Zhao and Prodić 2007; Crovetti et al. 2020)</w:t>
      </w:r>
      <w:r>
        <w:t xml:space="preserve">, while quantization-effect modeling permits quantitative prediction of these oscillations</w:t>
      </w:r>
      <w:r>
        <w:t xml:space="preserve"> </w:t>
      </w:r>
      <w:r>
        <w:t xml:space="preserve">(Maksimovic and Zane 2007)</w:t>
      </w:r>
      <w:r>
        <w:t xml:space="preserve">. Recent work extends the analysis to MHz-range GaN converters using dither and sigma-delta modulation</w:t>
      </w:r>
      <w:r>
        <w:t xml:space="preserve"> </w:t>
      </w:r>
      <w:r>
        <w:t xml:space="preserve">(Al-Obaidi and Nawar 2025; González-Castaño et al. 2020; Lukic et al. 2007; Kim et al. 2024)</w:t>
      </w:r>
      <w:r>
        <w:t xml:space="preserve"> </w:t>
      </w:r>
      <w:r>
        <w:t xml:space="preserve">and to design guidelines for two-loop current-mode digital controllers</w:t>
      </w:r>
      <w:r>
        <w:t xml:space="preserve"> </w:t>
      </w:r>
      <w:r>
        <w:t xml:space="preserve">(González-Castaño et al. 2020)</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(Maksimovic et al. 2004; Corradini et al. 2015)</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 DPWM-architecture and delay considerations are central to achievable resolution</w:t>
      </w:r>
      <w:r>
        <w:t xml:space="preserve"> </w:t>
      </w:r>
      <w:r>
        <w:t xml:space="preserve">(Sun et al. 2010; Chen et al. 2012; Ahmad and Bakkaloglu 2010; Yao et al. 2018)</w:t>
      </w:r>
      <w:r>
        <w:t xml:space="preserve">.</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(Peterchev and Sanders 2003)</w:t>
      </w:r>
      <w:r>
        <w:t xml:space="preserve">. Peng, Prodić, Alarcón, and Maksimović derived static and dynamic quantization models explaining the origins of limit-cycle oscillations</w:t>
      </w:r>
      <w:r>
        <w:t xml:space="preserve"> </w:t>
      </w:r>
      <w:r>
        <w:t xml:space="preserve">(Peng et al. 2007)</w:t>
      </w:r>
      <w:r>
        <w:t xml:space="preserve">, and Maksimović and Zane provided the small-signal discrete-time framework used to design digitally controlled converters</w:t>
      </w:r>
      <w:r>
        <w:t xml:space="preserve"> </w:t>
      </w:r>
      <w:r>
        <w:t xml:space="preserve">(Maksimovic and Zane 2007)</w:t>
      </w:r>
      <w:r>
        <w:t xml:space="preserve">. A fuller survey appears in</w:t>
      </w:r>
      <w:r>
        <w:t xml:space="preserve"> </w:t>
      </w:r>
      <w:r>
        <w:t xml:space="preserve">(Liu et al. 2009)</w:t>
      </w:r>
      <w:r>
        <w:t xml:space="preserve">. On the application side, low-resolution non-uniform ADC quantization has been shown to improve dynamic response</w:t>
      </w:r>
      <w:r>
        <w:t xml:space="preserve"> </w:t>
      </w:r>
      <w:r>
        <w:t xml:space="preserve">(Hu et al. 2008)</w:t>
      </w:r>
      <w:r>
        <w:t xml:space="preserve">, and the full control loop benefits from predictive structures</w:t>
      </w:r>
      <w:r>
        <w:t xml:space="preserve"> </w:t>
      </w:r>
      <w:r>
        <w:t xml:space="preserve">(Chen et al. 2003; Bibian and Jin 2002; Foong et al. 2011; He et al. 2007; Yu et al. 2023)</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(Yousefzadeh et al. 2007)</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(Vijayalakshmi and Raja 2014; Viswanatha et al. 2020; Chakraborty et al. 2006; Chen et al. 2010; Dordevic and Despotovic 2021)</w:t>
      </w:r>
      <w:r>
        <w:t xml:space="preserve"> </w:t>
      </w:r>
      <w:r>
        <w:t xml:space="preserve">and do not sweep the full implementation space. The classical converter model itself is textbook material</w:t>
      </w:r>
      <w:r>
        <w:t xml:space="preserve"> </w:t>
      </w:r>
      <w:r>
        <w:t xml:space="preserve">(Erickson and Maksimovic 2001)</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(an approach related to event-triggered and self-triggered control</w:t>
      </w:r>
      <w:r>
        <w:t xml:space="preserve"> </w:t>
      </w:r>
      <w:r>
        <w:t xml:space="preserve">(Heemels et al. 2012)</w:t>
      </w:r>
      <w:r>
        <w:t xml:space="preserve">, and to adaptive-sampling converter control</w:t>
      </w:r>
      <w:r>
        <w:t xml:space="preserve"> </w:t>
      </w:r>
      <w:r>
        <w:t xml:space="preserve">(Saysanasongkham et al. 2013; Zhou and Preindl 2019)</w:t>
      </w:r>
      <w:r>
        <w:t xml:space="preserve">)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67640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67640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 nonideal DCM of the buck-boost requires explicit boundary modeling</w:t>
      </w:r>
      <w:r>
        <w:t xml:space="preserve"> </w:t>
      </w:r>
      <w:r>
        <w:t xml:space="preserve">(Gong et al. 2010)</w:t>
      </w:r>
      <w:r>
        <w:t xml:space="preserve">.</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eqArr>
            <m:e>
              <m:r>
                <m:t>d</m:t>
              </m:r>
              <m:r>
                <m:rPr>
                  <m:sty m:val="p"/>
                </m:rPr>
                <m:t>[</m:t>
              </m:r>
              <m:r>
                <m:t>k</m:t>
              </m:r>
              <m:r>
                <m:rPr>
                  <m:sty m:val="p"/>
                </m:rPr>
                <m:t>]</m:t>
              </m:r>
              <m:r>
                <m:t>&amp;</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e>
            <m:e>
              <m:r>
                <m:t>&amp;</m:t>
              </m:r>
              <m:r>
                <m:t> </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e>
          </m:eqArr>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(Peterchev and Sanders 2003; Peng et al. 2007)</w:t>
      </w:r>
      <w:r>
        <w:t xml:space="preserve">; at 6-bit the duty grid step is 1 LSB</w:t>
      </w:r>
      <w:r>
        <w:t xml:space="preserve"> </w:t>
      </w:r>
      <m:oMath>
        <m:r>
          <m:rPr>
            <m:sty m:val="p"/>
          </m:rPr>
          <m:t>=</m:t>
        </m:r>
        <m:r>
          <m:t>1</m:t>
        </m:r>
        <m:r>
          <m:rPr>
            <m:sty m:val="p"/>
          </m:rPr>
          <m:t>/</m:t>
        </m:r>
        <m:r>
          <m:t>64</m:t>
        </m:r>
      </m:oMath>
      <w:r>
        <w:t xml:space="preserve">, and the loop settles into a limit cycle toggling between the adjacent codes 31/64 and 32/64 around the</w:t>
      </w:r>
      <w:r>
        <w:t xml:space="preserve"> </w:t>
      </w:r>
      <m:oMath>
        <m:r>
          <m:t>D</m:t>
        </m:r>
        <m:r>
          <m:rPr>
            <m:sty m:val="p"/>
          </m:rPr>
          <m:t>≈</m:t>
        </m:r>
        <m:r>
          <m:t>0.5</m:t>
        </m:r>
      </m:oMath>
      <w:r>
        <w:t xml:space="preserve"> </w:t>
      </w:r>
      <w:r>
        <w:t xml:space="preserve">operating point, whose measured peak-to-peak output excursion is 204.8 mV. The static code-to-code shift at this operating point is larger,</w:t>
      </w:r>
      <w:r>
        <w:t xml:space="preserve"> </w:t>
      </w:r>
      <m:oMath>
        <m:r>
          <m:rPr>
            <m:sty m:val="p"/>
          </m:rPr>
          <m:t>|</m:t>
        </m:r>
        <m:r>
          <m:t>d</m:t>
        </m:r>
        <m:sSub>
          <m:e>
            <m:r>
              <m:t>V</m:t>
            </m:r>
          </m:e>
          <m:sub>
            <m:r>
              <m:t>o</m:t>
            </m:r>
            <m:r>
              <m:t>u</m:t>
            </m:r>
            <m:r>
              <m:t>t</m:t>
            </m:r>
          </m:sub>
        </m:sSub>
        <m:r>
          <m:rPr>
            <m:sty m:val="p"/>
          </m:rPr>
          <m:t>/</m:t>
        </m:r>
        <m:r>
          <m:t>d</m:t>
        </m:r>
        <m:r>
          <m:t>D</m:t>
        </m:r>
        <m:r>
          <m:rPr>
            <m:sty m:val="p"/>
          </m:rPr>
          <m:t>|</m:t>
        </m:r>
        <m:r>
          <m:rPr>
            <m:sty m:val="p"/>
          </m:rPr>
          <m:t>⋅</m:t>
        </m:r>
        <m:r>
          <m:t>1</m:t>
        </m:r>
        <m:r>
          <m:rPr>
            <m:sty m:val="p"/>
          </m:rPr>
          <m:t>/</m:t>
        </m:r>
        <m:r>
          <m:t>64</m:t>
        </m:r>
        <m:r>
          <m:rPr>
            <m:sty m:val="p"/>
          </m:rPr>
          <m:t>≈</m:t>
        </m:r>
        <m:r>
          <m:t>0.73</m:t>
        </m:r>
      </m:oMath>
      <w:r>
        <w:t xml:space="preserve"> V with</w:t>
      </w:r>
      <w:r>
        <w:t xml:space="preserve"> </w:t>
      </w:r>
      <m:oMath>
        <m:r>
          <m:rPr>
            <m:sty m:val="p"/>
          </m:rPr>
          <m:t>|</m:t>
        </m:r>
        <m:r>
          <m:t>d</m:t>
        </m:r>
        <m:sSub>
          <m:e>
            <m:r>
              <m:t>V</m:t>
            </m:r>
          </m:e>
          <m:sub>
            <m:r>
              <m:t>o</m:t>
            </m:r>
            <m:r>
              <m:t>u</m:t>
            </m:r>
            <m:r>
              <m:t>t</m:t>
            </m:r>
          </m:sub>
        </m:sSub>
        <m:r>
          <m:rPr>
            <m:sty m:val="p"/>
          </m:rPr>
          <m:t>/</m:t>
        </m:r>
        <m:r>
          <m:t>d</m:t>
        </m:r>
        <m:r>
          <m:t>D</m:t>
        </m:r>
        <m:r>
          <m:rPr>
            <m:sty m:val="p"/>
          </m:rPr>
          <m:t>|</m:t>
        </m:r>
        <m:r>
          <m:rPr>
            <m:sty m:val="p"/>
          </m:rPr>
          <m:t>=</m:t>
        </m:r>
        <m:sSub>
          <m:e>
            <m:r>
              <m:t>V</m:t>
            </m:r>
          </m:e>
          <m:sub>
            <m:r>
              <m:t>i</m:t>
            </m:r>
            <m:r>
              <m:t>n</m:t>
            </m:r>
          </m:sub>
        </m:sSub>
        <m:r>
          <m:rPr>
            <m:sty m:val="p"/>
          </m:rPr>
          <m:t>/</m:t>
        </m:r>
        <m:r>
          <m:rPr>
            <m:sty m:val="p"/>
          </m:rPr>
          <m:t>(</m:t>
        </m:r>
        <m:r>
          <m:t>1</m:t>
        </m:r>
        <m:r>
          <m:rPr>
            <m:sty m:val="p"/>
          </m:rPr>
          <m:t>−</m:t>
        </m:r>
        <m:r>
          <m:t>D</m:t>
        </m:r>
        <m:sSup>
          <m:e>
            <m:r>
              <m:rPr>
                <m:sty m:val="p"/>
              </m:rPr>
              <m:t>)</m:t>
            </m:r>
          </m:e>
          <m:sup>
            <m:r>
              <m:t>2</m:t>
            </m:r>
          </m:sup>
        </m:sSup>
        <m:r>
          <m:rPr>
            <m:sty m:val="p"/>
          </m:rPr>
          <m:t>≈</m:t>
        </m:r>
        <m:r>
          <m:t>48</m:t>
        </m:r>
      </m:oMath>
      <w:r>
        <w:t xml:space="preserve"> V per unit duty; the dynamic ripple is smaller because the output capacitor averages the excursion over the limit-cycle period. This is precisely the regime addressed by finer DPWM controller implementations</w:t>
      </w:r>
      <w:r>
        <w:t xml:space="preserve"> </w:t>
      </w:r>
      <w:r>
        <w:t xml:space="preserve">(Patella et al. 2003; Syed et al. 2004)</w:t>
      </w:r>
      <w:r>
        <w:t xml:space="preserve"> </w:t>
      </w:r>
      <w:r>
        <w:t xml:space="preserve">and by noise-shaping modulators</w:t>
      </w:r>
      <w:r>
        <w:t xml:space="preserve"> </w:t>
      </w:r>
      <w:r>
        <w:t xml:space="preserve">(Norris et al. 2008)</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accruing 266 015 DCM cycles after the input step and 163 360 after the load step within the 60 ms post-step window — far above the 127 075 cycles the same configuration accrues when undisturbed — because the loop never settles and keeps crossing the zero-current boundary for the entire window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c>
          <w:tcPr/>
          <w:p>
            <w:pPr>
              <w:pStyle w:val="Compact"/>
              <w:jc w:val="left"/>
            </w:pPr>
            <w:r>
              <w:t xml:space="preserve">DCM (60 ms)</w:t>
            </w:r>
          </w:p>
        </w:tc>
      </w:tr>
      <w:tr>
        <w:tc>
          <w:tcPr/>
          <w:p>
            <w:pPr>
              <w:pStyle w:val="Compact"/>
              <w:jc w:val="left"/>
            </w:pPr>
            <w:r>
              <w:t xml:space="preserve">Continuous</w:t>
            </w:r>
          </w:p>
        </w:tc>
        <w:tc>
          <w:tcPr/>
          <w:p>
            <w:pPr>
              <w:pStyle w:val="Compact"/>
              <w:jc w:val="left"/>
            </w:pPr>
            <w:r>
              <w:t xml:space="preserve">V_in step</w:t>
            </w:r>
          </w:p>
        </w:tc>
        <w:tc>
          <w:tcPr/>
          <w:p>
            <w:pPr>
              <w:pStyle w:val="Compact"/>
              <w:jc w:val="left"/>
            </w:pPr>
            <w:r>
              <w:t xml:space="preserve">0.97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0.97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Ideal digital</w:t>
            </w:r>
          </w:p>
        </w:tc>
        <w:tc>
          <w:tcPr/>
          <w:p>
            <w:pPr>
              <w:pStyle w:val="Compact"/>
              <w:jc w:val="left"/>
            </w:pPr>
            <w:r>
              <w:t xml:space="preserve">V_in step</w:t>
            </w:r>
          </w:p>
        </w:tc>
        <w:tc>
          <w:tcPr/>
          <w:p>
            <w:pPr>
              <w:pStyle w:val="Compact"/>
              <w:jc w:val="left"/>
            </w:pPr>
            <w:r>
              <w:t xml:space="preserve">1.01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Ideal digital</w:t>
            </w:r>
          </w:p>
        </w:tc>
        <w:tc>
          <w:tcPr/>
          <w:p>
            <w:pPr>
              <w:pStyle w:val="Compact"/>
              <w:jc w:val="left"/>
            </w:pPr>
            <w:r>
              <w:t xml:space="preserve">Load step</w:t>
            </w:r>
          </w:p>
        </w:tc>
        <w:tc>
          <w:tcPr/>
          <w:p>
            <w:pPr>
              <w:pStyle w:val="Compact"/>
              <w:jc w:val="left"/>
            </w:pPr>
            <w:r>
              <w:t xml:space="preserve">1.00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Worst (16-bit, 5×)</w:t>
            </w:r>
          </w:p>
        </w:tc>
        <w:tc>
          <w:tcPr/>
          <w:p>
            <w:pPr>
              <w:pStyle w:val="Compact"/>
              <w:jc w:val="left"/>
            </w:pPr>
            <w:r>
              <w:t xml:space="preserve">V_in step</w:t>
            </w:r>
          </w:p>
        </w:tc>
        <w:tc>
          <w:tcPr/>
          <w:p>
            <w:pPr>
              <w:pStyle w:val="Compact"/>
              <w:jc w:val="left"/>
            </w:pPr>
            <w:r>
              <w:t xml:space="preserve">never</w:t>
            </w:r>
          </w:p>
        </w:tc>
        <w:tc>
          <w:tcPr/>
          <w:p>
            <w:pPr>
              <w:pStyle w:val="Compact"/>
              <w:jc w:val="left"/>
            </w:pPr>
            <w:r>
              <w:t xml:space="preserve">5.0 V / 1.132</w:t>
            </w:r>
          </w:p>
        </w:tc>
        <w:tc>
          <w:tcPr/>
          <w:p>
            <w:pPr>
              <w:pStyle w:val="Compact"/>
              <w:jc w:val="left"/>
            </w:pPr>
            <w:r>
              <w:t xml:space="preserve">266,015</w:t>
            </w:r>
          </w:p>
        </w:tc>
      </w:tr>
      <w:tr>
        <w:tc>
          <w:tcPr/>
          <w:p>
            <w:pPr>
              <w:pStyle w:val="Compact"/>
              <w:jc w:val="left"/>
            </w:pPr>
            <w:r>
              <w:t xml:space="preserve">Worst (16-bit, 5×)</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5.0 V / 1.132</w:t>
            </w:r>
          </w:p>
        </w:tc>
        <w:tc>
          <w:tcPr/>
          <w:p>
            <w:pPr>
              <w:pStyle w:val="Compact"/>
              <w:jc w:val="left"/>
            </w:pPr>
            <w:r>
              <w:t xml:space="preserve">163,360</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71"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 following microcontroller-implemented digital control</w:t>
      </w:r>
      <w:r>
        <w:t xml:space="preserve"> </w:t>
      </w:r>
      <w:r>
        <w:t xml:space="preserve">(Mohan and Barai 2012; Vinodhini et al. 2014)</w:t>
      </w:r>
      <w:r>
        <w:t xml:space="preserve"> </w:t>
      </w:r>
      <w:r>
        <w:t xml:space="preserve">and remote-monitoring practice</w:t>
      </w:r>
      <w:r>
        <w:t xml:space="preserve"> </w:t>
      </w:r>
      <w:r>
        <w:t xml:space="preserve">(Suhitha et al. 2024)</w:t>
      </w:r>
      <w:r>
        <w:t xml:space="preserve">.</w:t>
      </w:r>
    </w:p>
    <w:bookmarkStart w:id="51"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raw 12-bit read, which is the path executed inside the timed control loop, averages</w:t>
      </w:r>
      <w:r>
        <w:t xml:space="preserve"> </w:t>
      </w:r>
      <m:oMath>
        <m:r>
          <m:t>60.0</m:t>
        </m:r>
        <m:r>
          <m:t> </m:t>
        </m:r>
        <m:r>
          <m:t>μ</m:t>
        </m:r>
      </m:oMath>
      <w:r>
        <w:t xml:space="preserve">s and the fastest single raw read never completes sooner than</w:t>
      </w:r>
      <w:r>
        <w:t xml:space="preserve"> </w:t>
      </w:r>
      <m:oMath>
        <m:r>
          <m:t>59.5</m:t>
        </m:r>
        <m:r>
          <m:t> </m:t>
        </m:r>
        <m:r>
          <m:t>μ</m:t>
        </m:r>
      </m:oMath>
      <w:r>
        <w:t xml:space="preserve">s; the slower calibrated millivolt read (</w:t>
      </w:r>
      <m:oMath>
        <m:r>
          <m:t>89.1</m:t>
        </m:r>
        <m:r>
          <m:t> </m:t>
        </m:r>
        <m:r>
          <m:t>μ</m:t>
        </m:r>
      </m:oMath>
      <w:r>
        <w:t xml:space="preserve">s) is measured for comparison only and never runs inside the loop.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0" w:name="fig:lat"/>
    <w:p>
      <w:pPr>
        <w:pStyle w:val="CaptionedFigure"/>
      </w:pPr>
      <w:r>
        <w:drawing>
          <wp:inline>
            <wp:extent cx="4222781" cy="2389386"/>
            <wp:effectExtent b="0" l="0" r="0" t="0"/>
            <wp:docPr descr="" title="" id="48" name="Picture"/>
            <a:graphic>
              <a:graphicData uri="http://schemas.openxmlformats.org/drawingml/2006/picture">
                <pic:pic>
                  <pic:nvPicPr>
                    <pic:cNvPr descr="/home/touhid/Documents/powerpaper/esp32_feas/results/embedded/fig_v2_latency.png" id="49" name="Picture"/>
                    <pic:cNvPicPr>
                      <a:picLocks noChangeArrowheads="1" noChangeAspect="1"/>
                    </pic:cNvPicPr>
                  </pic:nvPicPr>
                  <pic:blipFill>
                    <a:blip r:embed="rId47"/>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0"/>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1"/>
    <w:bookmarkStart w:id="56"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raw 12-bit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so even the loop’s light EMA-filtered measurement carries 1.6-1.9 V peak-to-peak ripple, flat across resolutions.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5" w:name="fig:effres"/>
    <w:p>
      <w:pPr>
        <w:pStyle w:val="CaptionedFigure"/>
      </w:pPr>
      <w:r>
        <w:drawing>
          <wp:inline>
            <wp:extent cx="4267200" cy="1493520"/>
            <wp:effectExtent b="0" l="0" r="0" t="0"/>
            <wp:docPr descr="" title="" id="53" name="Picture"/>
            <a:graphic>
              <a:graphicData uri="http://schemas.openxmlformats.org/drawingml/2006/picture">
                <pic:pic>
                  <pic:nvPicPr>
                    <pic:cNvPr descr="/home/touhid/Documents/powerpaper/esp32_feas/results/embedded/fig_v2_effres.png" id="54" name="Picture"/>
                    <pic:cNvPicPr>
                      <a:picLocks noChangeArrowheads="1" noChangeAspect="1"/>
                    </pic:cNvPicPr>
                  </pic:nvPicPr>
                  <pic:blipFill>
                    <a:blip r:embed="rId5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5"/>
    <w:bookmarkEnd w:id="56"/>
    <w:bookmarkStart w:id="65"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0" w:name="fig:sched"/>
    <w:p>
      <w:pPr>
        <w:pStyle w:val="CaptionedFigure"/>
      </w:pPr>
      <w:r>
        <w:drawing>
          <wp:inline>
            <wp:extent cx="5334000" cy="1866900"/>
            <wp:effectExtent b="0" l="0" r="0" t="0"/>
            <wp:docPr descr="" title="" id="58" name="Picture"/>
            <a:graphic>
              <a:graphicData uri="http://schemas.openxmlformats.org/drawingml/2006/picture">
                <pic:pic>
                  <pic:nvPicPr>
                    <pic:cNvPr descr="/home/touhid/Documents/powerpaper/esp32_feas/results/embedded/fig_v2_sched.png" id="59" name="Picture"/>
                    <pic:cNvPicPr>
                      <a:picLocks noChangeArrowheads="1" noChangeAspect="1"/>
                    </pic:cNvPicPr>
                  </pic:nvPicPr>
                  <pic:blipFill>
                    <a:blip r:embed="rId5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0"/>
    <w:bookmarkStart w:id="64" w:name="fig:latinj"/>
    <w:p>
      <w:pPr>
        <w:pStyle w:val="CaptionedFigure"/>
      </w:pPr>
      <w:r>
        <w:drawing>
          <wp:inline>
            <wp:extent cx="3859778" cy="2389386"/>
            <wp:effectExtent b="0" l="0" r="0" t="0"/>
            <wp:docPr descr="" title="" id="62" name="Picture"/>
            <a:graphic>
              <a:graphicData uri="http://schemas.openxmlformats.org/drawingml/2006/picture">
                <pic:pic>
                  <pic:nvPicPr>
                    <pic:cNvPr descr="/home/touhid/Documents/powerpaper/esp32_feas/results/embedded/fig_v2_latinj.png" id="63" name="Picture"/>
                    <pic:cNvPicPr>
                      <a:picLocks noChangeArrowheads="1" noChangeAspect="1"/>
                    </pic:cNvPicPr>
                  </pic:nvPicPr>
                  <pic:blipFill>
                    <a:blip r:embed="rId61"/>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4"/>
    <w:bookmarkEnd w:id="65"/>
    <w:bookmarkStart w:id="70"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69" w:name="fig:adaptive"/>
    <w:p>
      <w:pPr>
        <w:pStyle w:val="CaptionedFigure"/>
      </w:pPr>
      <w:r>
        <w:drawing>
          <wp:inline>
            <wp:extent cx="5334000" cy="4572000"/>
            <wp:effectExtent b="0" l="0" r="0" t="0"/>
            <wp:docPr descr="" title="" id="67" name="Picture"/>
            <a:graphic>
              <a:graphicData uri="http://schemas.openxmlformats.org/drawingml/2006/picture">
                <pic:pic>
                  <pic:nvPicPr>
                    <pic:cNvPr descr="/home/touhid/Documents/powerpaper/esp32_feas/results/embedded/fig_v2_adaptive.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69"/>
    <w:bookmarkEnd w:id="70"/>
    <w:bookmarkEnd w:id="71"/>
    <w:bookmarkStart w:id="72"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2"/>
    <w:bookmarkStart w:id="73"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73"/>
    <w:bookmarkStart w:id="74" w:name="acknowledgment"/>
    <w:p>
      <w:pPr>
        <w:pStyle w:val="Heading1"/>
      </w:pPr>
      <w:r>
        <w:t xml:space="preserve">Acknowledgment</w:t>
      </w:r>
    </w:p>
    <w:p>
      <w:pPr>
        <w:pStyle w:val="FirstParagraph"/>
      </w:pPr>
      <w:r>
        <w:t xml:space="preserve">The authors thank Leading University, Sylhet for support and guidance; no external funding was received.</w:t>
      </w:r>
    </w:p>
    <w:bookmarkEnd w:id="74"/>
    <w:bookmarkStart w:id="11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used conversational AI assistants to assist with language editing of the manuscript and with developing, debugging, and reviewing the simulation and firmware code. After using these tools, the authors reviewed and verified all analytical results, simulations, and measurements as needed and take full responsibility for the content of the publication.</w:t>
      </w:r>
    </w:p>
    <w:bookmarkStart w:id="116" w:name="refs"/>
    <w:bookmarkStart w:id="75" w:name="ref-ahmad2010"/>
    <w:p>
      <w:pPr>
        <w:pStyle w:val="Bibliography"/>
      </w:pPr>
      <w:r>
        <w:t xml:space="preserve">Ahmad, H. H., and B. Bakkaloglu. 2010.</w:t>
      </w:r>
      <w:r>
        <w:t xml:space="preserve"> </w:t>
      </w:r>
      <w:r>
        <w:t xml:space="preserve">“A 300mA 14mV-Ripple Digitally Controlled Buck Converter Using Frequency Domain Delta-Sigma ADC and Hybrid PWM Generator.”</w:t>
      </w:r>
      <w:r>
        <w:t xml:space="preserve"> </w:t>
      </w:r>
      <w:r>
        <w:rPr>
          <w:i/>
          <w:iCs/>
        </w:rPr>
        <w:t xml:space="preserve">Proc. IEEE Int. Solid-State Circuits Conf. (ISSCC)</w:t>
      </w:r>
      <w:r>
        <w:t xml:space="preserve">, 202–3.</w:t>
      </w:r>
    </w:p>
    <w:bookmarkEnd w:id="75"/>
    <w:bookmarkStart w:id="76" w:name="ref-alobaidi2025"/>
    <w:p>
      <w:pPr>
        <w:pStyle w:val="Bibliography"/>
      </w:pPr>
      <w:r>
        <w:t xml:space="preserve">Al-Obaidi, N. A., and A. K. Nawar. 2025.</w:t>
      </w:r>
      <w:r>
        <w:t xml:space="preserve"> </w:t>
      </w:r>
      <w:r>
        <w:t xml:space="preserve">“End-to-End Quantization Co-Design for</w:t>
      </w:r>
      <w:r>
        <w:t xml:space="preserve"> </w:t>
      </w:r>
      <w:r>
        <w:t xml:space="preserve">MHz</w:t>
      </w:r>
      <w:r>
        <w:t xml:space="preserve"> </w:t>
      </w:r>
      <w:r>
        <w:t xml:space="preserve">GaN</w:t>
      </w:r>
      <w:r>
        <w:t xml:space="preserve"> </w:t>
      </w:r>
      <w:r>
        <w:t xml:space="preserve">Converters Using Dither and Sigma-Delta Modulation.”</w:t>
      </w:r>
      <w:r>
        <w:t xml:space="preserve"> </w:t>
      </w:r>
      <w:r>
        <w:rPr>
          <w:i/>
          <w:iCs/>
        </w:rPr>
        <w:t xml:space="preserve">Edison J. Electr. Electron. Eng.</w:t>
      </w:r>
      <w:r>
        <w:t xml:space="preserve"> </w:t>
      </w:r>
      <w:r>
        <w:t xml:space="preserve">3: 65–75.</w:t>
      </w:r>
    </w:p>
    <w:bookmarkEnd w:id="76"/>
    <w:bookmarkStart w:id="77" w:name="ref-bibian2002"/>
    <w:p>
      <w:pPr>
        <w:pStyle w:val="Bibliography"/>
      </w:pPr>
      <w:r>
        <w:t xml:space="preserve">Bibian, S., and H. Jin. 2002.</w:t>
      </w:r>
      <w:r>
        <w:t xml:space="preserve"> </w:t>
      </w:r>
      <w:r>
        <w:t xml:space="preserve">“High Performance Predictive Dead-Beat Digital Controller for</w:t>
      </w:r>
      <w:r>
        <w:t xml:space="preserve"> </w:t>
      </w:r>
      <w:r>
        <w:t xml:space="preserve">DC</w:t>
      </w:r>
      <w:r>
        <w:t xml:space="preserve"> </w:t>
      </w:r>
      <w:r>
        <w:t xml:space="preserve">Power Supplies.”</w:t>
      </w:r>
      <w:r>
        <w:t xml:space="preserve"> </w:t>
      </w:r>
      <w:r>
        <w:rPr>
          <w:i/>
          <w:iCs/>
        </w:rPr>
        <w:t xml:space="preserve">IEEE Trans. Power Electron.</w:t>
      </w:r>
      <w:r>
        <w:t xml:space="preserve"> </w:t>
      </w:r>
      <w:r>
        <w:t xml:space="preserve">17 (3): 420–27.</w:t>
      </w:r>
    </w:p>
    <w:bookmarkEnd w:id="77"/>
    <w:bookmarkStart w:id="78" w:name="ref-chakraborty2006"/>
    <w:p>
      <w:pPr>
        <w:pStyle w:val="Bibliography"/>
      </w:pPr>
      <w:r>
        <w:t xml:space="preserve">Chakraborty, A., A. Khaligh, A. Emadi, and A. Pfaelzer. 2006.</w:t>
      </w:r>
      <w:r>
        <w:t xml:space="preserve"> </w:t>
      </w:r>
      <w:r>
        <w:t xml:space="preserve">“Digital Combination of Buck and Boost Converters to Control a Positive Buck-Boost Converter.”</w:t>
      </w:r>
      <w:r>
        <w:t xml:space="preserve"> </w:t>
      </w:r>
      <w:r>
        <w:rPr>
          <w:i/>
          <w:iCs/>
        </w:rPr>
        <w:t xml:space="preserve">Proc. 37th IEEE Power Electron. Specialists Conf. (PESC)</w:t>
      </w:r>
      <w:r>
        <w:t xml:space="preserve">, 1–6.</w:t>
      </w:r>
    </w:p>
    <w:bookmarkEnd w:id="78"/>
    <w:bookmarkStart w:id="79" w:name="ref-chen2003"/>
    <w:p>
      <w:pPr>
        <w:pStyle w:val="Bibliography"/>
      </w:pPr>
      <w:r>
        <w:t xml:space="preserve">Chen, J., A. Prodić, R. W. Erickson, and D. Maksimovic. 2003.</w:t>
      </w:r>
      <w:r>
        <w:t xml:space="preserve"> </w:t>
      </w:r>
      <w:r>
        <w:t xml:space="preserve">“Predictive Digital Current Programmed Control.”</w:t>
      </w:r>
      <w:r>
        <w:t xml:space="preserve"> </w:t>
      </w:r>
      <w:r>
        <w:rPr>
          <w:i/>
          <w:iCs/>
        </w:rPr>
        <w:t xml:space="preserve">IEEE Trans. Power Electron.</w:t>
      </w:r>
      <w:r>
        <w:t xml:space="preserve"> </w:t>
      </w:r>
      <w:r>
        <w:t xml:space="preserve">18 (1): 411–19.</w:t>
      </w:r>
    </w:p>
    <w:bookmarkEnd w:id="79"/>
    <w:bookmarkStart w:id="80" w:name="ref-chen2012el"/>
    <w:p>
      <w:pPr>
        <w:pStyle w:val="Bibliography"/>
      </w:pPr>
      <w:r>
        <w:t xml:space="preserve">Chen, Q., Z. H. Shen, N. Yan, X. Tan, and H. Min. 2012.</w:t>
      </w:r>
      <w:r>
        <w:t xml:space="preserve"> </w:t>
      </w:r>
      <w:r>
        <w:t xml:space="preserve">“Monolithic Digitally Controlled Buck Converter with TDC-Based ADC Sharing Delay Cells with DPWM.”</w:t>
      </w:r>
      <w:r>
        <w:t xml:space="preserve"> </w:t>
      </w:r>
      <w:r>
        <w:rPr>
          <w:i/>
          <w:iCs/>
        </w:rPr>
        <w:t xml:space="preserve">Electronics Letters</w:t>
      </w:r>
      <w:r>
        <w:t xml:space="preserve"> </w:t>
      </w:r>
      <w:r>
        <w:t xml:space="preserve">48 (20): 1303–4.</w:t>
      </w:r>
    </w:p>
    <w:bookmarkEnd w:id="80"/>
    <w:bookmarkStart w:id="81" w:name="ref-chen2010c"/>
    <w:p>
      <w:pPr>
        <w:pStyle w:val="Bibliography"/>
      </w:pPr>
      <w:r>
        <w:t xml:space="preserve">Chen, Z., W. Gao, and X. Ye. 2010.</w:t>
      </w:r>
      <w:r>
        <w:t xml:space="preserve"> </w:t>
      </w:r>
      <w:r>
        <w:t xml:space="preserve">“Frequency Domain Closed-Loop Analysis and Sliding Mode Control of a Nonminimum Phase Buck-Boost Converter.”</w:t>
      </w:r>
      <w:r>
        <w:t xml:space="preserve"> </w:t>
      </w:r>
      <w:r>
        <w:rPr>
          <w:i/>
          <w:iCs/>
        </w:rPr>
        <w:t xml:space="preserve">Control Intell. Syst.</w:t>
      </w:r>
      <w:r>
        <w:t xml:space="preserve"> </w:t>
      </w:r>
      <w:r>
        <w:t xml:space="preserve">38 (4).</w:t>
      </w:r>
    </w:p>
    <w:bookmarkEnd w:id="81"/>
    <w:bookmarkStart w:id="82" w:name="ref-corradini2015"/>
    <w:p>
      <w:pPr>
        <w:pStyle w:val="Bibliography"/>
      </w:pPr>
      <w:r>
        <w:t xml:space="preserve">Corradini, L., D. Maksimovic, P. Mattavelli, and R. Zane. 2015.</w:t>
      </w:r>
      <w:r>
        <w:t xml:space="preserve"> </w:t>
      </w:r>
      <w:r>
        <w:rPr>
          <w:i/>
          <w:iCs/>
        </w:rPr>
        <w:t xml:space="preserve">Digital Control of High-Frequency Switched-Mode Power Converters</w:t>
      </w:r>
      <w:r>
        <w:t xml:space="preserve">. Wiley-IEEE Press.</w:t>
      </w:r>
    </w:p>
    <w:bookmarkEnd w:id="82"/>
    <w:bookmarkStart w:id="83" w:name="ref-crovetti2020"/>
    <w:p>
      <w:pPr>
        <w:pStyle w:val="Bibliography"/>
      </w:pPr>
      <w:r>
        <w:t xml:space="preserve">Crovetti, P. S., M. Usmonov, F. Musolino, and F. Gregoretti. 2020.</w:t>
      </w:r>
      <w:r>
        <w:t xml:space="preserve"> </w:t>
      </w:r>
      <w:r>
        <w:t xml:space="preserve">“Limit-Cycle-Free Digitally Controlled DC-DC Converters Based on Dyadic Digital PWM.”</w:t>
      </w:r>
      <w:r>
        <w:t xml:space="preserve"> </w:t>
      </w:r>
      <w:r>
        <w:rPr>
          <w:i/>
          <w:iCs/>
        </w:rPr>
        <w:t xml:space="preserve">IEEE Trans. Power Electron.</w:t>
      </w:r>
      <w:r>
        <w:t xml:space="preserve"> </w:t>
      </w:r>
      <w:r>
        <w:t xml:space="preserve">35 (10): 11155–66.</w:t>
      </w:r>
    </w:p>
    <w:bookmarkEnd w:id="83"/>
    <w:bookmarkStart w:id="84" w:name="ref-dordevic2021"/>
    <w:p>
      <w:pPr>
        <w:pStyle w:val="Bibliography"/>
      </w:pPr>
      <w:r>
        <w:t xml:space="preserve">Dordevic, B., and Z. V. Despotovic. 2021.</w:t>
      </w:r>
      <w:r>
        <w:t xml:space="preserve"> </w:t>
      </w:r>
      <w:r>
        <w:t xml:space="preserve">“Digital Control of Four Switch Synchronous Buck-Boost Power Converter Based on PIC18F4520 Microcontroller.”</w:t>
      </w:r>
      <w:r>
        <w:t xml:space="preserve"> </w:t>
      </w:r>
      <w:r>
        <w:rPr>
          <w:i/>
          <w:iCs/>
        </w:rPr>
        <w:t xml:space="preserve">Proc. 20th Int. Symp. INFOTEH-JAHORINA (INFOTEH)</w:t>
      </w:r>
      <w:r>
        <w:t xml:space="preserve">, 1–6.</w:t>
      </w:r>
    </w:p>
    <w:bookmarkEnd w:id="84"/>
    <w:bookmarkStart w:id="85" w:name="ref-erickson2001"/>
    <w:p>
      <w:pPr>
        <w:pStyle w:val="Bibliography"/>
      </w:pPr>
      <w:r>
        <w:t xml:space="preserve">Erickson, R. W., and D. Maksimovic. 2001.</w:t>
      </w:r>
      <w:r>
        <w:t xml:space="preserve"> </w:t>
      </w:r>
      <w:r>
        <w:rPr>
          <w:i/>
          <w:iCs/>
        </w:rPr>
        <w:t xml:space="preserve">Fundamentals of Power Electronics</w:t>
      </w:r>
      <w:r>
        <w:t xml:space="preserve">. 2nd ed. Kluwer Academic Publishers.</w:t>
      </w:r>
    </w:p>
    <w:bookmarkEnd w:id="85"/>
    <w:bookmarkStart w:id="86" w:name="ref-foong2011"/>
    <w:p>
      <w:pPr>
        <w:pStyle w:val="Bibliography"/>
      </w:pPr>
      <w:r>
        <w:t xml:space="preserve">Foong, H. C., M. T. Tan, and Y. Zheng. 2011.</w:t>
      </w:r>
      <w:r>
        <w:t xml:space="preserve"> </w:t>
      </w:r>
      <w:r>
        <w:t xml:space="preserve">“Predictive Proportional Integral Controller for Digital DC-DC Converters.”</w:t>
      </w:r>
      <w:r>
        <w:t xml:space="preserve"> </w:t>
      </w:r>
      <w:r>
        <w:rPr>
          <w:i/>
          <w:iCs/>
        </w:rPr>
        <w:t xml:space="preserve">Proc. 6th IEEE Conf. Industrial Electronics and Applications (ICIEA)</w:t>
      </w:r>
      <w:r>
        <w:t xml:space="preserve">, 2380–83.</w:t>
      </w:r>
    </w:p>
    <w:bookmarkEnd w:id="86"/>
    <w:bookmarkStart w:id="87" w:name="ref-gong2010"/>
    <w:p>
      <w:pPr>
        <w:pStyle w:val="Bibliography"/>
      </w:pPr>
      <w:r>
        <w:t xml:space="preserve">Gong, R.-X., L.-L. Xie, K. Wang, and C.-D. Ning. 2010.</w:t>
      </w:r>
      <w:r>
        <w:t xml:space="preserve"> </w:t>
      </w:r>
      <w:r>
        <w:t xml:space="preserve">“A Novel Modeling Method of Nonideal Buck-Boost Converter in DCM.”</w:t>
      </w:r>
      <w:r>
        <w:t xml:space="preserve"> </w:t>
      </w:r>
      <w:r>
        <w:rPr>
          <w:i/>
          <w:iCs/>
        </w:rPr>
        <w:t xml:space="preserve">Proc. Third Int. Conf. Information and Computing (ICIC)</w:t>
      </w:r>
      <w:r>
        <w:t xml:space="preserve">, 182–85.</w:t>
      </w:r>
    </w:p>
    <w:bookmarkEnd w:id="87"/>
    <w:bookmarkStart w:id="88" w:name="ref-gonzalez2020"/>
    <w:p>
      <w:pPr>
        <w:pStyle w:val="Bibliography"/>
      </w:pPr>
      <w:r>
        <w:t xml:space="preserve">González-Castaño, C., C. Restrepo, R. Giral, E. Vidal-Idiarte, and J. Calvente. 2020.</w:t>
      </w:r>
      <w:r>
        <w:t xml:space="preserve"> </w:t>
      </w:r>
      <w:r>
        <w:t xml:space="preserve">“ADC Quantization Effects in Two-Loop Digital Current Controlled</w:t>
      </w:r>
      <w:r>
        <w:t xml:space="preserve"> </w:t>
      </w:r>
      <w:r>
        <w:t xml:space="preserve">DC-DC</w:t>
      </w:r>
      <w:r>
        <w:t xml:space="preserve"> </w:t>
      </w:r>
      <w:r>
        <w:t xml:space="preserve">Power Converters: Analysis and Design Guidelines.”</w:t>
      </w:r>
      <w:r>
        <w:t xml:space="preserve"> </w:t>
      </w:r>
      <w:r>
        <w:rPr>
          <w:i/>
          <w:iCs/>
        </w:rPr>
        <w:t xml:space="preserve">Applied Sciences</w:t>
      </w:r>
      <w:r>
        <w:t xml:space="preserve"> </w:t>
      </w:r>
      <w:r>
        <w:t xml:space="preserve">10 (20): 7179.</w:t>
      </w:r>
    </w:p>
    <w:bookmarkEnd w:id="88"/>
    <w:bookmarkStart w:id="89" w:name="ref-he2007"/>
    <w:p>
      <w:pPr>
        <w:pStyle w:val="Bibliography"/>
      </w:pPr>
      <w:r>
        <w:t xml:space="preserve">He, M., J. Xu, Z. Zhou, N. Chen, and G. Zhou. 2007.</w:t>
      </w:r>
      <w:r>
        <w:t xml:space="preserve"> </w:t>
      </w:r>
      <w:r>
        <w:t xml:space="preserve">“Nonlinear Compensation in Digital Controller of Switching DC-DC Converters.”</w:t>
      </w:r>
      <w:r>
        <w:t xml:space="preserve"> </w:t>
      </w:r>
      <w:r>
        <w:rPr>
          <w:i/>
          <w:iCs/>
        </w:rPr>
        <w:t xml:space="preserve">Proc. Int. Conf. Communications, Circuits and Systems (ICCCAS)</w:t>
      </w:r>
      <w:r>
        <w:t xml:space="preserve">, 1269–73.</w:t>
      </w:r>
    </w:p>
    <w:bookmarkEnd w:id="89"/>
    <w:bookmarkStart w:id="90" w:name="ref-heemels2012"/>
    <w:p>
      <w:pPr>
        <w:pStyle w:val="Bibliography"/>
      </w:pPr>
      <w:r>
        <w:t xml:space="preserve">Heemels, W. P. M. H., K. H. Johansson, and P. Tabuada. 2012.</w:t>
      </w:r>
      <w:r>
        <w:t xml:space="preserve"> </w:t>
      </w:r>
      <w:r>
        <w:t xml:space="preserve">“An Introduction to Event-Triggered and Self-Triggered Control.”</w:t>
      </w:r>
      <w:r>
        <w:t xml:space="preserve"> </w:t>
      </w:r>
      <w:r>
        <w:rPr>
          <w:i/>
          <w:iCs/>
        </w:rPr>
        <w:t xml:space="preserve">Proc. IEEE 51st Conf. Decision and Control (CDC)</w:t>
      </w:r>
      <w:r>
        <w:t xml:space="preserve">, 3270–85.</w:t>
      </w:r>
    </w:p>
    <w:bookmarkEnd w:id="90"/>
    <w:bookmarkStart w:id="91" w:name="ref-hu2008"/>
    <w:p>
      <w:pPr>
        <w:pStyle w:val="Bibliography"/>
      </w:pPr>
      <w:r>
        <w:t xml:space="preserve">Hu, H., V. Yousefzadeh, and D. Maksimovic. 2008.</w:t>
      </w:r>
      <w:r>
        <w:t xml:space="preserve"> </w:t>
      </w:r>
      <w:r>
        <w:t xml:space="preserve">“Nonuniform</w:t>
      </w:r>
      <w:r>
        <w:t xml:space="preserve"> </w:t>
      </w:r>
      <w:r>
        <w:t xml:space="preserve">A/D</w:t>
      </w:r>
      <w:r>
        <w:t xml:space="preserve"> </w:t>
      </w:r>
      <w:r>
        <w:t xml:space="preserve">Quantization for Improved Dynamic Responses of Digitally Controlled</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23 (4): 1998–2005.</w:t>
      </w:r>
    </w:p>
    <w:bookmarkEnd w:id="91"/>
    <w:bookmarkStart w:id="92" w:name="ref-kim2024"/>
    <w:p>
      <w:pPr>
        <w:pStyle w:val="Bibliography"/>
      </w:pPr>
      <w:r>
        <w:t xml:space="preserve">Kim, H., Y. Choi, D. Kim, and J. Kim. 2024.</w:t>
      </w:r>
      <w:r>
        <w:t xml:space="preserve"> </w:t>
      </w:r>
      <w:r>
        <w:t xml:space="preserve">“A GaN-Based Digitally Controlled DC-DC Buck Converter with an ADC-Based Digital Controller and Soft-Start Function.”</w:t>
      </w:r>
      <w:r>
        <w:t xml:space="preserve"> </w:t>
      </w:r>
      <w:r>
        <w:rPr>
          <w:i/>
          <w:iCs/>
        </w:rPr>
        <w:t xml:space="preserve">Proc. IEEE Int. Conf. Consumer Electron.-Asia (ICCE-Asia)</w:t>
      </w:r>
      <w:r>
        <w:t xml:space="preserve">, 1–2.</w:t>
      </w:r>
    </w:p>
    <w:bookmarkEnd w:id="92"/>
    <w:bookmarkStart w:id="93" w:name="ref-liu2009"/>
    <w:p>
      <w:pPr>
        <w:pStyle w:val="Bibliography"/>
      </w:pPr>
      <w:r>
        <w:t xml:space="preserve">Liu, Y.-F., E. Meyer, and X. Liu. 2009.</w:t>
      </w:r>
      <w:r>
        <w:t xml:space="preserve"> </w:t>
      </w:r>
      <w:r>
        <w:t xml:space="preserve">“Recent Developments in Digital Control Strategies for</w:t>
      </w:r>
      <w:r>
        <w:t xml:space="preserve"> </w:t>
      </w:r>
      <w:r>
        <w:t xml:space="preserve">DC/DC</w:t>
      </w:r>
      <w:r>
        <w:t xml:space="preserve"> </w:t>
      </w:r>
      <w:r>
        <w:t xml:space="preserve">Switching Power Converters.”</w:t>
      </w:r>
      <w:r>
        <w:t xml:space="preserve"> </w:t>
      </w:r>
      <w:r>
        <w:rPr>
          <w:i/>
          <w:iCs/>
        </w:rPr>
        <w:t xml:space="preserve">IEEE Trans. Power Electron.</w:t>
      </w:r>
      <w:r>
        <w:t xml:space="preserve"> </w:t>
      </w:r>
      <w:r>
        <w:t xml:space="preserve">24 (11): 2567–77.</w:t>
      </w:r>
    </w:p>
    <w:bookmarkEnd w:id="93"/>
    <w:bookmarkStart w:id="94" w:name="ref-lukic2007"/>
    <w:p>
      <w:pPr>
        <w:pStyle w:val="Bibliography"/>
      </w:pPr>
      <w:r>
        <w:t xml:space="preserve">Lukic, Z., N. Rahman, and A. Prodić. 2007.</w:t>
      </w:r>
      <w:r>
        <w:t xml:space="preserve"> </w:t>
      </w:r>
      <w:r>
        <w:t xml:space="preserve">“Multibit</w:t>
      </w:r>
      <w:r>
        <w:t xml:space="preserve"> </w:t>
      </w:r>
      <w:r>
        <w:t xml:space="preserve">Sigma-Delta</w:t>
      </w:r>
      <w:r>
        <w:t xml:space="preserve"> </w:t>
      </w:r>
      <w:r>
        <w:t xml:space="preserve">PWM</w:t>
      </w:r>
      <w:r>
        <w:t xml:space="preserve"> </w:t>
      </w:r>
      <w:r>
        <w:t xml:space="preserve">Digital Controller</w:t>
      </w:r>
      <w:r>
        <w:t xml:space="preserve"> </w:t>
      </w:r>
      <w:r>
        <w:t xml:space="preserve">IC</w:t>
      </w:r>
      <w:r>
        <w:t xml:space="preserve"> </w:t>
      </w:r>
      <w:r>
        <w:t xml:space="preserve">for</w:t>
      </w:r>
      <w:r>
        <w:t xml:space="preserve"> </w:t>
      </w:r>
      <w:r>
        <w:t xml:space="preserve">DC-DC</w:t>
      </w:r>
      <w:r>
        <w:t xml:space="preserve"> </w:t>
      </w:r>
      <w:r>
        <w:t xml:space="preserve">Converters Operating at Switching Frequencies Beyond 10</w:t>
      </w:r>
      <w:r>
        <w:t xml:space="preserve"> </w:t>
      </w:r>
      <w:r>
        <w:t xml:space="preserve">MHz</w:t>
      </w:r>
      <w:r>
        <w:t xml:space="preserve">.”</w:t>
      </w:r>
      <w:r>
        <w:t xml:space="preserve"> </w:t>
      </w:r>
      <w:r>
        <w:rPr>
          <w:i/>
          <w:iCs/>
        </w:rPr>
        <w:t xml:space="preserve">IEEE Trans. Power Electron.</w:t>
      </w:r>
      <w:r>
        <w:t xml:space="preserve"> </w:t>
      </w:r>
      <w:r>
        <w:t xml:space="preserve">22 (5): 1693–707.</w:t>
      </w:r>
    </w:p>
    <w:bookmarkEnd w:id="94"/>
    <w:bookmarkStart w:id="95" w:name="ref-maksimovic2007"/>
    <w:p>
      <w:pPr>
        <w:pStyle w:val="Bibliography"/>
      </w:pPr>
      <w:r>
        <w:t xml:space="preserve">Maksimovic, D., and R. Zane. 2007.</w:t>
      </w:r>
      <w:r>
        <w:t xml:space="preserve"> </w:t>
      </w:r>
      <w:r>
        <w:t xml:space="preserve">“Small-Signal Discrete-Time Modeling of Digitally Controlled</w:t>
      </w:r>
      <w:r>
        <w:t xml:space="preserve"> </w:t>
      </w:r>
      <w:r>
        <w:t xml:space="preserve">PWM</w:t>
      </w:r>
      <w:r>
        <w:t xml:space="preserve"> </w:t>
      </w:r>
      <w:r>
        <w:t xml:space="preserve">Converters.”</w:t>
      </w:r>
      <w:r>
        <w:t xml:space="preserve"> </w:t>
      </w:r>
      <w:r>
        <w:rPr>
          <w:i/>
          <w:iCs/>
        </w:rPr>
        <w:t xml:space="preserve">IEEE Trans. Power Electron.</w:t>
      </w:r>
      <w:r>
        <w:t xml:space="preserve"> </w:t>
      </w:r>
      <w:r>
        <w:t xml:space="preserve">22 (6): 2552–56.</w:t>
      </w:r>
    </w:p>
    <w:bookmarkEnd w:id="95"/>
    <w:bookmarkStart w:id="96" w:name="ref-maksimovic2004"/>
    <w:p>
      <w:pPr>
        <w:pStyle w:val="Bibliography"/>
      </w:pPr>
      <w:r>
        <w:t xml:space="preserve">Maksimovic, D., R. Zane, and R. Erickson. 2004.</w:t>
      </w:r>
      <w:r>
        <w:t xml:space="preserve"> </w:t>
      </w:r>
      <w:r>
        <w:t xml:space="preserve">“Impact of Digital Control in Power Electronics.”</w:t>
      </w:r>
      <w:r>
        <w:t xml:space="preserve"> </w:t>
      </w:r>
      <w:r>
        <w:rPr>
          <w:i/>
          <w:iCs/>
        </w:rPr>
        <w:t xml:space="preserve">Proc. 16th Int. Symp. Power Semiconductor Devices and ICs (ISPSD)</w:t>
      </w:r>
      <w:r>
        <w:t xml:space="preserve">, 13–22.</w:t>
      </w:r>
    </w:p>
    <w:bookmarkEnd w:id="96"/>
    <w:bookmarkStart w:id="97" w:name="ref-mohan2012"/>
    <w:p>
      <w:pPr>
        <w:pStyle w:val="Bibliography"/>
      </w:pPr>
      <w:r>
        <w:t xml:space="preserve">Mohan, N., and M. Barai. 2012.</w:t>
      </w:r>
      <w:r>
        <w:t xml:space="preserve"> </w:t>
      </w:r>
      <w:r>
        <w:t xml:space="preserve">“Digital Control of Zero Voltage Switching Buck Converter Using PIC Microcontroller.”</w:t>
      </w:r>
      <w:r>
        <w:t xml:space="preserve"> </w:t>
      </w:r>
      <w:r>
        <w:rPr>
          <w:i/>
          <w:iCs/>
        </w:rPr>
        <w:t xml:space="preserve">Proc. IEEE 5th India Int. Conf. Power Electron. (IICPE)</w:t>
      </w:r>
      <w:r>
        <w:t xml:space="preserve">, 1–4.</w:t>
      </w:r>
    </w:p>
    <w:bookmarkEnd w:id="97"/>
    <w:bookmarkStart w:id="98" w:name="ref-norris2008"/>
    <w:p>
      <w:pPr>
        <w:pStyle w:val="Bibliography"/>
      </w:pPr>
      <w:r>
        <w:t xml:space="preserve">Norris, M., L. M. Platon, E. Alarcon, and D. Maksimovic. 2008.</w:t>
      </w:r>
      <w:r>
        <w:t xml:space="preserve"> </w:t>
      </w:r>
      <w:r>
        <w:t xml:space="preserve">“Quantization Noise Shaping in Digital</w:t>
      </w:r>
      <w:r>
        <w:t xml:space="preserve"> </w:t>
      </w:r>
      <w:r>
        <w:t xml:space="preserve">PWM</w:t>
      </w:r>
      <w:r>
        <w:t xml:space="preserve"> </w:t>
      </w:r>
      <w:r>
        <w:t xml:space="preserve">Converters.”</w:t>
      </w:r>
      <w:r>
        <w:t xml:space="preserve"> </w:t>
      </w:r>
      <w:r>
        <w:rPr>
          <w:i/>
          <w:iCs/>
        </w:rPr>
        <w:t xml:space="preserve">Proc. IEEE Power Electron. Specialists Conf. (PESC)</w:t>
      </w:r>
      <w:r>
        <w:t xml:space="preserve">, 127–33.</w:t>
      </w:r>
    </w:p>
    <w:bookmarkEnd w:id="98"/>
    <w:bookmarkStart w:id="99" w:name="ref-patella2003"/>
    <w:p>
      <w:pPr>
        <w:pStyle w:val="Bibliography"/>
      </w:pPr>
      <w:r>
        <w:t xml:space="preserve">Patella, B. J., A. Prodić, A. Zirger, and D. Maksimovic. 2003.</w:t>
      </w:r>
      <w:r>
        <w:t xml:space="preserve"> </w:t>
      </w:r>
      <w:r>
        <w:t xml:space="preserve">“High-Frequency Digital</w:t>
      </w:r>
      <w:r>
        <w:t xml:space="preserve"> </w:t>
      </w:r>
      <w:r>
        <w:t xml:space="preserve">PWM</w:t>
      </w:r>
      <w:r>
        <w:t xml:space="preserve"> </w:t>
      </w:r>
      <w:r>
        <w:t xml:space="preserve">Controller</w:t>
      </w:r>
      <w:r>
        <w:t xml:space="preserve"> </w:t>
      </w:r>
      <w:r>
        <w:t xml:space="preserve">IC</w:t>
      </w:r>
      <w:r>
        <w:t xml:space="preserve"> </w:t>
      </w:r>
      <w:r>
        <w:t xml:space="preserve">for</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18 (1): 438–46.</w:t>
      </w:r>
    </w:p>
    <w:bookmarkEnd w:id="99"/>
    <w:bookmarkStart w:id="100" w:name="ref-peng2007"/>
    <w:p>
      <w:pPr>
        <w:pStyle w:val="Bibliography"/>
      </w:pPr>
      <w:r>
        <w:t xml:space="preserve">Peng, H., D. Prodić, A. Alarcon, and D. Maksimovic. 2007.</w:t>
      </w:r>
      <w:r>
        <w:t xml:space="preserve"> </w:t>
      </w:r>
      <w:r>
        <w:t xml:space="preserve">“Modeling of Quantization Effects in Digitally Controlled</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22 (1): 208–15.</w:t>
      </w:r>
    </w:p>
    <w:bookmarkEnd w:id="100"/>
    <w:bookmarkStart w:id="102" w:name="ref-peterchev2003"/>
    <w:p>
      <w:pPr>
        <w:pStyle w:val="Bibliography"/>
      </w:pPr>
      <w:r>
        <w:t xml:space="preserve">Peterchev, A. V., and S. R. Sanders. 2003.</w:t>
      </w:r>
      <w:r>
        <w:t xml:space="preserve"> </w:t>
      </w:r>
      <w:r>
        <w:t xml:space="preserve">“Quantization Resolution and Limit Cycling in Digitally Controlled</w:t>
      </w:r>
      <w:r>
        <w:t xml:space="preserve"> </w:t>
      </w:r>
      <w:r>
        <w:t xml:space="preserve">PWM</w:t>
      </w:r>
      <w:r>
        <w:t xml:space="preserve"> </w:t>
      </w:r>
      <w:r>
        <w:t xml:space="preserve">Converters.”</w:t>
      </w:r>
      <w:r>
        <w:t xml:space="preserve"> </w:t>
      </w:r>
      <w:r>
        <w:rPr>
          <w:i/>
          <w:iCs/>
        </w:rPr>
        <w:t xml:space="preserve">IEEE Trans. Power Electron.</w:t>
      </w:r>
      <w:r>
        <w:t xml:space="preserve"> </w:t>
      </w:r>
      <w:r>
        <w:t xml:space="preserve">18 (1): 301–8.</w:t>
      </w:r>
      <w:r>
        <w:t xml:space="preserve"> </w:t>
      </w:r>
      <w:hyperlink r:id="rId101">
        <w:r>
          <w:rPr>
            <w:rStyle w:val="Hyperlink"/>
          </w:rPr>
          <w:t xml:space="preserve">https://doi.org/10.1109/TPEL.2002.807092</w:t>
        </w:r>
      </w:hyperlink>
      <w:r>
        <w:t xml:space="preserve">.</w:t>
      </w:r>
    </w:p>
    <w:bookmarkEnd w:id="102"/>
    <w:bookmarkStart w:id="103" w:name="ref-saysanasongkham2013"/>
    <w:p>
      <w:pPr>
        <w:pStyle w:val="Bibliography"/>
      </w:pPr>
      <w:r>
        <w:t xml:space="preserve">Saysanasongkham, A., S. Fukumoto, M. Arai, S. Takeuchi, and K. Wada. 2013.</w:t>
      </w:r>
      <w:r>
        <w:t xml:space="preserve"> </w:t>
      </w:r>
      <w:r>
        <w:t xml:space="preserve">“An Adaptive Sampling Method for a Highly Reliable Digital Control Power Converter.”</w:t>
      </w:r>
      <w:r>
        <w:t xml:space="preserve"> </w:t>
      </w:r>
      <w:r>
        <w:rPr>
          <w:i/>
          <w:iCs/>
        </w:rPr>
        <w:t xml:space="preserve">Proc. IEEE Int. Future Energy Electronics Conf. (IFEEC)</w:t>
      </w:r>
      <w:r>
        <w:t xml:space="preserve">, 716–21.</w:t>
      </w:r>
    </w:p>
    <w:bookmarkEnd w:id="103"/>
    <w:bookmarkStart w:id="104" w:name="ref-suhitha2024"/>
    <w:p>
      <w:pPr>
        <w:pStyle w:val="Bibliography"/>
      </w:pPr>
      <w:r>
        <w:t xml:space="preserve">Suhitha, K., J. Harshavardhan, A. Jaiswal, S. Kumar, and S. Varalakshmi. 2024.</w:t>
      </w:r>
      <w:r>
        <w:t xml:space="preserve"> </w:t>
      </w:r>
      <w:r>
        <w:t xml:space="preserve">“IoT Controlled DC-DC Converter for Remote Power Monitoring and Control.”</w:t>
      </w:r>
      <w:r>
        <w:t xml:space="preserve"> </w:t>
      </w:r>
      <w:r>
        <w:rPr>
          <w:i/>
          <w:iCs/>
        </w:rPr>
        <w:t xml:space="preserve">Proc. 10th IEEE Int. Conf. Electrical Energy Systems (ICEES)</w:t>
      </w:r>
      <w:r>
        <w:t xml:space="preserve">, 1–6.</w:t>
      </w:r>
    </w:p>
    <w:bookmarkEnd w:id="104"/>
    <w:bookmarkStart w:id="105" w:name="ref-sun2010"/>
    <w:p>
      <w:pPr>
        <w:pStyle w:val="Bibliography"/>
      </w:pPr>
      <w:r>
        <w:t xml:space="preserve">Sun, A., M. T. Tan, and L. Siek. 2010.</w:t>
      </w:r>
      <w:r>
        <w:t xml:space="preserve"> </w:t>
      </w:r>
      <w:r>
        <w:t xml:space="preserve">“Segmented Hybrid DPWM and Tunable PID Controller for Digital DC-DC Converters.”</w:t>
      </w:r>
      <w:r>
        <w:t xml:space="preserve"> </w:t>
      </w:r>
      <w:r>
        <w:rPr>
          <w:i/>
          <w:iCs/>
        </w:rPr>
        <w:t xml:space="preserve">Proc. IEEE Int. Symp. Next-Generation Electron. (ISNE)</w:t>
      </w:r>
      <w:r>
        <w:t xml:space="preserve">, 154–57.</w:t>
      </w:r>
    </w:p>
    <w:bookmarkEnd w:id="105"/>
    <w:bookmarkStart w:id="106" w:name="ref-syed2004"/>
    <w:p>
      <w:pPr>
        <w:pStyle w:val="Bibliography"/>
      </w:pPr>
      <w:r>
        <w:t xml:space="preserve">Syed, A., E. Ahmed, E. Alarcon, and D. Maksimovic. 2004.</w:t>
      </w:r>
      <w:r>
        <w:t xml:space="preserve"> </w:t>
      </w:r>
      <w:r>
        <w:t xml:space="preserve">“Digital Pulse Width Modulator Architectures.”</w:t>
      </w:r>
      <w:r>
        <w:t xml:space="preserve"> </w:t>
      </w:r>
      <w:r>
        <w:rPr>
          <w:i/>
          <w:iCs/>
        </w:rPr>
        <w:t xml:space="preserve">Proc. IEEE Power Electron. Specialists Conf. (PESC)</w:t>
      </w:r>
      <w:r>
        <w:t xml:space="preserve">, 4689–95.</w:t>
      </w:r>
    </w:p>
    <w:bookmarkEnd w:id="106"/>
    <w:bookmarkStart w:id="107" w:name="ref-vijayalakshmi2014"/>
    <w:p>
      <w:pPr>
        <w:pStyle w:val="Bibliography"/>
      </w:pPr>
      <w:r>
        <w:t xml:space="preserve">Vijayalakshmi, S., and T. Sree Renga Raja. 2014.</w:t>
      </w:r>
      <w:r>
        <w:t xml:space="preserve"> </w:t>
      </w:r>
      <w:r>
        <w:t xml:space="preserve">“Time Domain Based Digital Controller for Buck-Boost Converter.”</w:t>
      </w:r>
      <w:r>
        <w:t xml:space="preserve"> </w:t>
      </w:r>
      <w:r>
        <w:rPr>
          <w:i/>
          <w:iCs/>
        </w:rPr>
        <w:t xml:space="preserve">J. Electr. Eng. Technol.</w:t>
      </w:r>
      <w:r>
        <w:t xml:space="preserve"> </w:t>
      </w:r>
      <w:r>
        <w:t xml:space="preserve">9 (5): 1551–61.</w:t>
      </w:r>
    </w:p>
    <w:bookmarkEnd w:id="107"/>
    <w:bookmarkStart w:id="108" w:name="ref-vinodhini2014"/>
    <w:p>
      <w:pPr>
        <w:pStyle w:val="Bibliography"/>
      </w:pPr>
      <w:r>
        <w:t xml:space="preserve">Vinodhini, R., G. Rajitha, B. Kumar, and A. Kumar. 2014.</w:t>
      </w:r>
      <w:r>
        <w:t xml:space="preserve"> </w:t>
      </w:r>
      <w:r>
        <w:t xml:space="preserve">“dSPACE Based 12/24V Closed Loop Boost Converter for Low Power Applications.”</w:t>
      </w:r>
      <w:r>
        <w:t xml:space="preserve"> </w:t>
      </w:r>
      <w:r>
        <w:rPr>
          <w:i/>
          <w:iCs/>
        </w:rPr>
        <w:t xml:space="preserve">Proc. Int. Conf. Computation of Power, Energy, Information and Communication (ICCPEIC)</w:t>
      </w:r>
      <w:r>
        <w:t xml:space="preserve">, 213–17.</w:t>
      </w:r>
    </w:p>
    <w:bookmarkEnd w:id="108"/>
    <w:bookmarkStart w:id="109" w:name="ref-viswanatha2020"/>
    <w:p>
      <w:pPr>
        <w:pStyle w:val="Bibliography"/>
      </w:pPr>
      <w:r>
        <w:t xml:space="preserve">Viswanatha, V., R. V. S. Reddy, and Rajeswari. 2020.</w:t>
      </w:r>
      <w:r>
        <w:t xml:space="preserve"> </w:t>
      </w:r>
      <w:r>
        <w:t xml:space="preserve">“Characterization of Analog and Digital Control Loops for Bidirectional Buck-Boost Converter Using</w:t>
      </w:r>
      <w:r>
        <w:t xml:space="preserve"> </w:t>
      </w:r>
      <w:r>
        <w:t xml:space="preserve">PID/PIDN</w:t>
      </w:r>
      <w:r>
        <w:t xml:space="preserve"> </w:t>
      </w:r>
      <w:r>
        <w:t xml:space="preserve">Algorithms.”</w:t>
      </w:r>
      <w:r>
        <w:t xml:space="preserve"> </w:t>
      </w:r>
      <w:r>
        <w:rPr>
          <w:i/>
          <w:iCs/>
        </w:rPr>
        <w:t xml:space="preserve">J. Electr. Syst. Inf. Technol.</w:t>
      </w:r>
      <w:r>
        <w:t xml:space="preserve"> </w:t>
      </w:r>
      <w:r>
        <w:t xml:space="preserve">7 (1).</w:t>
      </w:r>
    </w:p>
    <w:bookmarkEnd w:id="109"/>
    <w:bookmarkStart w:id="110" w:name="ref-white1969"/>
    <w:p>
      <w:pPr>
        <w:pStyle w:val="Bibliography"/>
      </w:pPr>
      <w:r>
        <w:t xml:space="preserve">White, S. A. 1969.</w:t>
      </w:r>
      <w:r>
        <w:t xml:space="preserve"> </w:t>
      </w:r>
      <w:r>
        <w:t xml:space="preserve">“Quantizer-Induced Digital Controller Limit Cycles.”</w:t>
      </w:r>
      <w:r>
        <w:t xml:space="preserve"> </w:t>
      </w:r>
      <w:r>
        <w:rPr>
          <w:i/>
          <w:iCs/>
        </w:rPr>
        <w:t xml:space="preserve">IEEE Trans. Autom. Control</w:t>
      </w:r>
      <w:r>
        <w:t xml:space="preserve"> </w:t>
      </w:r>
      <w:r>
        <w:t xml:space="preserve">14 (4): 430–32.</w:t>
      </w:r>
    </w:p>
    <w:bookmarkEnd w:id="110"/>
    <w:bookmarkStart w:id="111" w:name="ref-yao2018"/>
    <w:p>
      <w:pPr>
        <w:pStyle w:val="Bibliography"/>
      </w:pPr>
      <w:r>
        <w:t xml:space="preserve">Yao, J., Y. Ishizuka, K. Shiya, and T. Soejima. 2018.</w:t>
      </w:r>
      <w:r>
        <w:t xml:space="preserve"> </w:t>
      </w:r>
      <w:r>
        <w:t xml:space="preserve">“48V/5V Direct Conversion 1MHz DC-DC Converter with 14ns Time-Delay Digital Control.”</w:t>
      </w:r>
      <w:r>
        <w:t xml:space="preserve"> </w:t>
      </w:r>
      <w:r>
        <w:rPr>
          <w:i/>
          <w:iCs/>
        </w:rPr>
        <w:t xml:space="preserve">Proc. IEEE Power and Energy Conf. At Illinois (PECI)</w:t>
      </w:r>
      <w:r>
        <w:t xml:space="preserve">, 1–5.</w:t>
      </w:r>
    </w:p>
    <w:bookmarkEnd w:id="111"/>
    <w:bookmarkStart w:id="112" w:name="ref-yousefzadeh2007"/>
    <w:p>
      <w:pPr>
        <w:pStyle w:val="Bibliography"/>
      </w:pPr>
      <w:r>
        <w:t xml:space="preserve">Yousefzadeh, V., M. Shirazi, and D. Maksimovic. 2007.</w:t>
      </w:r>
      <w:r>
        <w:t xml:space="preserve"> </w:t>
      </w:r>
      <w:r>
        <w:t xml:space="preserve">“Minimum Phase Response in Digitally Controlled Boost and Flyback Converters.”</w:t>
      </w:r>
      <w:r>
        <w:t xml:space="preserve"> </w:t>
      </w:r>
      <w:r>
        <w:rPr>
          <w:i/>
          <w:iCs/>
        </w:rPr>
        <w:t xml:space="preserve">Proc. IEEE Appl. Power Electron. Conf. (APEC)</w:t>
      </w:r>
      <w:r>
        <w:t xml:space="preserve">, 865–70.</w:t>
      </w:r>
    </w:p>
    <w:bookmarkEnd w:id="112"/>
    <w:bookmarkStart w:id="113" w:name="ref-yu2023"/>
    <w:p>
      <w:pPr>
        <w:pStyle w:val="Bibliography"/>
      </w:pPr>
      <w:r>
        <w:t xml:space="preserve">Yu, J., W. Zhang, W. Xiong, and Y. Wang. 2023.</w:t>
      </w:r>
      <w:r>
        <w:t xml:space="preserve"> </w:t>
      </w:r>
      <w:r>
        <w:t xml:space="preserve">“A Sliding Mode Controller with Signal Transmission Delay Compensation for the Parallel DC/DC Converter’s Network Control System.”</w:t>
      </w:r>
      <w:r>
        <w:t xml:space="preserve"> </w:t>
      </w:r>
      <w:r>
        <w:rPr>
          <w:i/>
          <w:iCs/>
        </w:rPr>
        <w:t xml:space="preserve">Electronics</w:t>
      </w:r>
      <w:r>
        <w:t xml:space="preserve"> </w:t>
      </w:r>
      <w:r>
        <w:t xml:space="preserve">13 (1): 121.</w:t>
      </w:r>
    </w:p>
    <w:bookmarkEnd w:id="113"/>
    <w:bookmarkStart w:id="114" w:name="ref-zhao2007"/>
    <w:p>
      <w:pPr>
        <w:pStyle w:val="Bibliography"/>
      </w:pPr>
      <w:r>
        <w:t xml:space="preserve">Zhao, Z., and A. Prodić. 2007.</w:t>
      </w:r>
      <w:r>
        <w:t xml:space="preserve"> </w:t>
      </w:r>
      <w:r>
        <w:t xml:space="preserve">“Limit-Cycle Oscillations Based Auto-Tuning System for Digitally Controlled</w:t>
      </w:r>
      <w:r>
        <w:t xml:space="preserve"> </w:t>
      </w:r>
      <w:r>
        <w:t xml:space="preserve">DC-DC</w:t>
      </w:r>
      <w:r>
        <w:t xml:space="preserve"> </w:t>
      </w:r>
      <w:r>
        <w:t xml:space="preserve">Power Supplies.”</w:t>
      </w:r>
      <w:r>
        <w:t xml:space="preserve"> </w:t>
      </w:r>
      <w:r>
        <w:rPr>
          <w:i/>
          <w:iCs/>
        </w:rPr>
        <w:t xml:space="preserve">IEEE Trans. Power Electron.</w:t>
      </w:r>
      <w:r>
        <w:t xml:space="preserve"> </w:t>
      </w:r>
      <w:r>
        <w:t xml:space="preserve">22 (6): 2211–22.</w:t>
      </w:r>
    </w:p>
    <w:bookmarkEnd w:id="114"/>
    <w:bookmarkStart w:id="115" w:name="ref-zhou2019"/>
    <w:p>
      <w:pPr>
        <w:pStyle w:val="Bibliography"/>
      </w:pPr>
      <w:r>
        <w:t xml:space="preserve">Zhou, L., and M. Preindl. 2019.</w:t>
      </w:r>
      <w:r>
        <w:t xml:space="preserve"> </w:t>
      </w:r>
      <w:r>
        <w:t xml:space="preserve">“Variable-Frequency Explicit Model Predictive Control of Wide Band Gap DC/DC Converter with Critical Soft Switching.”</w:t>
      </w:r>
      <w:r>
        <w:t xml:space="preserve"> </w:t>
      </w:r>
      <w:r>
        <w:rPr>
          <w:i/>
          <w:iCs/>
        </w:rPr>
        <w:t xml:space="preserve">Proc. IEEE Applied Power Electronics Conf. (APEC)</w:t>
      </w:r>
      <w:r>
        <w:t xml:space="preserve">, 2995–99.</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 Type="http://schemas.openxmlformats.org/officeDocument/2006/relationships/hyperlink" Id="rId101" Target="https://doi.org/10.1109/TPEL.2002.807092"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109/TPEL.2002.8070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 ; </dc:creator>
  <cp:keywords/>
  <dcterms:created xsi:type="dcterms:W3CDTF">2026-08-19T13:00:36Z</dcterms:created>
  <dcterms:modified xsi:type="dcterms:W3CDTF">2026-08-19T13:00:36Z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about 680x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(from the 27 mV coarse-ADC ripple to the 205 mV 6-bit-PWM limit cycle).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+/-40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