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54.png" ContentType="image/png"/>
  <Override PartName="/word/media/rId49.png" ContentType="image/png"/>
  <Override PartName="/word/media/rId63.png" ContentType="image/png"/>
  <Override PartName="/word/media/rId59.png" ContentType="image/png"/>
  <Override PartName="/word/media/rId14.png" ContentType="image/png"/>
  <Override PartName="/word/media/rId10.png" ContentType="image/png"/>
  <Override PartName="/word/media/rId22.png" ContentType="image/png"/>
  <Override PartName="/word/media/rId26.png" ContentType="image/png"/>
  <Override PartName="/word/media/rId30.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r>
        <w:t xml:space="preserve">Syeda Salsabil Islam Ariya and Jasimul Islam Chowdhury and Hussain Touhid Siddiquee</w:t>
      </w: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 while quantization-effect modeling permits quantitative prediction of these oscillations</w:t>
      </w:r>
      <w:r>
        <w:t xml:space="preserve"> </w:t>
      </w:r>
      <w:r>
        <w:t xml:space="preserve">. Recent work extends the analysis to MHz-range GaN converters using dither and sigma-delta modulation</w:t>
      </w:r>
      <w:r>
        <w:t xml:space="preserve"> </w:t>
      </w:r>
      <w:r>
        <w:t xml:space="preserve"> </w:t>
      </w:r>
      <w:r>
        <w:t xml:space="preserve">and to design guidelines for two-loop current-mode digital controllers</w:t>
      </w:r>
      <w:r>
        <w:t xml:space="preserve"> </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 Peng, Prodić, Alarcón, and Maksimović derived static and dynamic quantization models explaining the origins of limit-cycle oscillations</w:t>
      </w:r>
      <w:r>
        <w:t xml:space="preserve"> </w:t>
      </w:r>
      <w:r>
        <w:t xml:space="preserve">, and Maksimović and Zane provided the small-signal discrete-time framework used to design digitally controlled converters</w:t>
      </w:r>
      <w:r>
        <w:t xml:space="preserve"> </w:t>
      </w:r>
      <w:r>
        <w:t xml:space="preserve">. A fuller survey appears in</w:t>
      </w:r>
      <w:r>
        <w:t xml:space="preserve"> </w:t>
      </w:r>
      <w:r>
        <w:t xml:space="preserve">. On the application side, low-resolution non-uniform ADC quantization has been shown to improve dynamic response</w:t>
      </w:r>
      <w:r>
        <w:t xml:space="preserve"> </w:t>
      </w:r>
      <w:r>
        <w:t xml:space="preserve">, and the full control loop benefits from predictive structures</w:t>
      </w:r>
      <w:r>
        <w:t xml:space="preserve"> </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 </w:t>
      </w:r>
      <w:r>
        <w:t xml:space="preserve">and do not sweep the full implementation space. The classical converter model itself is textbook material</w:t>
      </w:r>
      <w:r>
        <w:t xml:space="preserve"> </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70688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70688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r>
            <m:t>d</m:t>
          </m:r>
          <m:r>
            <m:rPr>
              <m:sty m:val="p"/>
            </m:rPr>
            <m:t>[</m:t>
          </m:r>
          <m:r>
            <m:t>k</m:t>
          </m:r>
          <m:r>
            <m:rPr>
              <m:sty m:val="p"/>
            </m:rPr>
            <m:t>]</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6"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4"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29" w:name="fig:adc"/>
    <w:p>
      <w:pPr>
        <w:pStyle w:val="CaptionedFigure"/>
      </w:pPr>
      <w:r>
        <w:drawing>
          <wp:inline>
            <wp:extent cx="4267200" cy="1302618"/>
            <wp:effectExtent b="0" l="0" r="0" t="0"/>
            <wp:docPr descr=""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ADC-resolution effect at</w:t>
      </w:r>
      <w:r>
        <w:t xml:space="preserve"> </w:t>
      </w:r>
      <m:oMath>
        <m:sSub>
          <m:e>
            <m:r>
              <m:t>T</m:t>
            </m:r>
          </m:e>
          <m:sub>
            <m:r>
              <m:t>s</m:t>
            </m:r>
          </m:sub>
        </m:sSub>
        <m:r>
          <m:rPr>
            <m:sty m:val="p"/>
          </m:rPr>
          <m:t>=</m:t>
        </m:r>
        <m:sSub>
          <m:e>
            <m:r>
              <m:t>T</m:t>
            </m:r>
          </m:e>
          <m:sub>
            <m:r>
              <m:t>s</m:t>
            </m:r>
            <m:r>
              <m:t>w</m:t>
            </m:r>
          </m:sub>
        </m:sSub>
      </m:oMath>
      <w:r>
        <w:t xml:space="preserve"> </w:t>
      </w:r>
      <w:r>
        <w:t xml:space="preserve">(16-bit PWM):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an exact code, the 8-bit and 6-bit ADCs lock onto it, hiding steady-state error while worsening the transient (overshoot and settling).</w:t>
      </w:r>
    </w:p>
    <w:bookmarkEnd w:id="29"/>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 at 6-bit the DPWM step is</w:t>
      </w:r>
      <w:r>
        <w:t xml:space="preserve"> </w:t>
      </w:r>
      <m:oMath>
        <m:r>
          <m:t>2</m:t>
        </m:r>
        <m:r>
          <m:rPr>
            <m:sty m:val="p"/>
          </m:rPr>
          <m:t>/</m:t>
        </m:r>
        <m:r>
          <m:t>64</m:t>
        </m:r>
        <m:r>
          <m:rPr>
            <m:sty m:val="p"/>
          </m:rPr>
          <m:t>=</m:t>
        </m:r>
        <m:r>
          <m:t>31.25</m:t>
        </m:r>
      </m:oMath>
      <w:r>
        <w:t xml:space="preserve"> mV of duty, which maps through the control-to-output gain into the observed 204.8 mV ripple. This is precisely the regime addressed by finer DPWM controller implementations</w:t>
      </w:r>
      <w:r>
        <w:t xml:space="preserve"> </w:t>
      </w:r>
      <w:r>
        <w:t xml:space="preserve"> </w:t>
      </w:r>
      <w:r>
        <w:t xml:space="preserve">and by noise-shaping modulators</w:t>
      </w:r>
      <w:r>
        <w:t xml:space="preserve"> </w:t>
      </w:r>
      <w:r>
        <w:t xml:space="preserve">.</w:t>
      </w:r>
    </w:p>
    <w:bookmarkStart w:id="33" w:name="fig:pwm"/>
    <w:p>
      <w:pPr>
        <w:pStyle w:val="CaptionedFigure"/>
      </w:pPr>
      <w:r>
        <w:drawing>
          <wp:inline>
            <wp:extent cx="4267200" cy="1302618"/>
            <wp:effectExtent b="0" l="0" r="0" t="0"/>
            <wp:docPr descr="" title="" id="31" name="Picture"/>
            <a:graphic>
              <a:graphicData uri="http://schemas.openxmlformats.org/drawingml/2006/picture">
                <pic:pic>
                  <pic:nvPicPr>
                    <pic:cNvPr descr="/home/touhid/Documents/powerpaper/results/figures/fig4_pwm.png" id="32" name="Picture"/>
                    <pic:cNvPicPr>
                      <a:picLocks noChangeArrowheads="1" noChangeAspect="1"/>
                    </pic:cNvPicPr>
                  </pic:nvPicPr>
                  <pic:blipFill>
                    <a:blip r:embed="rId30"/>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PWM-resolution effect at</w:t>
      </w:r>
      <w:r>
        <w:t xml:space="preserve"> </w:t>
      </w:r>
      <m:oMath>
        <m:sSub>
          <m:e>
            <m:r>
              <m:t>T</m:t>
            </m:r>
          </m:e>
          <m:sub>
            <m:r>
              <m:t>s</m:t>
            </m:r>
          </m:sub>
        </m:sSub>
        <m:r>
          <m:rPr>
            <m:sty m:val="p"/>
          </m:rPr>
          <m:t>=</m:t>
        </m:r>
        <m:sSub>
          <m:e>
            <m:r>
              <m:t>T</m:t>
            </m:r>
          </m:e>
          <m:sub>
            <m:r>
              <m:t>s</m:t>
            </m:r>
            <m:r>
              <m:t>w</m:t>
            </m:r>
          </m:sub>
        </m:sSub>
      </m:oMath>
      <w:r>
        <w:t xml:space="preserve"> </w:t>
      </w:r>
      <w:r>
        <w:t xml:space="preserve">(16-bit ADC): duty quantization below 8 bits is the dominant limit-cycle source, adding a 204.8 mV ripple at 6-bit PWM versus</w:t>
      </w:r>
      <w:r>
        <w:t xml:space="preserve"> </w:t>
      </w:r>
      <m:oMath>
        <m:r>
          <m:rPr>
            <m:sty m:val="p"/>
          </m:rPr>
          <m:t>≈</m:t>
        </m:r>
      </m:oMath>
      <w:r>
        <w:t xml:space="preserve">39.5 mV at 12/10/8-bit.</w:t>
      </w:r>
    </w:p>
    <w:bookmarkEnd w:id="33"/>
    <w:bookmarkEnd w:id="34"/>
    <w:bookmarkStart w:id="39"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38" w:name="fig:perf"/>
    <w:p>
      <w:pPr>
        <w:pStyle w:val="CaptionedFigure"/>
      </w:pPr>
      <w:r>
        <w:drawing>
          <wp:inline>
            <wp:extent cx="4267200" cy="1302618"/>
            <wp:effectExtent b="0" l="0" r="0" t="0"/>
            <wp:docPr descr="" title="" id="36" name="Picture"/>
            <a:graphic>
              <a:graphicData uri="http://schemas.openxmlformats.org/drawingml/2006/picture">
                <pic:pic>
                  <pic:nvPicPr>
                    <pic:cNvPr descr="/home/touhid/Documents/powerpaper/results/figures/fig8_perf_map.png" id="37" name="Picture"/>
                    <pic:cNvPicPr>
                      <a:picLocks noChangeArrowheads="1" noChangeAspect="1"/>
                    </pic:cNvPicPr>
                  </pic:nvPicPr>
                  <pic:blipFill>
                    <a:blip r:embed="rId35"/>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38"/>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39"/>
    <w:bookmarkStart w:id="44"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and over 160 000 DCM cycles per event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r>
      <w:tr>
        <w:tc>
          <w:tcPr/>
          <w:p>
            <w:pPr>
              <w:pStyle w:val="Compact"/>
              <w:jc w:val="left"/>
            </w:pPr>
            <w:r>
              <w:t xml:space="preserve">Continuous</w:t>
            </w:r>
          </w:p>
        </w:tc>
        <w:tc>
          <w:tcPr/>
          <w:p>
            <w:pPr>
              <w:pStyle w:val="Compact"/>
              <w:jc w:val="left"/>
            </w:pPr>
            <w:r>
              <w:t xml:space="preserve">Vin step</w:t>
            </w:r>
          </w:p>
        </w:tc>
        <w:tc>
          <w:tcPr/>
          <w:p>
            <w:pPr>
              <w:pStyle w:val="Compact"/>
              <w:jc w:val="left"/>
            </w:pPr>
            <w:r>
              <w:t xml:space="preserve">1.43 ms</w:t>
            </w:r>
          </w:p>
        </w:tc>
        <w:tc>
          <w:tcPr/>
          <w:p>
            <w:pPr>
              <w:pStyle w:val="Compact"/>
              <w:jc w:val="left"/>
            </w:pPr>
            <w:r>
              <w:t xml:space="preserve">0.0 mV / 0.0014</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0.94 ms</w:t>
            </w:r>
          </w:p>
        </w:tc>
        <w:tc>
          <w:tcPr/>
          <w:p>
            <w:pPr>
              <w:pStyle w:val="Compact"/>
              <w:jc w:val="left"/>
            </w:pPr>
            <w:r>
              <w:t xml:space="preserve">0.3 mV / 0.0013</w:t>
            </w:r>
          </w:p>
        </w:tc>
      </w:tr>
      <w:tr>
        <w:tc>
          <w:tcPr/>
          <w:p>
            <w:pPr>
              <w:pStyle w:val="Compact"/>
              <w:jc w:val="left"/>
            </w:pPr>
            <w:r>
              <w:t xml:space="preserve">Ideal dig.</w:t>
            </w:r>
          </w:p>
        </w:tc>
        <w:tc>
          <w:tcPr/>
          <w:p>
            <w:pPr>
              <w:pStyle w:val="Compact"/>
              <w:jc w:val="left"/>
            </w:pPr>
            <w:r>
              <w:t xml:space="preserve">Vin step</w:t>
            </w:r>
          </w:p>
        </w:tc>
        <w:tc>
          <w:tcPr/>
          <w:p>
            <w:pPr>
              <w:pStyle w:val="Compact"/>
              <w:jc w:val="left"/>
            </w:pPr>
            <w:r>
              <w:t xml:space="preserve">0.92 ms</w:t>
            </w:r>
          </w:p>
        </w:tc>
        <w:tc>
          <w:tcPr/>
          <w:p>
            <w:pPr>
              <w:pStyle w:val="Compact"/>
              <w:jc w:val="left"/>
            </w:pPr>
            <w:r>
              <w:t xml:space="preserve">14.9 mV / 0.0017</w:t>
            </w:r>
          </w:p>
        </w:tc>
      </w:tr>
      <w:tr>
        <w:tc>
          <w:tcPr/>
          <w:p>
            <w:pPr>
              <w:pStyle w:val="Compact"/>
              <w:jc w:val="left"/>
            </w:pPr>
            <w:r>
              <w:t xml:space="preserve">Ideal dig.</w:t>
            </w:r>
          </w:p>
        </w:tc>
        <w:tc>
          <w:tcPr/>
          <w:p>
            <w:pPr>
              <w:pStyle w:val="Compact"/>
              <w:jc w:val="left"/>
            </w:pPr>
            <w:r>
              <w:t xml:space="preserve">Load step</w:t>
            </w:r>
          </w:p>
        </w:tc>
        <w:tc>
          <w:tcPr/>
          <w:p>
            <w:pPr>
              <w:pStyle w:val="Compact"/>
              <w:jc w:val="left"/>
            </w:pPr>
            <w:r>
              <w:t xml:space="preserve">0.84 ms</w:t>
            </w:r>
          </w:p>
        </w:tc>
        <w:tc>
          <w:tcPr/>
          <w:p>
            <w:pPr>
              <w:pStyle w:val="Compact"/>
              <w:jc w:val="left"/>
            </w:pPr>
            <w:r>
              <w:t xml:space="preserve">26.1 mV / 0.0019</w:t>
            </w:r>
          </w:p>
        </w:tc>
      </w:tr>
      <w:tr>
        <w:tc>
          <w:tcPr/>
          <w:p>
            <w:pPr>
              <w:pStyle w:val="Compact"/>
              <w:jc w:val="left"/>
            </w:pPr>
            <w:r>
              <w:t xml:space="preserve">Worst</w:t>
            </w:r>
          </w:p>
        </w:tc>
        <w:tc>
          <w:tcPr/>
          <w:p>
            <w:pPr>
              <w:pStyle w:val="Compact"/>
              <w:jc w:val="left"/>
            </w:pPr>
            <w:r>
              <w:t xml:space="preserve">Vin step</w:t>
            </w:r>
          </w:p>
        </w:tc>
        <w:tc>
          <w:tcPr/>
          <w:p>
            <w:pPr>
              <w:pStyle w:val="Compact"/>
              <w:jc w:val="left"/>
            </w:pPr>
            <w:r>
              <w:t xml:space="preserve">never</w:t>
            </w:r>
          </w:p>
        </w:tc>
        <w:tc>
          <w:tcPr/>
          <w:p>
            <w:pPr>
              <w:pStyle w:val="Compact"/>
              <w:jc w:val="left"/>
            </w:pPr>
            <w:r>
              <w:t xml:space="preserve">8.9 V / 0.535</w:t>
            </w:r>
          </w:p>
        </w:tc>
      </w:tr>
      <w:tr>
        <w:tc>
          <w:tcPr/>
          <w:p>
            <w:pPr>
              <w:pStyle w:val="Compact"/>
              <w:jc w:val="left"/>
            </w:pPr>
            <w:r>
              <w:t xml:space="preserve">Worst</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5.9 V / 0.353</w:t>
            </w:r>
          </w:p>
        </w:tc>
      </w:tr>
    </w:tbl>
    <w:bookmarkStart w:id="43" w:name="fig:dist"/>
    <w:p>
      <w:pPr>
        <w:pStyle w:val="CaptionedFigure"/>
      </w:pPr>
      <w:r>
        <w:drawing>
          <wp:inline>
            <wp:extent cx="4267200" cy="1517226"/>
            <wp:effectExtent b="0" l="0" r="0" t="0"/>
            <wp:docPr descr="" title="" id="41" name="Picture"/>
            <a:graphic>
              <a:graphicData uri="http://schemas.openxmlformats.org/drawingml/2006/picture">
                <pic:pic>
                  <pic:nvPicPr>
                    <pic:cNvPr descr="/home/touhid/Documents/powerpaper/results/figures/fig7_disturbances.png" id="42" name="Picture"/>
                    <pic:cNvPicPr>
                      <a:picLocks noChangeArrowheads="1" noChangeAspect="1"/>
                    </pic:cNvPicPr>
                  </pic:nvPicPr>
                  <pic:blipFill>
                    <a:blip r:embed="rId40"/>
                    <a:stretch>
                      <a:fillRect/>
                    </a:stretch>
                  </pic:blipFill>
                  <pic:spPr bwMode="auto">
                    <a:xfrm>
                      <a:off x="0" y="0"/>
                      <a:ext cx="4267200" cy="1517226"/>
                    </a:xfrm>
                    <a:prstGeom prst="rect">
                      <a:avLst/>
                    </a:prstGeom>
                    <a:noFill/>
                    <a:ln w="9525">
                      <a:noFill/>
                      <a:headEnd/>
                      <a:tailEnd/>
                    </a:ln>
                  </pic:spPr>
                </pic:pic>
              </a:graphicData>
            </a:graphic>
          </wp:inline>
        </w:drawing>
      </w:r>
    </w:p>
    <w:p>
      <w:pPr>
        <w:pStyle w:val="ImageCaption"/>
      </w:pPr>
      <w:r>
        <w:t xml:space="preserve">Disturbance response: 2\%-settling trajectories for input step</w:t>
      </w:r>
      <w:r>
        <w:t xml:space="preserve"> </w:t>
      </w:r>
      <m:oMath>
        <m:sSub>
          <m:e>
            <m:r>
              <m:t>V</m:t>
            </m:r>
          </m:e>
          <m:sub>
            <m:r>
              <m:t>i</m:t>
            </m:r>
            <m:r>
              <m:t>n</m:t>
            </m:r>
          </m:sub>
        </m:sSub>
        <m:r>
          <m:rPr>
            <m:sty m:val="p"/>
          </m:rPr>
          <m:t>:</m:t>
        </m:r>
        <m:r>
          <m:t>12</m:t>
        </m:r>
        <m:r>
          <m:rPr>
            <m:sty m:val="p"/>
          </m:rPr>
          <m:t>→</m:t>
        </m:r>
        <m:r>
          <m:t>9</m:t>
        </m:r>
      </m:oMath>
      <w:r>
        <w:t xml:space="preserve"> V and load step</w:t>
      </w:r>
      <w:r>
        <w:t xml:space="preserve"> </w:t>
      </w:r>
      <m:oMath>
        <m:r>
          <m:t>R</m:t>
        </m:r>
        <m:r>
          <m:rPr>
            <m:sty m:val="p"/>
          </m:rPr>
          <m:t>:</m:t>
        </m:r>
        <m:r>
          <m:t>10</m:t>
        </m:r>
        <m:r>
          <m:rPr>
            <m:sty m:val="p"/>
          </m:rPr>
          <m:t>→</m:t>
        </m:r>
        <m:r>
          <m:t>5</m:t>
        </m:r>
        <m:r>
          <m:t> </m:t>
        </m:r>
        <m:r>
          <m:rPr>
            <m:sty m:val="p"/>
          </m:rPr>
          <m:t>Ω</m:t>
        </m:r>
      </m:oMath>
      <w:r>
        <w:t xml:space="preserve"> </w:t>
      </w:r>
      <w:r>
        <w:t xml:space="preserve">at</w:t>
      </w:r>
      <w:r>
        <w:t xml:space="preserve"> </w:t>
      </w:r>
      <m:oMath>
        <m:r>
          <m:t>t</m:t>
        </m:r>
        <m:r>
          <m:rPr>
            <m:sty m:val="p"/>
          </m:rPr>
          <m:t>=</m:t>
        </m:r>
        <m:r>
          <m:t>60</m:t>
        </m:r>
      </m:oMath>
      <w:r>
        <w:t xml:space="preserve"> ms on the continuous baseline, ideal digital controller, and the worst combined configuration (5</w:t>
      </w:r>
      <m:oMath>
        <m:r>
          <m:rPr>
            <m:sty m:val="p"/>
          </m:rPr>
          <m:t>×</m:t>
        </m:r>
      </m:oMath>
      <w:r>
        <w:t xml:space="preserve">, 8-bit ADC, 12-bit PWM).</w:t>
      </w:r>
    </w:p>
    <w:bookmarkEnd w:id="43"/>
    <w:bookmarkEnd w:id="44"/>
    <w:bookmarkStart w:id="45"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5"/>
    <w:bookmarkEnd w:id="46"/>
    <w:bookmarkStart w:id="47"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47"/>
    <w:bookmarkStart w:id="48" w:name="acknowledgment"/>
    <w:p>
      <w:pPr>
        <w:pStyle w:val="Heading1"/>
      </w:pPr>
      <w:r>
        <w:t xml:space="preserve">Acknowledgment</w:t>
      </w:r>
    </w:p>
    <w:p>
      <w:pPr>
        <w:pStyle w:val="FirstParagraph"/>
      </w:pPr>
      <w:r>
        <w:t xml:space="preserve">The authors thank Tareq Anwar Shikdar for guidance; no external funding was received.</w:t>
      </w:r>
    </w:p>
    <w:bookmarkEnd w:id="48"/>
    <w:bookmarkStart w:id="73"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w:t>
      </w:r>
    </w:p>
    <w:bookmarkStart w:id="53"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calibrated millivolt read averages</w:t>
      </w:r>
      <w:r>
        <w:t xml:space="preserve"> </w:t>
      </w:r>
      <m:oMath>
        <m:r>
          <m:t>89.1</m:t>
        </m:r>
        <m:r>
          <m:t> </m:t>
        </m:r>
        <m:r>
          <m:t>μ</m:t>
        </m:r>
      </m:oMath>
      <w:r>
        <w:t xml:space="preserve">s, the raw 12-bit read</w:t>
      </w:r>
      <w:r>
        <w:t xml:space="preserve"> </w:t>
      </w:r>
      <m:oMath>
        <m:r>
          <m:t>60.0</m:t>
        </m:r>
        <m:r>
          <m:t> </m:t>
        </m:r>
        <m:r>
          <m:t>μ</m:t>
        </m:r>
      </m:oMath>
      <w:r>
        <w:t xml:space="preserve">s, and the fastest single read never completes sooner than</w:t>
      </w:r>
      <w:r>
        <w:t xml:space="preserve"> </w:t>
      </w:r>
      <m:oMath>
        <m:r>
          <m:t>59.5</m:t>
        </m:r>
        <m:r>
          <m:t> </m:t>
        </m:r>
        <m:r>
          <m:t>μ</m:t>
        </m:r>
      </m:oMath>
      <w:r>
        <w:t xml:space="preserve">s.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reach several hundred times</w:t>
      </w:r>
      <w:r>
        <w:t xml:space="preserve"> </w:t>
      </w:r>
      <m:oMath>
        <m:sSub>
          <m:e>
            <m:r>
              <m:t>T</m:t>
            </m:r>
          </m:e>
          <m:sub>
            <m:r>
              <m:t>s</m:t>
            </m:r>
            <m:r>
              <m:t>w</m:t>
            </m:r>
          </m:sub>
        </m:sSub>
      </m:oMath>
      <w:r>
        <w:t xml:space="preserve"> </w:t>
      </w:r>
      <w:r>
        <w:t xml:space="preserve">(up to</w:t>
      </w:r>
      <w:r>
        <w:t xml:space="preserve"> </w:t>
      </w:r>
      <m:oMath>
        <m:r>
          <m:rPr>
            <m:sty m:val="p"/>
          </m:rPr>
          <m:t>≈</m:t>
        </m:r>
        <m:r>
          <m:t>680</m:t>
        </m:r>
        <m:r>
          <m:rPr>
            <m:sty m:val="p"/>
          </m:rPr>
          <m:t>×</m:t>
        </m:r>
      </m:oMath>
      <w:r>
        <w:t xml:space="preserve"> </w:t>
      </w:r>
      <w:r>
        <w:t xml:space="preserve">at N=64). The hardware therefore operates entirely in the sampling regime the simulation identifies as unstable or critically degraded; this is the central constraint that motivates the adaptive controller presented in the final subsection.</w:t>
      </w:r>
    </w:p>
    <w:bookmarkStart w:id="52" w:name="fig:lat"/>
    <w:p>
      <w:pPr>
        <w:pStyle w:val="CaptionedFigure"/>
      </w:pPr>
      <w:r>
        <w:drawing>
          <wp:inline>
            <wp:extent cx="4222781" cy="2389386"/>
            <wp:effectExtent b="0" l="0" r="0" t="0"/>
            <wp:docPr descr="" title="" id="50" name="Picture"/>
            <a:graphic>
              <a:graphicData uri="http://schemas.openxmlformats.org/drawingml/2006/picture">
                <pic:pic>
                  <pic:nvPicPr>
                    <pic:cNvPr descr="/home/touhid/Documents/powerpaper/esp32_feas/results/embedded/fig_v2_latency.png" id="51" name="Picture"/>
                    <pic:cNvPicPr>
                      <a:picLocks noChangeArrowheads="1" noChangeAspect="1"/>
                    </pic:cNvPicPr>
                  </pic:nvPicPr>
                  <pic:blipFill>
                    <a:blip r:embed="rId49"/>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2"/>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w:t>
            </w:r>
            <w:r>
              <w:t xml:space="preserve"> </w:t>
            </w:r>
            <m:oMath>
              <m:r>
                <m:t>μ</m:t>
              </m:r>
            </m:oMath>
            <w:r>
              <w:t xml:space="preserve">s avg / 125.5</w:t>
            </w:r>
            <w:r>
              <w:t xml:space="preserve"> </w:t>
            </w:r>
            <m:oMath>
              <m:r>
                <m:t>μ</m:t>
              </m:r>
            </m:oMath>
            <w:r>
              <w:t xml:space="preserve">s max</w:t>
            </w:r>
          </w:p>
        </w:tc>
      </w:tr>
      <w:tr>
        <w:tc>
          <w:tcPr/>
          <w:p>
            <w:pPr>
              <w:pStyle w:val="Compact"/>
              <w:jc w:val="left"/>
            </w:pPr>
            <w:r>
              <w:t xml:space="preserve">T_ADC (calibrated mV)</w:t>
            </w:r>
          </w:p>
        </w:tc>
        <w:tc>
          <w:tcPr/>
          <w:p>
            <w:pPr>
              <w:pStyle w:val="Compact"/>
              <w:jc w:val="left"/>
            </w:pPr>
            <w:r>
              <w:t xml:space="preserve">89.1</w:t>
            </w:r>
            <w:r>
              <w:t xml:space="preserve"> </w:t>
            </w:r>
            <m:oMath>
              <m:r>
                <m:t>μ</m:t>
              </m:r>
            </m:oMath>
            <w:r>
              <w:t xml:space="preserve">s avg</w:t>
            </w:r>
          </w:p>
        </w:tc>
      </w:tr>
      <w:tr>
        <w:tc>
          <w:tcPr/>
          <w:p>
            <w:pPr>
              <w:pStyle w:val="Compact"/>
              <w:jc w:val="left"/>
            </w:pPr>
            <w:r>
              <w:t xml:space="preserve">T_PID (int32 fixed)</w:t>
            </w:r>
          </w:p>
        </w:tc>
        <w:tc>
          <w:tcPr/>
          <w:p>
            <w:pPr>
              <w:pStyle w:val="Compact"/>
              <w:jc w:val="left"/>
            </w:pPr>
            <w:r>
              <w:t xml:space="preserve">0.86</w:t>
            </w:r>
            <w:r>
              <w:t xml:space="preserve"> </w:t>
            </w:r>
            <m:oMath>
              <m:r>
                <m:t>μ</m:t>
              </m:r>
            </m:oMath>
            <w:r>
              <w:t xml:space="preserve">s avg</w:t>
            </w:r>
          </w:p>
        </w:tc>
      </w:tr>
      <w:tr>
        <w:tc>
          <w:tcPr/>
          <w:p>
            <w:pPr>
              <w:pStyle w:val="Compact"/>
              <w:jc w:val="left"/>
            </w:pPr>
            <w:r>
              <w:t xml:space="preserve">T_PID (float32)</w:t>
            </w:r>
          </w:p>
        </w:tc>
        <w:tc>
          <w:tcPr/>
          <w:p>
            <w:pPr>
              <w:pStyle w:val="Compact"/>
              <w:jc w:val="left"/>
            </w:pPr>
            <w:r>
              <w:t xml:space="preserve">6.8</w:t>
            </w:r>
            <w:r>
              <w:t xml:space="preserve"> </w:t>
            </w:r>
            <m:oMath>
              <m:r>
                <m:t>μ</m:t>
              </m:r>
            </m:oMath>
            <w:r>
              <w:t xml:space="preserve">s avg</w:t>
            </w:r>
          </w:p>
        </w:tc>
      </w:tr>
      <w:tr>
        <w:tc>
          <w:tcPr/>
          <w:p>
            <w:pPr>
              <w:pStyle w:val="Compact"/>
              <w:jc w:val="left"/>
            </w:pPr>
            <w:r>
              <w:t xml:space="preserve">T_PWM (LEDC write)</w:t>
            </w:r>
          </w:p>
        </w:tc>
        <w:tc>
          <w:tcPr/>
          <w:p>
            <w:pPr>
              <w:pStyle w:val="Compact"/>
              <w:jc w:val="left"/>
            </w:pPr>
            <w:r>
              <w:t xml:space="preserve">4.2</w:t>
            </w:r>
            <w:r>
              <w:t xml:space="preserve"> </w:t>
            </w:r>
            <m:oMath>
              <m:r>
                <m:t>μ</m:t>
              </m:r>
            </m:oMath>
            <w:r>
              <w:t xml:space="preserve">s avg</w:t>
            </w:r>
          </w:p>
        </w:tc>
      </w:tr>
      <w:tr>
        <w:tc>
          <w:tcPr/>
          <w:p>
            <w:pPr>
              <w:pStyle w:val="Compact"/>
              <w:jc w:val="left"/>
            </w:pPr>
            <w:r>
              <w:t xml:space="preserve">T_lat = T_ADC+T_PID+T_PWM</w:t>
            </w:r>
          </w:p>
        </w:tc>
        <w:tc>
          <w:tcPr/>
          <w:p>
            <w:pPr>
              <w:pStyle w:val="Compact"/>
              <w:jc w:val="left"/>
            </w:pPr>
            <m:oMath>
              <m:r>
                <m:rPr>
                  <m:sty m:val="p"/>
                </m:rPr>
                <m:t>≈</m:t>
              </m:r>
            </m:oMath>
            <w:r>
              <w:t xml:space="preserve">65</w:t>
            </w:r>
            <w:r>
              <w:t xml:space="preserve"> </w:t>
            </w:r>
            <m:oMath>
              <m:r>
                <m:t>μ</m:t>
              </m:r>
            </m:oMath>
            <w:r>
              <w:t xml:space="preserve">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m:oMath>
              <m:r>
                <m:rPr>
                  <m:sty m:val="p"/>
                </m:rPr>
                <m:t>≈</m:t>
              </m:r>
            </m:oMath>
            <w:r>
              <w:t xml:space="preserve">6</w:t>
            </w:r>
            <w:r>
              <w:t xml:space="preserve"> </w:t>
            </w:r>
            <m:oMath>
              <m:r>
                <m:rPr>
                  <m:sty m:val="p"/>
                </m:rPr>
                <m:t>×</m:t>
              </m:r>
            </m:oMath>
            <w:r>
              <w:t xml:space="preserve"> </w:t>
            </w:r>
            <w:r>
              <w:t xml:space="preserve">Tsw</w:t>
            </w:r>
          </w:p>
        </w:tc>
      </w:tr>
      <w:tr>
        <w:tc>
          <w:tcPr/>
          <w:p>
            <w:pPr>
              <w:pStyle w:val="Compact"/>
              <w:jc w:val="left"/>
            </w:pPr>
            <w:r>
              <w:t xml:space="preserve">Oversampled loop (N=64)</w:t>
            </w:r>
          </w:p>
        </w:tc>
        <w:tc>
          <w:tcPr/>
          <w:p>
            <w:pPr>
              <w:pStyle w:val="Compact"/>
              <w:jc w:val="left"/>
            </w:pPr>
            <m:oMath>
              <m:r>
                <m:rPr>
                  <m:sty m:val="p"/>
                </m:rPr>
                <m:t>≈</m:t>
              </m:r>
            </m:oMath>
            <w:r>
              <w:t xml:space="preserve">680</w:t>
            </w:r>
            <w:r>
              <w:t xml:space="preserve"> </w:t>
            </w:r>
            <m:oMath>
              <m:r>
                <m:rPr>
                  <m:sty m:val="p"/>
                </m:rPr>
                <m:t>×</m:t>
              </m:r>
            </m:oMath>
            <w:r>
              <w:t xml:space="preserve"> </w:t>
            </w:r>
            <w:r>
              <w:t xml:space="preserve">Tsw</w:t>
            </w:r>
          </w:p>
        </w:tc>
      </w:tr>
    </w:tbl>
    <w:bookmarkEnd w:id="53"/>
    <w:bookmarkStart w:id="58"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18 mV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averaged read at this schedule carries</w:t>
      </w:r>
      <w:r>
        <w:t xml:space="preserve"> </w:t>
      </w:r>
      <m:oMath>
        <m:r>
          <m:rPr>
            <m:sty m:val="p"/>
          </m:rPr>
          <m:t>≈</m:t>
        </m:r>
      </m:oMath>
      <w:r>
        <w:t xml:space="preserve">1.5 V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giving</w:t>
      </w:r>
      <w:r>
        <w:t xml:space="preserve"> </w:t>
      </w:r>
      <m:oMath>
        <m:r>
          <m:rPr>
            <m:sty m:val="p"/>
          </m:rPr>
          <m:t>≈</m:t>
        </m:r>
      </m:oMath>
      <w:r>
        <w:t xml:space="preserve">1.5 V at N=64), and the closed-loop ripple remains at 1.6-1.9 V peak-to-peak regardless of resolution.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57" w:name="fig:effres"/>
    <w:p>
      <w:pPr>
        <w:pStyle w:val="CaptionedFigure"/>
      </w:pPr>
      <w:r>
        <w:drawing>
          <wp:inline>
            <wp:extent cx="4267200" cy="1493520"/>
            <wp:effectExtent b="0" l="0" r="0" t="0"/>
            <wp:docPr descr="" title="" id="55" name="Picture"/>
            <a:graphic>
              <a:graphicData uri="http://schemas.openxmlformats.org/drawingml/2006/picture">
                <pic:pic>
                  <pic:nvPicPr>
                    <pic:cNvPr descr="/home/touhid/Documents/powerpaper/esp32_feas/results/embedded/fig_v2_effres.png" id="56" name="Picture"/>
                    <pic:cNvPicPr>
                      <a:picLocks noChangeArrowheads="1" noChangeAspect="1"/>
                    </pic:cNvPicPr>
                  </pic:nvPicPr>
                  <pic:blipFill>
                    <a:blip r:embed="rId54"/>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57"/>
    <w:bookmarkEnd w:id="58"/>
    <w:bookmarkStart w:id="67"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2" w:name="fig:sched"/>
    <w:p>
      <w:pPr>
        <w:pStyle w:val="CaptionedFigure"/>
      </w:pPr>
      <w:r>
        <w:drawing>
          <wp:inline>
            <wp:extent cx="4267200" cy="1493520"/>
            <wp:effectExtent b="0" l="0" r="0" t="0"/>
            <wp:docPr descr="" title="" id="60" name="Picture"/>
            <a:graphic>
              <a:graphicData uri="http://schemas.openxmlformats.org/drawingml/2006/picture">
                <pic:pic>
                  <pic:nvPicPr>
                    <pic:cNvPr descr="/home/touhid/Documents/powerpaper/esp32_feas/results/embedded/fig_v2_sched.png" id="61" name="Picture"/>
                    <pic:cNvPicPr>
                      <a:picLocks noChangeArrowheads="1" noChangeAspect="1"/>
                    </pic:cNvPicPr>
                  </pic:nvPicPr>
                  <pic:blipFill>
                    <a:blip r:embed="rId59"/>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2"/>
    <w:bookmarkStart w:id="66" w:name="fig:latinj"/>
    <w:p>
      <w:pPr>
        <w:pStyle w:val="CaptionedFigure"/>
      </w:pPr>
      <w:r>
        <w:drawing>
          <wp:inline>
            <wp:extent cx="3859778" cy="2389386"/>
            <wp:effectExtent b="0" l="0" r="0" t="0"/>
            <wp:docPr descr="" title="" id="64" name="Picture"/>
            <a:graphic>
              <a:graphicData uri="http://schemas.openxmlformats.org/drawingml/2006/picture">
                <pic:pic>
                  <pic:nvPicPr>
                    <pic:cNvPr descr="/home/touhid/Documents/powerpaper/esp32_feas/results/embedded/fig_v2_latinj.png" id="65" name="Picture"/>
                    <pic:cNvPicPr>
                      <a:picLocks noChangeArrowheads="1" noChangeAspect="1"/>
                    </pic:cNvPicPr>
                  </pic:nvPicPr>
                  <pic:blipFill>
                    <a:blip r:embed="rId63"/>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6"/>
    <w:bookmarkEnd w:id="67"/>
    <w:bookmarkStart w:id="72"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71" w:name="fig:adaptive"/>
    <w:p>
      <w:pPr>
        <w:pStyle w:val="CaptionedFigure"/>
      </w:pPr>
      <w:r>
        <w:drawing>
          <wp:inline>
            <wp:extent cx="4267200" cy="3657600"/>
            <wp:effectExtent b="0" l="0" r="0" t="0"/>
            <wp:docPr descr="" title="" id="69" name="Picture"/>
            <a:graphic>
              <a:graphicData uri="http://schemas.openxmlformats.org/drawingml/2006/picture">
                <pic:pic>
                  <pic:nvPicPr>
                    <pic:cNvPr descr="/home/touhid/Documents/powerpaper/esp32_feas/results/embedded/fig_v2_adaptive.png" id="70" name="Picture"/>
                    <pic:cNvPicPr>
                      <a:picLocks noChangeArrowheads="1" noChangeAspect="1"/>
                    </pic:cNvPicPr>
                  </pic:nvPicPr>
                  <pic:blipFill>
                    <a:blip r:embed="rId68"/>
                    <a:stretch>
                      <a:fillRect/>
                    </a:stretch>
                  </pic:blipFill>
                  <pic:spPr bwMode="auto">
                    <a:xfrm>
                      <a:off x="0" y="0"/>
                      <a:ext cx="4267200" cy="36576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71"/>
    <w:bookmarkEnd w:id="72"/>
    <w:bookmarkEnd w:id="73"/>
    <w:bookmarkStart w:id="74"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Syeda Salsabil Islam Ariya and Jasimul Islam Chowdhury and Hussain Touhid Siddiquee</dc:creator>
  <cp:keywords/>
  <dcterms:created xsi:type="dcterms:W3CDTF">2026-08-18T23:05:13Z</dcterms:created>
  <dcterms:modified xsi:type="dcterms:W3CDTF">2026-08-18T23:05:13Z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