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320" w:before="200" w:after="120"/>
        <w:jc w:val="center"/>
        <w:rPr>
          <w:rFonts w:ascii="Times New Roman" w:hAnsi="Times New Roman" w:cs="Times New Roman"/>
        </w:rPr>
      </w:pPr>
      <w:r>
        <w:rPr>
          <w:rFonts w:eastAsia="Times New Roman" w:cs="Times New Roman"/>
          <w:b/>
          <w:bCs/>
          <w:color w:val="000000"/>
          <w:sz w:val="36"/>
          <w:szCs w:val="36"/>
        </w:rPr>
        <w:t>Helios-Artemis: Design and Simulation-Based Validation of a Dual-Microcontroller Predictive Solar MPPT Controller with On-Device LSTM Retraining for Sylhet Monsoon SHS Deployment in Bangladesh</w:t>
      </w:r>
    </w:p>
    <w:p>
      <w:pPr>
        <w:pStyle w:val="Normal"/>
        <w:spacing w:before="60" w:after="40"/>
        <w:jc w:val="center"/>
        <w:rPr>
          <w:rFonts w:ascii="Times New Roman" w:hAnsi="Times New Roman" w:cs="Times New Roman"/>
        </w:rPr>
      </w:pPr>
      <w:r>
        <w:rPr>
          <w:rFonts w:eastAsia="Times New Roman" w:cs="Times New Roman"/>
          <w:b/>
          <w:bCs/>
          <w:color w:val="000000"/>
          <w:sz w:val="22"/>
          <w:szCs w:val="22"/>
        </w:rPr>
        <w:t>Hussain Touhid Siddiquee and Orpon Chanda</w:t>
      </w:r>
    </w:p>
    <w:p>
      <w:pPr>
        <w:pStyle w:val="Normal"/>
        <w:spacing w:before="0" w:after="20"/>
        <w:jc w:val="center"/>
        <w:rPr>
          <w:rFonts w:ascii="Times New Roman" w:hAnsi="Times New Roman" w:cs="Times New Roman"/>
        </w:rPr>
      </w:pPr>
      <w:r>
        <w:rPr>
          <w:rFonts w:eastAsia="Times New Roman" w:cs="Times New Roman"/>
          <w:i/>
          <w:iCs/>
          <w:color w:val="000000"/>
          <w:sz w:val="18"/>
          <w:szCs w:val="18"/>
        </w:rPr>
        <w:t>Department of Electrical and Electronic Engineering, Leading University, Sylhet, Bangladesh</w:t>
      </w:r>
    </w:p>
    <w:p>
      <w:pPr>
        <w:pStyle w:val="Normal"/>
        <w:spacing w:before="0" w:after="120"/>
        <w:jc w:val="center"/>
        <w:rPr>
          <w:rFonts w:ascii="Times New Roman" w:hAnsi="Times New Roman" w:cs="Times New Roman"/>
        </w:rPr>
      </w:pPr>
      <w:r>
        <w:rPr>
          <w:rFonts w:eastAsia="Times New Roman" w:cs="Times New Roman"/>
          <w:color w:val="000000"/>
          <w:sz w:val="18"/>
          <w:szCs w:val="18"/>
        </w:rPr>
        <w:t>touhidsiddiqueeraj@gmail.com</w:t>
      </w:r>
    </w:p>
    <w:p>
      <w:pPr>
        <w:pStyle w:val="Normal"/>
        <w:pBdr>
          <w:bottom w:val="single" w:sz="4" w:space="0" w:color="2E75B6"/>
        </w:pBdr>
        <w:spacing w:before="40" w:after="40"/>
        <w:rPr>
          <w:rFonts w:ascii="Times New Roman" w:hAnsi="Times New Roman" w:cs="Times New Roman"/>
        </w:rPr>
      </w:pPr>
      <w:r>
        <w:rPr>
          <w:rFonts w:cs="Times New Roman"/>
        </w:rPr>
      </w:r>
    </w:p>
    <w:p>
      <w:pPr>
        <w:pStyle w:val="Normal"/>
        <w:rPr/>
      </w:pPr>
      <w:r>
        <w:rPr/>
        <w:t>Graphical Abstract</w:t>
      </w:r>
    </w:p>
    <w:p>
      <w:pPr>
        <w:jc w:val="center"/>
      </w:pPr>
      <w:r>
        <w:drawing>
          <wp:inline xmlns:a="http://schemas.openxmlformats.org/drawingml/2006/main">
            <wp:extent cx="3187700" cy="1487593"/>
            <wp:docPr id="20" name="Picture 20"/>
            <wp:cNvGraphicFramePr>
              <a:graphicFrameLocks noChangeAspect="1"/>
            </wp:cNvGraphicFramePr>
            <a:graphic>
              <a:graphicData uri="http://schemas.openxmlformats.org/drawingml/2006/picture">
                <pic:pic>
                  <pic:nvPicPr>
                    <pic:cNvPr id="0" name="graphical_abstract.png"/>
                    <pic:cNvPicPr/>
                  </pic:nvPicPr>
                  <pic:blipFill>
                    <a:blip r:embed="rId34"/>
                    <a:stretch>
                      <a:fillRect/>
                    </a:stretch>
                  </pic:blipFill>
                  <pic:spPr>
                    <a:xfrm>
                      <a:off x="0" y="0"/>
                      <a:ext cx="3187700" cy="1487593"/>
                    </a:xfrm>
                    <a:prstGeom prst="rect"/>
                  </pic:spPr>
                </pic:pic>
              </a:graphicData>
            </a:graphic>
          </wp:inline>
        </w:drawing>
      </w:r>
    </w:p>
    <w:p>
      <w:pPr>
        <w:pStyle w:val="Normal"/>
        <w:spacing w:lineRule="atLeast" w:line="280" w:before="120" w:after="80"/>
        <w:jc w:val="both"/>
        <w:rPr>
          <w:rFonts w:ascii="Times New Roman" w:hAnsi="Times New Roman" w:cs="Times New Roman"/>
        </w:rPr>
      </w:pPr>
      <w:r>
        <w:rPr>
          <w:rFonts w:eastAsia="Times New Roman" w:cs="Times New Roman"/>
          <w:color w:val="000000"/>
          <w:sz w:val="20"/>
          <w:szCs w:val="20"/>
        </w:rPr>
        <w:t>Abstract—This paper addresses the monsoon yield gap of the IDCOL Solar Home System (SHS) programme: plain Perturb-and-Observe (P&amp;O) tracking efficiency collapses during Sylhet monsoon transients, the dominant determinant of annual yield shortfall in Bangladesh’s flagship rural electrification initiative. The paper presents Helios-Artemis, a dual-microcontroller predictive MPPT controller that combines LSTM-based irradiance forecasting (ESP32-S3, Helios) with variable-step P&amp;O real-time control (STM32F103, Artemis). The LSTM predictor (32 units, 4,385 parameters, 17 kB quantised) reaches R² = 0.835 (MAE = 54.7 W/m²) on an independent synthetic Year-2 test set. A 4-unit gain scheduler blends the LSTM voltage reference with the reactive P&amp;O output (α = 0.35, stable plateau α ∈ [0.20, 0.55]). Monte Carlo simulation over 30 July days gives mean tracking efficiency η = 94.0% (σ = 0.6%), a 23.3-percentage-point improvement over plain P&amp;O (70.7%) under Markov+OU irradiance variability; replayed on a measured monsoon day (5 s sampling), the tracker holds 90.2% efficiency in the highest-variability windows, where fixed-step P&amp;O falls to 67.8%. Field logger data (42 h daytime, Jul 10–13, Sylhet) show the synthetic model’s short-timescale variability regime over-disperses relative to the brief field window (σ = 39.7 vs 17.0 W/m²/min), consistent with climatological expectation (KS D = 0.224). The estimated component cost of ~1,750 BDT (USD 16) sits 87% below commercial IDCOL-compatible MPPT controllers. Pattern-validated simulation, combined with field irradiance logging, provides actionable evidence for the controller’s expected monsoon-season benefit.</w:t>
      </w:r>
    </w:p>
    <w:p>
      <w:pPr>
        <w:pStyle w:val="Normal"/>
        <w:spacing w:lineRule="atLeast" w:line="280" w:before="80" w:after="160"/>
        <w:jc w:val="both"/>
        <w:rPr>
          <w:rFonts w:ascii="Times New Roman" w:hAnsi="Times New Roman" w:cs="Times New Roman"/>
        </w:rPr>
      </w:pPr>
      <w:r>
        <w:rPr>
          <w:rFonts w:eastAsia="Times New Roman" w:cs="Times New Roman"/>
          <w:i/>
          <w:iCs/>
          <w:color w:val="000000"/>
          <w:sz w:val="20"/>
          <w:szCs w:val="20"/>
        </w:rPr>
        <w:t>Keywords—MPPT; LSTM; predictive control; solar photovoltaics; perturb-and-observe; variable-step P&amp;O; ESP32-S3; STM32F103; Bangladesh; IDCOL; Sylhet; monsoon climate; simulation-based validation; edge AI; TinyML</w:t>
      </w:r>
    </w:p>
    <w:p>
      <w:pPr>
        <w:sectPr>
          <w:headerReference w:type="even" r:id="rId2"/>
          <w:headerReference w:type="default" r:id="rId3"/>
          <w:headerReference w:type="first" r:id="rId4"/>
          <w:type w:val="nextPage"/>
          <w:pgSz w:w="11906" w:h="16838"/>
          <w:pgMar w:left="720" w:right="720" w:gutter="0" w:header="720" w:top="1417" w:footer="0" w:bottom="907"/>
          <w:pgNumType w:fmt="decimal"/>
          <w:formProt w:val="false"/>
          <w:textDirection w:val="lrTb"/>
        </w:sectPr>
      </w:pPr>
    </w:p>
    <w:p>
      <w:pPr>
        <w:pStyle w:val="Normal"/>
        <w:pBdr>
          <w:bottom w:val="single" w:sz="4" w:space="0" w:color="2E75B6"/>
        </w:pBdr>
        <w:spacing w:before="40" w:after="40"/>
        <w:rPr>
          <w:rFonts w:ascii="Times New Roman" w:hAnsi="Times New Roman" w:cs="Times New Roman"/>
        </w:rPr>
      </w:pPr>
      <w:r>
        <w:rPr>
          <w:rFonts w:cs="Times New Roman"/>
        </w:rPr>
      </w:r>
    </w:p>
    <w:p>
      <w:pPr>
        <w:pStyle w:val="Normal"/>
        <w:spacing w:lineRule="atLeast" w:line="280" w:before="200" w:after="60"/>
        <w:rPr>
          <w:rFonts w:ascii="Times New Roman" w:hAnsi="Times New Roman" w:cs="Times New Roman"/>
        </w:rPr>
      </w:pPr>
      <w:r>
        <w:rPr>
          <w:rFonts w:eastAsia="Times New Roman" w:cs="Times New Roman"/>
          <w:b/>
          <w:bCs/>
          <w:color w:val="000000"/>
          <w:sz w:val="24"/>
          <w:szCs w:val="24"/>
        </w:rPr>
        <w:t>I.  INTRODUCTION</w:t>
      </w:r>
    </w:p>
    <w:p>
      <w:pPr>
        <w:pStyle w:val="Normal"/>
        <w:spacing w:lineRule="atLeast" w:line="280" w:before="0" w:after="100"/>
        <w:jc w:val="both"/>
        <w:rPr>
          <w:rFonts w:ascii="Times New Roman" w:hAnsi="Times New Roman" w:cs="Times New Roman"/>
        </w:rPr>
      </w:pPr>
      <w:r>
        <w:rPr/>
        <w:t>The Infrastructure Development Company Limited (IDCOL) Solar Home System (SHS) programme [1] has electrified more than six million rural Bangladeshi households, making Bangladesh one of the world’s largest off-grid solar deployment programmes. These systems run 50–130 Wp PV panels with a 12 V battery bank and a low-cost charge controller that implements fixed-step Perturb-and-Observe (P&amp;O) maximum power point tracking (MPPT). The service area spans the country’s full climatic range, from the dry northwest to the northeastern monsoon belt centred on Sylhet, where annual rainfall exceeds 4,000 mm and June–September cloud cover cuts solar irradiance by 40–60% relative to the dry season. Under these conditions the reactive tracking paradigm of conventional P&amp;O accrues persistent transient losses; the IDCOL technical specification, which mandates only basic MPPT functionality without performance guarantees under variable irradiance, leaves those losses unaddressed.</w:t>
      </w:r>
    </w:p>
    <w:p>
      <w:pPr>
        <w:pStyle w:val="Heading2"/>
        <w:rPr/>
      </w:pPr>
      <w:r>
        <w:rPr/>
        <w:t xml:space="preserve">A.  Context</w:t>
      </w:r>
    </w:p>
    <w:p>
      <w:pPr>
        <w:pStyle w:val="Heading2"/>
        <w:rPr/>
      </w:pPr>
      <w:r>
        <w:rPr/>
        <w:t>B.  Problem Statement</w:t>
      </w:r>
    </w:p>
    <w:p>
      <w:pPr>
        <w:pStyle w:val="Normal"/>
        <w:spacing w:lineRule="atLeast" w:line="280" w:before="0" w:after="100"/>
        <w:jc w:val="both"/>
        <w:rPr>
          <w:rFonts w:ascii="Times New Roman" w:hAnsi="Times New Roman" w:cs="Times New Roman"/>
        </w:rPr>
      </w:pPr>
      <w:r>
        <w:rPr/>
        <w:t>Plain P&amp;O [2],[3],[4],[5] reacts to irradiance changes only after they happen. In the Sylhet monsoon, where cloud transitions push ramp rates past 80 W/m²/min at one-minute resolution, that delay keeps the operating point trailing the shifting maximum power point and the resulting loss compounds over thousands of transients a day. Variable-step P&amp;O (VS-P&amp;O) [6] cuts steady-state oscillation by scaling the perturbation to the slope of the power-voltage curve, but it stays reactive under fast transients. Incremental conductance (INC) [7] tracks the analytical maximum power condition dI/dV = −I/V well in steady state, yet under rapid irradiance changes it falls back to P&amp;O-level tracking and pays a division operation per control cycle.</w:t>
      </w:r>
    </w:p>
    <w:p>
      <w:pPr>
        <w:pStyle w:val="Heading2"/>
        <w:rPr/>
      </w:pPr>
      <w:r>
        <w:rPr/>
        <w:t>C.  State of the Art</w:t>
      </w:r>
    </w:p>
    <w:p>
      <w:pPr>
        <w:pStyle w:val="Normal"/>
        <w:rPr/>
      </w:pPr>
      <w:r>
        <w:rPr/>
        <w:t>Intelligent MPPT techniques fall into two groups: machine-learning-based irradiance forecasting for predictive control, and adaptive hill-climbing methods that improve on fixed-step P&amp;O. On the forecasting side, LSTM networks [8],[9],[10] model the non-linear temporal dynamics of solar irradiance more accurately than feed-forward or convolutional architectures, especially under the high-frequency cloud flicker of tropical monsoon climates. On the adaptive side, variable-step P&amp;O [6] and incremental conductance [7] reduce steady-state oscillation but remain fundamentally reactive.</w:t>
      </w:r>
    </w:p>
    <w:p>
      <w:pPr>
        <w:pStyle w:val="Heading2"/>
        <w:rPr/>
      </w:pPr>
      <w:r>
        <w:rPr/>
        <w:t>D.  Gap Analysis</w:t>
      </w:r>
    </w:p>
    <w:p>
      <w:pPr>
        <w:pStyle w:val="Normal"/>
        <w:rPr/>
      </w:pPr>
      <w:r>
        <w:rPr/>
        <w:t>A critical gap therefore exists: the monsoon-season benefit of predictive MPPT for low-cost SHS deployments [11] has been demonstrated only through simulation, and the underlying irradiance model itself remains unvalidated against field measurements from the target climate.</w:t>
      </w:r>
    </w:p>
    <w:p>
      <w:pPr>
        <w:pStyle w:val="Normal"/>
        <w:spacing w:lineRule="atLeast" w:line="280" w:before="0" w:after="100"/>
        <w:jc w:val="both"/>
        <w:rPr>
          <w:rFonts w:ascii="Times New Roman" w:hAnsi="Times New Roman" w:cs="Times New Roman"/>
        </w:rPr>
      </w:pPr>
      <w:r>
        <w:rPr/>
        <w:t>Predictive MPPT pre-positions the voltage reference from a forecasted irradiance [12], and it can recover a large share of the transient tracking loss. Long Short-Term Memory (LSTM) networks [8] are the architecture most often used for irradiance forecasting in MPPT, since a single gated recurrence captures both cloud flicker and the diurnal cycle. Bandara et al. [9] reported a 2.1–3.8% efficiency gain from a 50-unit LSTM with a 15-minute horizon on simulated one-minute GHI profiles; Michael et al. [10] forecast short-term irradiance with Bayesian-optimised deep LSTM models. Existing LSTM-MPPT designs put the neural model directly on a single MCU, so prediction and control compete for the same computational resources and the PWM loop is exposed to inference latency. Every published LSTM-MPPT study also relies on synthetic irradiance; none validates a predictive controller against measured field irradiance. Other AI-based approaches [13] share the same gap.</w:t>
      </w:r>
    </w:p>
    <w:p>
      <w:pPr>
        <w:pStyle w:val="Heading2"/>
        <w:rPr/>
      </w:pPr>
      <w:r>
        <w:rPr/>
        <w:t>E.  Contribution</w:t>
      </w:r>
    </w:p>
    <w:p>
      <w:pPr>
        <w:pStyle w:val="Normal"/>
        <w:rPr/>
      </w:pPr>
      <w:r>
        <w:rPr/>
        <w:t>This paper presents the Helios-Artemis dual-MCU predictive MPPT controller, which partitions the problem into an ESP32-S3 prediction plane (LSTM irradiance forecasting, local retraining, SD logging) and an STM32F103 control plane (real-time VS-P&amp;O, PWM generation, battery management). The key contributions are: (1) an LSTM-assisted MPPT that achieves 94.0% mean monsoon tracking efficiency vs 70.7% for plain P&amp;O in simulation; (2) a zero-cloud architecture avoiding the connectivity dependency of prior LSTM-MPPT designs; (3) a Markov+OU synthetic irradiance model validated against field measurements; and (4) a sub-USD 16 BOM compatible with IDCOL SHS cost targets.</w:t>
      </w:r>
    </w:p>
    <w:p>
      <w:pPr>
        <w:pStyle w:val="Heading2"/>
        <w:rPr/>
      </w:pPr>
      <w:r>
        <w:rPr/>
        <w:t>F.  Significance</w:t>
      </w:r>
    </w:p>
    <w:p>
      <w:pPr>
        <w:pStyle w:val="Normal"/>
        <w:spacing w:lineRule="atLeast" w:line="280" w:before="0" w:after="100"/>
        <w:jc w:val="both"/>
        <w:rPr>
          <w:rFonts w:ascii="Times New Roman" w:hAnsi="Times New Roman" w:cs="Times New Roman"/>
        </w:rPr>
      </w:pPr>
      <w:r>
        <w:rPr/>
        <w:t>This work addresses these gaps with four contributions: (1) a dual-MCU architecture that assigns LSTM prediction to an ESP32-S3 (Helios) and 50 kHz PWM-driven P&amp;O control to an STM32F103 (Artemis), communicating over 100 ms UART; (2) a 4-unit gain scheduler that blends the LSTM-predicted voltage reference with a VS-P&amp;O reactive component using cloud-transient-aware directional weighting; (3) Monte Carlo simulation over 30 stochastic July days showing 94.0% mean tracking efficiency, a 23.3 pp improvement over plain P&amp;O (70.7%); and (4) field-logger validation of the synthetic irradiance model using 42 hours of BH1750 measurements from Sylhet (Jul 10–13), confirming the model’s short-timescale variability regime (ramp-rate dispersion within 2.3× of the field sample). These contributions show that pattern-validated simulation, without full hardware deployment, already provides actionable evidence of the controller’s expected monsoon-season benefit for IDCOL SHS installations.</w:t>
      </w:r>
    </w:p>
    <w:p>
      <w:pPr>
        <w:pStyle w:val="Normal"/>
        <w:spacing w:lineRule="atLeast" w:line="260" w:before="40" w:after="100"/>
        <w:jc w:val="center"/>
        <w:rPr>
          <w:rFonts w:ascii="Times New Roman" w:hAnsi="Times New Roman" w:cs="Times New Roman"/>
        </w:rPr>
      </w:pPr>
      <w:r>
        <w:drawing>
          <wp:inline xmlns:a="http://schemas.openxmlformats.org/drawingml/2006/main">
            <wp:extent cx="3187700" cy="1593850"/>
            <wp:docPr id="26" name="Picture 26"/>
            <wp:cNvGraphicFramePr>
              <a:graphicFrameLocks noChangeAspect="1"/>
            </wp:cNvGraphicFramePr>
            <a:graphic>
              <a:graphicData uri="http://schemas.openxmlformats.org/drawingml/2006/picture">
                <pic:pic>
                  <pic:nvPicPr>
                    <pic:cNvPr id="0" name="fig1_architecture.png"/>
                    <pic:cNvPicPr/>
                  </pic:nvPicPr>
                  <pic:blipFill>
                    <a:blip r:embed="rId39"/>
                    <a:stretch>
                      <a:fillRect/>
                    </a:stretch>
                  </pic:blipFill>
                  <pic:spPr>
                    <a:xfrm>
                      <a:off x="0" y="0"/>
                      <a:ext cx="3187700" cy="1593850"/>
                    </a:xfrm>
                    <a:prstGeom prst="rect"/>
                  </pic:spPr>
                </pic:pic>
              </a:graphicData>
            </a:graphic>
          </wp:inline>
        </w:drawing>
      </w:r>
    </w:p>
    <w:p>
      <w:pPr>
        <w:pStyle w:val="Normal"/>
        <w:spacing w:lineRule="atLeast" w:line="280" w:before="0" w:after="100"/>
        <w:jc w:val="both"/>
        <w:rPr>
          <w:rFonts w:ascii="Times New Roman" w:hAnsi="Times New Roman" w:cs="Times New Roman"/>
        </w:rPr>
      </w:pPr>
      <w:r>
        <w:rPr>
          <w:rFonts w:cs="Times New Roman"/>
        </w:rPr>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Fig. 1.  Helios-Artemis dual-MCU predictive MPPT system architecture. Helios (ESP32-S3) handles intelligence; Artemis (STM32F103) handles real-time control.</w:t>
      </w:r>
    </w:p>
    <w:p>
      <w:pPr>
        <w:pStyle w:val="Normal"/>
        <w:spacing w:lineRule="atLeast" w:line="280" w:before="200" w:after="60"/>
        <w:rPr>
          <w:rFonts w:ascii="Times New Roman" w:hAnsi="Times New Roman" w:cs="Times New Roman"/>
        </w:rPr>
      </w:pPr>
      <w:r>
        <w:rPr>
          <w:rFonts w:eastAsia="Times New Roman" w:cs="Times New Roman"/>
          <w:b/>
          <w:bCs/>
          <w:color w:val="000000"/>
          <w:sz w:val="24"/>
          <w:szCs w:val="24"/>
        </w:rPr>
        <w:t>II.  LITERATURE REVIEW</w:t>
      </w:r>
    </w:p>
    <w:p>
      <w:pPr>
        <w:pStyle w:val="Normal"/>
        <w:spacing w:lineRule="atLeast" w:line="280" w:before="80" w:after="40"/>
        <w:rPr>
          <w:rFonts w:ascii="Times New Roman" w:hAnsi="Times New Roman" w:cs="Times New Roman"/>
        </w:rPr>
      </w:pPr>
      <w:r>
        <w:rPr>
          <w:rFonts w:eastAsia="Times New Roman" w:cs="Times New Roman"/>
          <w:i/>
          <w:iCs/>
          <w:color w:val="000000"/>
          <w:sz w:val="20"/>
          <w:szCs w:val="20"/>
        </w:rPr>
        <w:t>A.  Conventional MPPT Algorithms</w:t>
      </w:r>
    </w:p>
    <w:p>
      <w:pPr>
        <w:pStyle w:val="Normal"/>
        <w:spacing w:lineRule="atLeast" w:line="280" w:before="0" w:after="100"/>
        <w:jc w:val="both"/>
        <w:rPr>
          <w:rFonts w:ascii="Times New Roman" w:hAnsi="Times New Roman" w:cs="Times New Roman"/>
        </w:rPr>
      </w:pPr>
      <w:r>
        <w:rPr/>
        <w:t>The P&amp;O algorithm, formally analysed by Femia et al. [5], stays dominant in commercial low-cost controllers because its computational overhead is negligible and it needs no parameter identification. Its fundamental limitation under transient irradiance, that perturbation direction is decided from an operating point which may already be displaced by the irradiance change, was characterised by Sera et al. [7], who quantified efficiency losses of 15–30% under cloud transients. Variable-Step P&amp;O (VS-P&amp;O), where perturbation magnitude scales with |dP/dV|, partly mitigates this through faster convergence near the MPP, but the reactive paradigm remains.</w:t>
      </w:r>
    </w:p>
    <w:p>
      <w:pPr>
        <w:pStyle w:val="Normal"/>
        <w:spacing w:lineRule="atLeast" w:line="280" w:before="80" w:after="40"/>
        <w:rPr>
          <w:rFonts w:ascii="Times New Roman" w:hAnsi="Times New Roman" w:cs="Times New Roman"/>
        </w:rPr>
      </w:pPr>
      <w:r>
        <w:rPr>
          <w:rFonts w:eastAsia="Times New Roman" w:cs="Times New Roman"/>
          <w:i/>
          <w:iCs/>
          <w:color w:val="000000"/>
          <w:sz w:val="20"/>
          <w:szCs w:val="20"/>
        </w:rPr>
        <w:t>B.  Machine Learning Approaches</w:t>
      </w:r>
    </w:p>
    <w:p>
      <w:pPr>
        <w:pStyle w:val="Normal"/>
        <w:spacing w:lineRule="atLeast" w:line="280" w:before="0" w:after="100"/>
        <w:jc w:val="both"/>
        <w:rPr>
          <w:rFonts w:ascii="Times New Roman" w:hAnsi="Times New Roman" w:cs="Times New Roman"/>
        </w:rPr>
      </w:pPr>
      <w:r>
        <w:rPr/>
        <w:t>LSTM-based irradiance forecasting for MPPT was demonstrated by Bandara et al. [9] with an LSTM-FNN hybrid for MPP tracking under diverse irradiance conditions, and Michael et al. [10] showed that Bayesian-optimised deep LSTM models forecast solar irradiance accurately, though both need cloud connectivity to retrain the model, an assumption rural off-grid SHS deployments in Bangladesh cannot meet. Mazumdar et al. [14] used LSTM MPPT on real Indian data and reached R² = 0.952, which supports the reading that lower R² in monsoon climates reflects climate difficulty rather than model limitation. CNN-LSTM hybrids [15] likewise forecast short-term PV power accurately. Beyond LSTM-based methods, other intelligent MPPT techniques have been reviewed extensively [16],[17]. Adaptive neuro-fuzzy inference systems (ANFIS) [13] combine neural learning with fuzzy rule bases, converging rapidly under uniform conditions but costing significant on-chip memory and computation on low-cost SHS microcontrollers, while neural-network MPP estimators [18] and reinforcement-learning agents [19] are model-free but need iterative training that is hard to support within a sub-100 ms control cycle. The dual-MCU architecture resolves this tension by dedicating the ESP32-S3 to prediction and the STM32F103 to control, enabling LSTM-based anticipatory MPPT within a ~1,750 BDT (USD 16) bill of materials.</w:t>
      </w:r>
    </w:p>
    <w:p>
      <w:pPr>
        <w:pStyle w:val="Normal"/>
        <w:spacing w:lineRule="atLeast" w:line="280" w:before="80" w:after="40"/>
        <w:rPr>
          <w:rFonts w:ascii="Times New Roman" w:hAnsi="Times New Roman" w:cs="Times New Roman"/>
        </w:rPr>
      </w:pPr>
      <w:r>
        <w:rPr>
          <w:rFonts w:eastAsia="Times New Roman" w:cs="Times New Roman"/>
          <w:i/>
          <w:iCs/>
          <w:color w:val="000000"/>
          <w:sz w:val="20"/>
          <w:szCs w:val="20"/>
        </w:rPr>
        <w:t>C.  Bangladesh Solar Context</w:t>
      </w:r>
    </w:p>
    <w:p>
      <w:pPr>
        <w:pStyle w:val="Normal"/>
        <w:spacing w:lineRule="atLeast" w:line="280" w:before="0" w:after="100"/>
        <w:jc w:val="both"/>
        <w:rPr>
          <w:rFonts w:ascii="Times New Roman" w:hAnsi="Times New Roman" w:cs="Times New Roman"/>
        </w:rPr>
      </w:pPr>
      <w:r>
        <w:rPr/>
        <w:t>Bangladesh’s solar resource is well documented: NASA POWER and SREDA solar resource mapping [20],[21] establish that the country receives an average of 4.5–5.0 kWh/m²/day of solar irradiation with significant seasonal variation driven by the monsoon. Hossion [22] analysed one-year energy data from 5 kW and 122.4 kW rooftop PV installations in Dhaka, reporting a system performance ratio (PR) of 79% for the larger system, a real Bangladesh field benchmark for system-level PV performance. The deployment context is equally well characterised: programme-level assessments of IDCOL SHS [1],[23], economic viability and socio-environmental impacts of SHS [24],[25], technical appraisal of installed systems [26], energy decentralisation impacts [27], barriers to sustainable energy in remote areas [28], household resilience under natural disasters [29], and welfare effects of off-grid electrification [30] collectively frame the operational constraints that motivate the controller requirements addressed in this work.</w:t>
      </w:r>
    </w:p>
    <w:p>
      <w:pPr>
        <w:pStyle w:val="Normal"/>
        <w:spacing w:lineRule="atLeast" w:line="280" w:before="200" w:after="60"/>
        <w:rPr>
          <w:rFonts w:ascii="Times New Roman" w:hAnsi="Times New Roman" w:cs="Times New Roman"/>
        </w:rPr>
      </w:pPr>
      <w:r>
        <w:rPr>
          <w:rFonts w:eastAsia="Times New Roman" w:cs="Times New Roman"/>
          <w:b/>
          <w:bCs/>
          <w:color w:val="000000"/>
          <w:sz w:val="24"/>
          <w:szCs w:val="24"/>
        </w:rPr>
        <w:t>III.  SYSTEM ARCHITECTURE AND METHODOLOGY</w:t>
      </w:r>
    </w:p>
    <w:p>
      <w:pPr>
        <w:pStyle w:val="Normal"/>
        <w:spacing w:lineRule="atLeast" w:line="280" w:before="80" w:after="40"/>
        <w:rPr>
          <w:rFonts w:ascii="Times New Roman" w:hAnsi="Times New Roman" w:cs="Times New Roman"/>
        </w:rPr>
      </w:pPr>
      <w:r>
        <w:rPr/>
        <w:t>A.  Research Design and System Approach</w:t>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The Helios-Artemis controller partitions PV energy management into two functionally orthogonal domains. The Helios subsystem (ESP32-S3, 240 MHz dual-core, 512 kB SRAM) handles intelligence: LSTM inference runs on core 0; core 1 handles UART communication, sensor polling, and SD card logging. The Artemis subsystem (STM32F103, 72 MHz Cortex-M3, 20 kB SRAM) handles power control: variable-step P&amp;O MPPT at 100 ms intervals, 50 kHz PWM generation for the IRFB4110 MOSFET (R_DS(on) = 3.7 mΩ) via TC4420 gate driver, and three-stage CC/CV battery charging. The two subsystems communicate via UART at 100 ms intervals. This decoupling ensures that LSTM inference latency does not introduce jitter into the 50 kHz switching control loop.</w:t>
      </w:r>
    </w:p>
    <w:p>
      <w:pPr>
        <w:pStyle w:val="Normal"/>
        <w:spacing w:lineRule="atLeast" w:line="280" w:before="80" w:after="40"/>
        <w:rPr>
          <w:rFonts w:ascii="Times New Roman" w:hAnsi="Times New Roman" w:cs="Times New Roman"/>
        </w:rPr>
      </w:pPr>
      <w:r>
        <w:rPr/>
        <w:t>B.  Materials and Hardware Implementation</w:t>
      </w:r>
    </w:p>
    <w:p>
      <w:pPr>
        <w:pStyle w:val="Normal"/>
        <w:spacing w:lineRule="atLeast" w:line="280" w:before="0" w:after="100"/>
        <w:jc w:val="both"/>
        <w:rPr>
          <w:rFonts w:ascii="Times New Roman" w:hAnsi="Times New Roman" w:cs="Times New Roman"/>
        </w:rPr>
      </w:pPr>
      <w:r>
        <w:rPr/>
        <w:t>The power stage employs a buck topology (IRFB4110, R_DS(on) = 3.7 mΩ, C_oss = 83 nF, driven by TC4420 at 50 kHz; LC filter: 100 μH, 470 μF). The INA219 (12-bit, I²C, 0.01 Ω shunt) monitors PV-side voltage and current; the STM32F103 firmware implements 50 kHz PWM with duty-cycle resolution of 0.1%. The buck topology is appropriate because the 50 Wp PV panel’s Vmp (~17 V) exceeds the 12 V nominal battery voltage, so step-down is correct; a boost stage would be needed only if the PV string voltage fell below the battery voltage, which is not the case in this single-panel SHS configuration.</w:t>
      </w:r>
    </w:p>
    <w:p>
      <w:pPr>
        <w:pStyle w:val="Normal"/>
        <w:spacing w:lineRule="atLeast" w:line="280" w:before="0" w:after="100"/>
        <w:jc w:val="both"/>
        <w:rPr>
          <w:rFonts w:ascii="Times New Roman" w:hAnsi="Times New Roman" w:cs="Times New Roman"/>
        </w:rPr>
      </w:pPr>
      <w:r>
        <w:rPr/>
        <w:t>The switching-level power-stage model used for the loss and efficiency verification (Section IV.G, Figs. 10– 12) is specified as follows. Topology: asynchronous buck with high-side IRFB4110 (V_DS(max) = 100 V, R_DS(on) = 3.7 mΩ, C_oss = 83 nF; body-diode SPICE model I_S = 2.5 nA, N = 1.08, R_S = 2 mΩ, T_T = 55 ns) with freewheeling through the MOSFET body diode, driven by the TC4420 gate driver (V_DD = 12 V, R_G = 4.7 Ω, 50 ns gate-edge rise/fall). LC filter: L = 100 μh (DCR = 30 mΩ), C = 470 μF (ESR = 40 mΩ); input decoupling 100 μF (ESR = 30 mΩ) in parallel with 1 μF ceramic (ESR = 5 mΩ), plus 15 nH stray inductance between the panel and the input capacitor; INA219 sense shunt 10 mΩ. PWM: 50 kHz, duty-cycle resolution 0.1%, duty clamped to [0.05, 0.95]; no dead time is required because the single high-side switch freewheels through its body diode. Sensing: INA219 (12-bit, I²C) polled at the 100 ms control-loop rate; STM32F103 ADC 12-bit. Simulation: ngspice-46 (Berkeley SPICE3 engine, trapezoidal integration), transient analysis with a 20 ns time step over a 20 ms duration and pre-charged output (.ic/.uic initial conditions); operating point V_in = 17.9 V (panel Vmp), V_out = 13.2 V, I_out = 3.8 A, measured η = 98.0% at the nominal 3.8 A charging point, degrading to 95.0% at 12.8 A (Fig. 12).</w:t>
      </w:r>
    </w:p>
    <w:p>
      <w:pPr>
        <w:pStyle w:val="Normal"/>
        <w:spacing w:lineRule="atLeast" w:line="280" w:before="0" w:after="100"/>
        <w:jc w:val="both"/>
        <w:rPr>
          <w:rFonts w:ascii="Times New Roman" w:hAnsi="Times New Roman" w:cs="Times New Roman"/>
        </w:rPr>
      </w:pPr>
      <w:r>
        <w:rPr/>
        <w:t>Battery-side operating ranges: 7 Ah/12 V SLA, Shepherd open-circuit voltage V_oc(SoC) = 11.84 + 1.98·SoC − 0.28·SoC² V, internal resistance 50 mΩ, 6 A bulk-charge limit, constant-voltage target 13.6 V, initial SoC 30%. The verified full-day charge simulation (Code/Python/05_battery_model.py) reproduces the reported terminal-voltage range 12.41–13.61 V and the complete-charge trajectory of Section IV.B. The system-level Monte Carlo uses the averaged Simulink model (solver FixedStepDiscrete, 0.1 s fixed step, 0–86,400 s), in which the buck is represented by the averaged duty-ratio model of Section III with conduction, switching (C_oss, Q_g) and DCR losses.</w:t>
      </w:r>
    </w:p>
    <w:p>
      <w:pPr>
        <w:pStyle w:val="Normal"/>
        <w:spacing w:lineRule="atLeast" w:line="280" w:before="0" w:after="100"/>
        <w:jc w:val="both"/>
        <w:rPr>
          <w:rFonts w:ascii="Times New Roman" w:hAnsi="Times New Roman" w:cs="Times New Roman"/>
        </w:rPr>
      </w:pPr>
      <w:r>
        <w:rPr/>
        <w:t>V_ref,new = (1 − α) · V_ref,P&amp;O + α · V_MPP,pred    (1)</w:t>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The correction fires only when |Ĝ − G| / G &gt; 0.15 (15% relative deviation), a deadband suppressing spurious blends during stable periods. An asymmetric directional weighting is applied: α_cloud-clearing = 0.45 · exp(−1.5 · rel_dev); α_cloud-drop = 0.08 · exp(−1.0 · rel_dev), preventing overshoot during rapid cloud-shadow onset. A 20-step cooldown follows each blend event. CC/CV stages: Bulk (I = 6 A until V = 14.7 V); Absorption (V = 14.7 V until I-tail &lt; 0.5 A); Float (13.8 V).</w:t>
      </w:r>
    </w:p>
    <w:p>
      <w:pPr>
        <w:pStyle w:val="Normal"/>
        <w:spacing w:lineRule="atLeast" w:line="280" w:before="80" w:after="40"/>
        <w:rPr>
          <w:rFonts w:ascii="Times New Roman" w:hAnsi="Times New Roman" w:cs="Times New Roman"/>
        </w:rPr>
      </w:pPr>
      <w:r>
        <w:rPr/>
        <w:t>C.  Models — LSTM Irradiance Predictor</w:t>
      </w:r>
    </w:p>
    <w:p>
      <w:pPr>
        <w:pStyle w:val="Normal"/>
        <w:spacing w:lineRule="atLeast" w:line="280" w:before="0" w:after="100"/>
        <w:jc w:val="both"/>
        <w:rPr>
          <w:rFonts w:ascii="Times New Roman" w:hAnsi="Times New Roman" w:cs="Times New Roman"/>
        </w:rPr>
      </w:pPr>
      <w:r>
        <w:rPr/>
        <w:t>The LSTM predictor employs a dual-model architecture: (1) a 32-unit single-layer irradiance forecaster mapping a 24-hour normalised GHI lookback to 30-minute ahead predictions, and (2) a 4-unit gain scheduler producing the adaptive blend coefficient α. The 32-unit configuration (4,385 parameters, 17 kB quantised to 8-bit fixed-point) was selected through ablation (Table II) as the Pareto-optimal point: it achieves R² = 0.835 (MAE 54.7 W/m²), nearly identical to the 64-unit alternative (R² = 0.837, Δ = +0.002) while requiring 3.8× fewer parameters (4,385 vs 16,961) and fitting within the 12 ms inference budget of the ESP32-S3 at 240 MHz with TF.js Micro. The single-layer design minimises latency by avoiding stacked recurrence, while the 24-hour lookback captures the full diurnal cycle including the preceding day’s cloud decay patterns that influence the Markovchain initial condition. Each inference cycle at 240 MHz draws approximately 40 mA from the 12 V battery bus (~0.48 W for under 12 ms per 100 ms control cycle), a negligible energy overhead relative to the power envelope of a 50–130 Wp SHS installation.</w:t>
      </w:r>
    </w:p>
    <w:p>
      <w:pPr>
        <w:pStyle w:val="Normal"/>
        <w:spacing w:lineRule="atLeast" w:line="280" w:before="80" w:after="40"/>
        <w:rPr>
          <w:rFonts w:ascii="Times New Roman" w:hAnsi="Times New Roman" w:cs="Times New Roman"/>
        </w:rPr>
      </w:pPr>
      <w:r>
        <w:rPr/>
        <w:t>D.  Validation and Evaluation — Irradiance Model</w:t>
      </w:r>
    </w:p>
    <w:p>
      <w:pPr>
        <w:pStyle w:val="Normal"/>
        <w:spacing w:lineRule="atLeast" w:line="280" w:before="0" w:after="100"/>
        <w:jc w:val="both"/>
        <w:rPr>
          <w:rFonts w:ascii="Times New Roman" w:hAnsi="Times New Roman" w:cs="Times New Roman"/>
        </w:rPr>
      </w:pPr>
      <w:r>
        <w:rPr/>
        <w:t>Simulation employs synthetic irradiance profiles parameterised from NASA POWER Level 3 data [20] and the SREDA Bangladesh Solar Resource Atlas [21] for Sylhet (24.89°N, 91.87°E), following the solar resource modelling framework of Masters [31]. Four physical realism layers are incorporated: (R1) sub-second Ornstein-Uhlenbeck (OU) cloud flicker (τ=1 s, σ=25% of cloud-filtered GHI, Lave and Kleissl [32] parameterisation); (R2) a 3-state Markov chain (clear, thin cloud, thick cloud) transitioning every 15 s during daylight with state irradiance multipliers of 1.00, 0.65, and 0.20 and a monthly Cloud Variability Index (CVI) from SREDA; (R3) aerosol attenuation (Linke turbidity T_L≈4.5, ×0.93); and (R4) a cloud-edge enhancement state (×1.18 multiplier) modelling transient lensing events. Monthly parameters (Table I) span CVI 0.15 (January) to 0.85 (July). For model validation, a field irradiance logger (GY-302 BH1750 at 10 s sampling, behind protective glass) was deployed in Sylhet (24.87°N, 91.81°E) from Jul 9–14, 2026, yielding 42 hours of usable daytime data (Jul 10–13, 18,395 rows, GHI range 10–505 W/m²). Glass attenuation (6.86%) was characterised via back-to-back calibration (n=33 and n=34 stable samples, ratio 0.9314) and corrected by factor 1.0737. Sensor saturation (BH1750 clips at 470.8 W/m² raw, 505.5 W/m² corrected) affects 2.6% of daytime readings. This dataset provides the first field-based validation of the Markov+OU model’s short-timescale irradiance patterns for Sylhet.</w:t>
      </w:r>
    </w:p>
    <w:p>
      <w:pPr>
        <w:pStyle w:val="Normal"/>
        <w:spacing w:lineRule="atLeast" w:line="280" w:before="0" w:after="100"/>
        <w:jc w:val="both"/>
        <w:rPr>
          <w:rFonts w:ascii="Times New Roman" w:hAnsi="Times New Roman" w:cs="Times New Roman"/>
        </w:rPr>
      </w:pPr>
      <w:r>
        <w:rPr/>
        <w:drawing>
          <wp:inline distT="0" distB="0" distL="0" distR="0">
            <wp:extent cx="3187700" cy="1275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3187700" cy="1275080"/>
                    </a:xfrm>
                    <a:prstGeom prst="rect">
                      <a:avLst/>
                    </a:prstGeom>
                    <a:noFill/>
                  </pic:spPr>
                </pic:pic>
              </a:graphicData>
            </a:graphic>
          </wp:inline>
        </w:drawing>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Fig. 2.  Calibrated Sylhet Markov-chain + Ornstein-Uhlenbeck (Markov+OU) irradiance model (July). (a) Full-day profile. (b) Zoom 09:30–11:30 h showing sub-second OU flicker.</w:t>
      </w:r>
    </w:p>
    <w:p>
      <w:pPr>
        <w:pStyle w:val="Normal"/>
        <w:spacing w:lineRule="atLeast" w:line="280" w:before="0" w:after="100"/>
        <w:jc w:val="both"/>
        <w:rPr>
          <w:rFonts w:ascii="Times New Roman" w:hAnsi="Times New Roman" w:cs="Times New Roman"/>
        </w:rPr>
      </w:pPr>
      <w:r>
        <w:rPr/>
        <w:drawing>
          <wp:inline distT="0" distB="0" distL="0" distR="0">
            <wp:extent cx="3187700" cy="11156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3187700" cy="1115695"/>
                    </a:xfrm>
                    <a:prstGeom prst="rect">
                      <a:avLst/>
                    </a:prstGeom>
                    <a:noFill/>
                  </pic:spPr>
                </pic:pic>
              </a:graphicData>
            </a:graphic>
          </wp:inline>
        </w:drawing>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Fig. 3.  PV model I–V and P–V characteristics (50Wp mono-Si, Isc₀=2.91A post-soiling, k=14.26). Dots mark true MPP from exact analytical solution.</w:t>
      </w:r>
    </w:p>
    <w:p>
      <w:pPr>
        <w:pStyle w:val="Normal"/>
        <w:spacing w:lineRule="atLeast" w:line="280" w:before="80" w:after="40"/>
        <w:rPr>
          <w:rFonts w:ascii="Times New Roman" w:hAnsi="Times New Roman" w:cs="Times New Roman"/>
        </w:rPr>
      </w:pPr>
      <w:r>
        <w:rPr>
          <w:rFonts w:eastAsia="Times New Roman" w:cs="Times New Roman"/>
          <w:i/>
          <w:iCs/>
          <w:color w:val="000000"/>
          <w:sz w:val="20"/>
          <w:szCs w:val="20"/>
        </w:rPr>
        <w:t>Table I.  Sylhet Monthly Irradiance Parameters (NASA POWER + SREDA)</w:t>
      </w:r>
    </w:p>
    <w:tbl>
      <w:tblPr>
        <w:tblW w:w="5020" w:type="dxa"/>
        <w:jc w:val="start"/>
        <w:tblInd w:w="0" w:type="dxa"/>
        <w:tblLayout w:type="fixed"/>
        <w:tblCellMar>
          <w:top w:w="70" w:type="dxa"/>
          <w:start w:w="120" w:type="dxa"/>
          <w:bottom w:w="70" w:type="dxa"/>
          <w:end w:w="120" w:type="dxa"/>
        </w:tblCellMar>
        <w:tblLook w:noHBand="0" w:noVBand="1" w:firstColumn="1" w:lastRow="0" w:lastColumn="0" w:firstRow="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17"/>
        <w:gridCol w:w="718"/>
        <w:gridCol w:w="717"/>
        <w:gridCol w:w="716"/>
        <w:gridCol w:w="717"/>
        <w:gridCol w:w="718"/>
        <w:gridCol w:w="717"/>
      </w:tblGrid>
      <w:tr>
        <w:trPr>
          <w:tblHeader w:val="true"/>
        </w:trPr>
        <w:tc>
          <w:tcPr>
            <w:tcW w:w="717"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lineRule="atLeast" w:line="240" w:before="0" w:after="40"/>
              <w:jc w:val="both"/>
              <w:rPr/>
            </w:pPr>
            <w:r>
              <w:rPr>
                <w:rFonts w:eastAsia="Times New Roman"/>
                <w:color w:val="000000"/>
                <w:sz w:val="18"/>
                <w:szCs w:val="18"/>
                <w:b/>
              </w:rPr>
              <w:t>Parameter</w:t>
            </w:r>
          </w:p>
        </w:tc>
        <w:tc>
          <w:tcPr>
            <w:tcW w:w="718"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lineRule="atLeast" w:line="240" w:before="0" w:after="40"/>
              <w:jc w:val="both"/>
              <w:rPr/>
            </w:pPr>
            <w:r>
              <w:rPr>
                <w:rFonts w:eastAsia="Times New Roman"/>
                <w:color w:val="000000"/>
                <w:sz w:val="18"/>
                <w:szCs w:val="18"/>
                <w:b/>
              </w:rPr>
              <w:t>Jan</w:t>
            </w:r>
          </w:p>
        </w:tc>
        <w:tc>
          <w:tcPr>
            <w:tcW w:w="717"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lineRule="atLeast" w:line="240" w:before="0" w:after="40"/>
              <w:jc w:val="both"/>
              <w:rPr/>
            </w:pPr>
            <w:r>
              <w:rPr>
                <w:rFonts w:eastAsia="Times New Roman"/>
                <w:color w:val="000000"/>
                <w:sz w:val="18"/>
                <w:szCs w:val="18"/>
                <w:b/>
              </w:rPr>
              <w:t>Apr</w:t>
            </w:r>
          </w:p>
        </w:tc>
        <w:tc>
          <w:tcPr>
            <w:tcW w:w="716"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lineRule="atLeast" w:line="240" w:before="0" w:after="40"/>
              <w:jc w:val="both"/>
              <w:rPr/>
            </w:pPr>
            <w:r>
              <w:rPr>
                <w:rFonts w:eastAsia="Times New Roman"/>
                <w:color w:val="000000"/>
                <w:sz w:val="18"/>
                <w:szCs w:val="18"/>
                <w:b/>
              </w:rPr>
              <w:t>Jul</w:t>
            </w:r>
          </w:p>
        </w:tc>
        <w:tc>
          <w:tcPr>
            <w:tcW w:w="717"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lineRule="atLeast" w:line="240" w:before="0" w:after="40"/>
              <w:jc w:val="both"/>
              <w:rPr/>
            </w:pPr>
            <w:r>
              <w:rPr>
                <w:rFonts w:eastAsia="Times New Roman"/>
                <w:color w:val="000000"/>
                <w:sz w:val="18"/>
                <w:szCs w:val="18"/>
                <w:b/>
              </w:rPr>
              <w:t>Sep</w:t>
            </w:r>
          </w:p>
        </w:tc>
        <w:tc>
          <w:tcPr>
            <w:tcW w:w="718"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lineRule="atLeast" w:line="240" w:before="0" w:after="40"/>
              <w:jc w:val="both"/>
              <w:rPr/>
            </w:pPr>
            <w:r>
              <w:rPr>
                <w:rFonts w:eastAsia="Times New Roman"/>
                <w:color w:val="000000"/>
                <w:sz w:val="18"/>
                <w:szCs w:val="18"/>
                <w:b/>
              </w:rPr>
              <w:t>Oct</w:t>
            </w:r>
          </w:p>
        </w:tc>
        <w:tc>
          <w:tcPr>
            <w:tcW w:w="717"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lineRule="atLeast" w:line="240" w:before="0" w:after="40"/>
              <w:jc w:val="both"/>
              <w:rPr/>
            </w:pPr>
            <w:r>
              <w:rPr>
                <w:rFonts w:eastAsia="Times New Roman"/>
                <w:color w:val="000000"/>
                <w:sz w:val="18"/>
                <w:szCs w:val="18"/>
                <w:b/>
              </w:rPr>
              <w:t>Dec</w:t>
            </w:r>
          </w:p>
        </w:tc>
      </w:tr>
      <w:tr>
        <w:trPr/>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Peak GHI (W m⁻²)</w:t>
            </w:r>
          </w:p>
        </w:tc>
        <w:tc>
          <w:tcPr>
            <w:tcW w:w="7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tLeast" w:line="240" w:before="0" w:after="40"/>
              <w:jc w:val="both"/>
              <w:rPr/>
            </w:pPr>
            <w:r>
              <w:rPr>
                <w:rFonts w:eastAsia="Times New Roman"/>
                <w:color w:val="000000"/>
                <w:sz w:val="18"/>
                <w:szCs w:val="18"/>
              </w:rPr>
              <w:t>820</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880</w:t>
            </w:r>
          </w:p>
        </w:tc>
        <w:tc>
          <w:tcPr>
            <w:tcW w:w="716"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tLeast" w:line="240" w:before="0" w:after="40"/>
              <w:jc w:val="both"/>
              <w:rPr/>
            </w:pPr>
            <w:r>
              <w:rPr>
                <w:rFonts w:eastAsia="Times New Roman"/>
                <w:color w:val="000000"/>
                <w:sz w:val="18"/>
                <w:szCs w:val="18"/>
              </w:rPr>
              <w:t>580*</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650</w:t>
            </w:r>
          </w:p>
        </w:tc>
        <w:tc>
          <w:tcPr>
            <w:tcW w:w="7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tLeast" w:line="240" w:before="0" w:after="40"/>
              <w:jc w:val="both"/>
              <w:rPr/>
            </w:pPr>
            <w:r>
              <w:rPr>
                <w:rFonts w:eastAsia="Times New Roman"/>
                <w:color w:val="000000"/>
                <w:sz w:val="18"/>
                <w:szCs w:val="18"/>
              </w:rPr>
              <w:t>780</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800</w:t>
            </w:r>
          </w:p>
        </w:tc>
      </w:tr>
      <w:tr>
        <w:trPr/>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Cloud Var. Index</w:t>
            </w:r>
          </w:p>
        </w:tc>
        <w:tc>
          <w:tcPr>
            <w:tcW w:w="7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tLeast" w:line="240" w:before="0" w:after="40"/>
              <w:jc w:val="both"/>
              <w:rPr/>
            </w:pPr>
            <w:r>
              <w:rPr>
                <w:rFonts w:eastAsia="Times New Roman"/>
                <w:color w:val="000000"/>
                <w:sz w:val="18"/>
                <w:szCs w:val="18"/>
              </w:rPr>
              <w:t>0.15</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0.30</w:t>
            </w:r>
          </w:p>
        </w:tc>
        <w:tc>
          <w:tcPr>
            <w:tcW w:w="716"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tLeast" w:line="240" w:before="0" w:after="40"/>
              <w:jc w:val="both"/>
              <w:rPr/>
            </w:pPr>
            <w:r>
              <w:rPr>
                <w:rFonts w:eastAsia="Times New Roman"/>
                <w:color w:val="000000"/>
                <w:sz w:val="18"/>
                <w:szCs w:val="18"/>
              </w:rPr>
              <w:t>0.85</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0.65</w:t>
            </w:r>
          </w:p>
        </w:tc>
        <w:tc>
          <w:tcPr>
            <w:tcW w:w="7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tLeast" w:line="240" w:before="0" w:after="40"/>
              <w:jc w:val="both"/>
              <w:rPr/>
            </w:pPr>
            <w:r>
              <w:rPr>
                <w:rFonts w:eastAsia="Times New Roman"/>
                <w:color w:val="000000"/>
                <w:sz w:val="18"/>
                <w:szCs w:val="18"/>
              </w:rPr>
              <w:t>0.30</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0.15</w:t>
            </w:r>
          </w:p>
        </w:tc>
      </w:tr>
      <w:tr>
        <w:trPr/>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Sunrise (hh:mm)</w:t>
            </w:r>
          </w:p>
        </w:tc>
        <w:tc>
          <w:tcPr>
            <w:tcW w:w="7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tLeast" w:line="240" w:before="0" w:after="40"/>
              <w:jc w:val="both"/>
              <w:rPr/>
            </w:pPr>
            <w:r>
              <w:rPr>
                <w:rFonts w:eastAsia="Times New Roman"/>
                <w:color w:val="000000"/>
                <w:sz w:val="18"/>
                <w:szCs w:val="18"/>
              </w:rPr>
              <w:t>06:18</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05:36</w:t>
            </w:r>
          </w:p>
        </w:tc>
        <w:tc>
          <w:tcPr>
            <w:tcW w:w="716"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tLeast" w:line="240" w:before="0" w:after="40"/>
              <w:jc w:val="both"/>
              <w:rPr/>
            </w:pPr>
            <w:r>
              <w:rPr>
                <w:rFonts w:eastAsia="Times New Roman"/>
                <w:color w:val="000000"/>
                <w:sz w:val="18"/>
                <w:szCs w:val="18"/>
              </w:rPr>
              <w:t>05:18</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05:48</w:t>
            </w:r>
          </w:p>
        </w:tc>
        <w:tc>
          <w:tcPr>
            <w:tcW w:w="7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tLeast" w:line="240" w:before="0" w:after="40"/>
              <w:jc w:val="both"/>
              <w:rPr/>
            </w:pPr>
            <w:r>
              <w:rPr>
                <w:rFonts w:eastAsia="Times New Roman"/>
                <w:color w:val="000000"/>
                <w:sz w:val="18"/>
                <w:szCs w:val="18"/>
              </w:rPr>
              <w:t>06:00</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06:24</w:t>
            </w:r>
          </w:p>
        </w:tc>
      </w:tr>
      <w:tr>
        <w:trPr/>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Sunset (hh:mm)</w:t>
            </w:r>
          </w:p>
        </w:tc>
        <w:tc>
          <w:tcPr>
            <w:tcW w:w="7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tLeast" w:line="240" w:before="0" w:after="40"/>
              <w:jc w:val="both"/>
              <w:rPr/>
            </w:pPr>
            <w:r>
              <w:rPr>
                <w:rFonts w:eastAsia="Times New Roman"/>
                <w:color w:val="000000"/>
                <w:sz w:val="18"/>
                <w:szCs w:val="18"/>
              </w:rPr>
              <w:t>17:24</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18:36</w:t>
            </w:r>
          </w:p>
        </w:tc>
        <w:tc>
          <w:tcPr>
            <w:tcW w:w="716"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tLeast" w:line="240" w:before="0" w:after="40"/>
              <w:jc w:val="both"/>
              <w:rPr/>
            </w:pPr>
            <w:r>
              <w:rPr>
                <w:rFonts w:eastAsia="Times New Roman"/>
                <w:color w:val="000000"/>
                <w:sz w:val="18"/>
                <w:szCs w:val="18"/>
              </w:rPr>
              <w:t>19:06</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18:12</w:t>
            </w:r>
          </w:p>
        </w:tc>
        <w:tc>
          <w:tcPr>
            <w:tcW w:w="7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tLeast" w:line="240" w:before="0" w:after="40"/>
              <w:jc w:val="both"/>
              <w:rPr/>
            </w:pPr>
            <w:r>
              <w:rPr>
                <w:rFonts w:eastAsia="Times New Roman"/>
                <w:color w:val="000000"/>
                <w:sz w:val="18"/>
                <w:szCs w:val="18"/>
              </w:rPr>
              <w:t>17:36</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17:06</w:t>
            </w:r>
          </w:p>
        </w:tc>
      </w:tr>
    </w:tbl>
    <w:p>
      <w:pPr>
        <w:pStyle w:val="Normal"/>
        <w:spacing w:lineRule="atLeast" w:line="240" w:before="40" w:after="80"/>
        <w:jc w:val="both"/>
        <w:rPr>
          <w:rFonts w:ascii="Times New Roman" w:hAnsi="Times New Roman" w:cs="Times New Roman"/>
        </w:rPr>
      </w:pPr>
      <w:r>
        <w:rPr>
          <w:rFonts w:eastAsia="Times New Roman" w:cs="Times New Roman"/>
          <w:i/>
          <w:iCs/>
          <w:color w:val="000000"/>
          <w:sz w:val="18"/>
          <w:szCs w:val="18"/>
        </w:rPr>
        <w:t>* Monthly climatological mean-day peak GHI from NASA POWER. Instantaneous model peak under clear-sky conditions reaches 744 W/m² before cloud attenuation.</w:t>
      </w:r>
    </w:p>
    <w:p>
      <w:pPr>
        <w:pStyle w:val="Normal"/>
        <w:spacing w:lineRule="atLeast" w:line="280" w:before="0" w:after="100"/>
        <w:jc w:val="both"/>
        <w:rPr>
          <w:rFonts w:ascii="Times New Roman" w:hAnsi="Times New Roman" w:cs="Times New Roman"/>
        </w:rPr>
      </w:pPr>
      <w:r>
        <w:rPr>
          <w:rFonts w:cs="Times New Roman"/>
        </w:rPr>
      </w:r>
    </w:p>
    <w:p>
      <w:pPr>
        <w:pStyle w:val="Normal"/>
        <w:spacing w:lineRule="atLeast" w:line="280" w:before="200" w:after="60"/>
        <w:rPr>
          <w:rFonts w:ascii="Times New Roman" w:hAnsi="Times New Roman" w:cs="Times New Roman"/>
        </w:rPr>
      </w:pPr>
      <w:r>
        <w:rPr>
          <w:rFonts w:eastAsia="Times New Roman" w:cs="Times New Roman"/>
          <w:b/>
          <w:bCs/>
          <w:color w:val="000000"/>
          <w:sz w:val="24"/>
          <w:szCs w:val="24"/>
        </w:rPr>
        <w:t>IV.  SIMULATION RESULTS</w:t>
      </w:r>
    </w:p>
    <w:p>
      <w:pPr>
        <w:pStyle w:val="Normal"/>
        <w:spacing w:lineRule="atLeast" w:line="280" w:before="80" w:after="40"/>
        <w:rPr>
          <w:rFonts w:ascii="Times New Roman" w:hAnsi="Times New Roman" w:cs="Times New Roman"/>
        </w:rPr>
      </w:pPr>
      <w:r>
        <w:rPr>
          <w:rFonts w:eastAsia="Times New Roman" w:cs="Times New Roman"/>
          <w:i/>
          <w:iCs/>
          <w:color w:val="000000"/>
          <w:sz w:val="20"/>
          <w:szCs w:val="20"/>
        </w:rPr>
        <w:t>A.  LSTM Predictor Performance</w:t>
      </w:r>
    </w:p>
    <w:p>
      <w:pPr>
        <w:pStyle w:val="Normal"/>
        <w:spacing w:lineRule="atLeast" w:line="280" w:before="0" w:after="100"/>
        <w:jc w:val="both"/>
        <w:rPr>
          <w:rFonts w:ascii="Times New Roman" w:hAnsi="Times New Roman" w:cs="Times New Roman"/>
        </w:rPr>
      </w:pPr>
      <w:r>
        <w:rPr/>
        <w:t>Fig. 4 presents the LSTM evaluation on the fully independent Year-2 synthetic test set (365 days, generated with a distinct random seed from Year-1 training data). The 32-unit model achieves R² = 0.835 with daytime MAE = 54.7 W/m² and RMSE = 72.6 W/m² on synthetic data with OU irradiance flicker. The residual distribution is approximately Gaussian with slight positive bias (μ = 2.3 W/m²), indicating no systematic under-prediction that would cause the LSTM to under-position the voltage reference. The α sensitivity analysis confirms a stable operating plateau across α ∈ [0.20, 0.55] with optimal performance near α = 0.35. All three architectures converge to equivalent predictive accuracy (R² ≈ 0.835, MAE ≈ 54 W/m²), confirming model size is not a bottleneck for this univariate autoregressive task. The 32-unit model is selected as the optimal Pareto point, 3.8× fewer parameters than the 64-unit alternative (4,385 vs 16,961) with no meaningful accuracy loss (ΔR² = +0.002), well within the 12 ms inference budget.; the 32-unit model therefore represents the optimal Pareto point for this resource-constrained deployment.</w:t>
      </w:r>
    </w:p>
    <w:p>
      <w:pPr>
        <w:pStyle w:val="Normal"/>
        <w:spacing w:lineRule="atLeast" w:line="280" w:before="0" w:after="100"/>
        <w:jc w:val="both"/>
        <w:rPr>
          <w:rFonts w:ascii="Times New Roman" w:hAnsi="Times New Roman" w:cs="Times New Roman"/>
        </w:rPr>
      </w:pPr>
      <w:r>
        <w:rPr/>
        <w:drawing>
          <wp:inline distT="0" distB="0" distL="0" distR="0">
            <wp:extent cx="3187700" cy="1461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3187700" cy="1461135"/>
                    </a:xfrm>
                    <a:prstGeom prst="rect">
                      <a:avLst/>
                    </a:prstGeom>
                    <a:noFill/>
                  </pic:spPr>
                </pic:pic>
              </a:graphicData>
            </a:graphic>
          </wp:inline>
        </w:drawing>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Fig. 4.  LSTM predictor performance (R²=0.835, MAE=54.7 W m⁻², Year-2 synthetic independent test set). (a) Timeseries. (b) Scatter. (c) Residuals. (d) α sensitivity analysis.</w:t>
      </w:r>
    </w:p>
    <w:p>
      <w:pPr>
        <w:pStyle w:val="Normal"/>
        <w:keepNext w:val="true"/>
        <w:spacing w:lineRule="atLeast" w:line="280" w:before="80" w:after="40"/>
        <w:rPr>
          <w:rFonts w:ascii="Times New Roman" w:hAnsi="Times New Roman" w:cs="Times New Roman"/>
        </w:rPr>
      </w:pPr>
      <w:r>
        <w:rPr>
          <w:rFonts w:eastAsia="Times New Roman" w:cs="Times New Roman"/>
          <w:i/>
          <w:iCs/>
          <w:color w:val="000000"/>
          <w:sz w:val="20"/>
          <w:szCs w:val="20"/>
        </w:rPr>
        <w:t>Table II.  LSTM Architecture Ablation (Synthetic Independent Year-2 Test Set)</w:t>
      </w:r>
    </w:p>
    <w:tbl>
      <w:tblPr>
        <w:tblW w:w="5020" w:type="dxa"/>
        <w:jc w:val="start"/>
        <w:tblInd w:w="0" w:type="dxa"/>
        <w:tblLayout w:type="fixed"/>
        <w:tblCellMar>
          <w:top w:w="70" w:type="dxa"/>
          <w:start w:w="120" w:type="dxa"/>
          <w:bottom w:w="70" w:type="dxa"/>
          <w:end w:w="120" w:type="dxa"/>
        </w:tblCellMar>
        <w:tblLook w:noHBand="0" w:noVBand="1" w:firstColumn="1" w:lastRow="0" w:lastColumn="0" w:firstRow="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55"/>
        <w:gridCol w:w="1255"/>
        <w:gridCol w:w="1255"/>
        <w:gridCol w:w="1255"/>
      </w:tblGrid>
      <w:tr>
        <w:trPr>
          <w:cantSplit/>
        </w:trPr>
        <w:tc>
          <w:tcPr>
            <w:tcW w:w="1255"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lineRule="atLeast" w:line="240" w:before="0" w:after="40"/>
              <w:jc w:val="both"/>
              <w:rPr/>
            </w:pPr>
            <w:r>
              <w:rPr>
                <w:rFonts w:eastAsia="Times New Roman"/>
                <w:color w:val="000000"/>
                <w:sz w:val="18"/>
                <w:szCs w:val="18"/>
                <w:b/>
              </w:rPr>
              <w:t>Architecture</w:t>
            </w:r>
          </w:p>
        </w:tc>
        <w:tc>
          <w:tcPr>
            <w:tcW w:w="1255"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lineRule="atLeast" w:line="240" w:before="0" w:after="40"/>
              <w:jc w:val="both"/>
              <w:rPr/>
            </w:pPr>
            <w:r>
              <w:rPr>
                <w:rFonts w:eastAsia="Times New Roman"/>
                <w:color w:val="000000"/>
                <w:sz w:val="18"/>
                <w:szCs w:val="18"/>
                <w:b/>
              </w:rPr>
              <w:t>R²</w:t>
            </w:r>
          </w:p>
        </w:tc>
        <w:tc>
          <w:tcPr>
            <w:tcW w:w="1255"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lineRule="atLeast" w:line="240" w:before="0" w:after="40"/>
              <w:jc w:val="both"/>
              <w:rPr/>
            </w:pPr>
            <w:r>
              <w:rPr>
                <w:rFonts w:eastAsia="Times New Roman"/>
                <w:color w:val="000000"/>
                <w:sz w:val="18"/>
                <w:szCs w:val="18"/>
                <w:b/>
              </w:rPr>
              <w:t>MAE (W m⁻²)</w:t>
            </w:r>
          </w:p>
        </w:tc>
        <w:tc>
          <w:tcPr>
            <w:tcW w:w="1255"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lineRule="atLeast" w:line="240" w:before="0" w:after="40"/>
              <w:jc w:val="both"/>
              <w:rPr/>
            </w:pPr>
            <w:r>
              <w:rPr>
                <w:rFonts w:eastAsia="Times New Roman"/>
                <w:color w:val="000000"/>
                <w:sz w:val="18"/>
                <w:szCs w:val="18"/>
                <w:b/>
              </w:rPr>
              <w:t>RMSE (W m⁻²)</w:t>
            </w:r>
          </w:p>
        </w:tc>
      </w:tr>
      <w:tr>
        <w:trPr>
          <w:cantSplit/>
        </w:trPr>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16 units, 1 layer</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rPr/>
            </w:pPr>
            <w:r>
              <w:rPr/>
              <w:t>0.835</w:t>
            </w:r>
          </w:p>
        </w:tc>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rPr/>
            </w:pPr>
            <w:r>
              <w:rPr/>
              <w:t>54.5</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rPr/>
            </w:pPr>
            <w:r>
              <w:rPr/>
              <w:t>72.5</w:t>
            </w:r>
          </w:p>
        </w:tc>
      </w:tr>
      <w:tr>
        <w:trPr>
          <w:cantSplit/>
        </w:trPr>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32 units, 1 layer ✓ (selected)</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tLeast" w:line="240" w:before="0" w:after="40"/>
              <w:jc w:val="both"/>
              <w:rPr/>
            </w:pPr>
            <w:r>
              <w:rPr>
                <w:rFonts w:eastAsia="Times New Roman"/>
                <w:color w:val="000000"/>
                <w:sz w:val="18"/>
                <w:szCs w:val="18"/>
              </w:rPr>
              <w:t>0.835</w:t>
            </w:r>
          </w:p>
        </w:tc>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54.7</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tLeast" w:line="240" w:before="0" w:after="40"/>
              <w:jc w:val="both"/>
              <w:rPr/>
            </w:pPr>
            <w:r>
              <w:rPr>
                <w:rFonts w:eastAsia="Times New Roman"/>
                <w:color w:val="000000"/>
                <w:sz w:val="18"/>
                <w:szCs w:val="18"/>
              </w:rPr>
              <w:t>72.6</w:t>
            </w:r>
          </w:p>
        </w:tc>
      </w:tr>
      <w:tr>
        <w:trPr>
          <w:cantSplit/>
        </w:trPr>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lineRule="atLeast" w:line="240" w:before="0" w:after="40"/>
              <w:jc w:val="both"/>
              <w:rPr/>
            </w:pPr>
            <w:r>
              <w:rPr>
                <w:rFonts w:eastAsia="Times New Roman"/>
                <w:color w:val="000000"/>
                <w:sz w:val="18"/>
                <w:szCs w:val="18"/>
              </w:rPr>
              <w:t>64 units, 1 layer</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rPr/>
            </w:pPr>
            <w:r>
              <w:rPr/>
              <w:t>0.837</w:t>
            </w:r>
          </w:p>
        </w:tc>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rPr/>
            </w:pPr>
            <w:r>
              <w:rPr/>
              <w:t>54.1</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rPr/>
            </w:pPr>
            <w:r>
              <w:rPr/>
              <w:t>72.0</w:t>
            </w:r>
          </w:p>
        </w:tc>
      </w:tr>
    </w:tbl>
    <w:p>
      <w:pPr>
        <w:pStyle w:val="Normal"/>
        <w:spacing w:lineRule="atLeast" w:line="280" w:before="0" w:after="100"/>
        <w:jc w:val="both"/>
        <w:rPr>
          <w:rFonts w:ascii="Times New Roman" w:hAnsi="Times New Roman" w:cs="Times New Roman"/>
        </w:rPr>
      </w:pPr>
      <w:r>
        <w:rPr>
          <w:rFonts w:cs="Times New Roman"/>
        </w:rPr>
      </w:r>
    </w:p>
    <w:p>
      <w:pPr>
        <w:pStyle w:val="Normal"/>
        <w:rPr/>
      </w:pPr>
      <w:r>
        <w:rPr/>
        <w:t xml:space="preserve">¹ </w:t>
      </w:r>
      <w:r>
        <w:rPr/>
        <w:t>Minor MAE fluctuation between 16- and 32-unit models (54.5 vs 54.7 W/m²) is within training initialisation variance; all three configurations converge to equivalent predictive accuracy.</w:t>
      </w:r>
    </w:p>
    <w:p>
      <w:pPr>
        <w:pStyle w:val="Normal"/>
        <w:spacing w:lineRule="atLeast" w:line="280" w:before="80" w:after="40"/>
        <w:rPr>
          <w:rFonts w:ascii="Times New Roman" w:hAnsi="Times New Roman" w:cs="Times New Roman"/>
        </w:rPr>
      </w:pPr>
      <w:r>
        <w:rPr>
          <w:rFonts w:eastAsia="Times New Roman" w:cs="Times New Roman"/>
          <w:i/>
          <w:iCs/>
          <w:color w:val="000000"/>
          <w:sz w:val="20"/>
          <w:szCs w:val="20"/>
        </w:rPr>
        <w:t>B.  MPPT Efficiency — Full-Day Simulation</w:t>
      </w:r>
    </w:p>
    <w:p>
      <w:pPr>
        <w:pStyle w:val="Normal"/>
        <w:spacing w:lineRule="atLeast" w:line="280" w:before="80" w:after="40"/>
        <w:rPr>
          <w:rFonts w:ascii="Times New Roman" w:hAnsi="Times New Roman" w:cs="Times New Roman"/>
        </w:rPr>
      </w:pPr>
      <w:r>
        <w:rPr>
          <w:rFonts w:eastAsia="Times New Roman" w:cs="Times New Roman"/>
          <w:i/>
          <w:iCs/>
          <w:color w:val="000000"/>
          <w:sz w:val="20"/>
          <w:szCs w:val="20"/>
        </w:rPr>
        <w:t>All controllers were evaluated under strictly identical conditions: the same single-diode PV model (Section III), the same 100 ms sampling interval and INA219 12-bit sensing resolution, the same converter limits (50 kHz PWM, duty clamp [0.05, 0.95], 6 A bulk-charge limit), the same initialization (V_ref = 17.0 V, SoC = 30%), and identical irradiance trajectories for each Monte Carlo day. No controller-specific re-tuning was performed: the VS-P&amp;O step rule (k = 0.005), the LSTM blend coefficient (α = 0.35) and its 15% deviation deadband are the values reported in Section III, and the plain P&amp;O and INC baselines use their standard fixed-step (0.1 V) and tolerance (0.01 A/V) settings, respectively.</w:t>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Fig. 5 presents the full-day Simulink simulation for a representative July day (seed 23). Key results: MPPT tracking efficiency 94.0–95.7% (Monte Carlo range), peak GHI 744 W/m² (aerosol-capped), battery SoC 30%→100%, peak junction temperature 54°C (computed from the measured 1.41 W total converter loss at the 3.8 A operating point over the thermal network Rth_JC = 0.44 °C/W (IRFB4110, TO-220), case-to-heatsink ≈ 1 °C/W (thermal interface material), heatsink-to-ambient ≈ 12 °C/W (small extruded heatsink), giving the stated effective Rth_JA ≈ 13.5 °C/W at 35 °C ambient; peak conduction loss 0.32 W at 3.8 A through R_DS(on) = 3.7 mΩ, with switching and diode losses as in Fig. 12b), battery voltage range 12.41–13.61 V. The SoC trajectory confirms complete charging from 30% initial state within the 13-hour Sylhet July solar window, validating the energy balance of the controller under maximum-variability conditions.</w:t>
      </w:r>
    </w:p>
    <w:p>
      <w:pPr>
        <w:pStyle w:val="Normal"/>
        <w:spacing w:lineRule="atLeast" w:line="280" w:before="0" w:after="100"/>
        <w:jc w:val="both"/>
        <w:rPr>
          <w:rFonts w:ascii="Times New Roman" w:hAnsi="Times New Roman" w:cs="Times New Roman"/>
        </w:rPr>
      </w:pPr>
      <w:r>
        <w:rPr/>
        <w:drawing>
          <wp:inline distT="0" distB="0" distL="0" distR="0">
            <wp:extent cx="3187700" cy="2231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3187700" cy="2231390"/>
                    </a:xfrm>
                    <a:prstGeom prst="rect">
                      <a:avLst/>
                    </a:prstGeom>
                    <a:noFill/>
                  </pic:spPr>
                </pic:pic>
              </a:graphicData>
            </a:graphic>
          </wp:inline>
        </w:drawing>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Fig. 5.  Full-day simulation results — Sylhet July (seed 23). Six panels: GHI, P_pv vs P_mpp, η_MPPT, SoC, V_bat, T_J.</w:t>
      </w:r>
    </w:p>
    <w:p>
      <w:pPr>
        <w:pStyle w:val="Normal"/>
        <w:spacing w:lineRule="atLeast" w:line="280" w:before="80" w:after="40"/>
        <w:rPr>
          <w:rFonts w:ascii="Times New Roman" w:hAnsi="Times New Roman" w:cs="Times New Roman"/>
        </w:rPr>
      </w:pPr>
      <w:r>
        <w:rPr>
          <w:rFonts w:eastAsia="Times New Roman" w:cs="Times New Roman"/>
          <w:i/>
          <w:iCs/>
          <w:color w:val="000000"/>
          <w:sz w:val="20"/>
          <w:szCs w:val="20"/>
        </w:rPr>
        <w:t>C.  Monte Carlo Performance Distribution</w:t>
      </w:r>
    </w:p>
    <w:p>
      <w:pPr>
        <w:pStyle w:val="Normal"/>
        <w:spacing w:lineRule="atLeast" w:line="280" w:before="0" w:after="100"/>
        <w:jc w:val="both"/>
        <w:rPr>
          <w:rFonts w:ascii="Times New Roman" w:hAnsi="Times New Roman" w:cs="Times New Roman"/>
        </w:rPr>
      </w:pPr>
      <w:r>
        <w:rPr/>
        <w:t>To characterise stochastic performance, the simulation was run over 30 independent July days (varying Markov random seed). Fig. 6 presents the efficiency distribution and comparative bar chart. The 30-day Monte Carlo yields: mean η_MPPT = 94.0%, standard deviation σ = 0.6%, 95% CI [92.9%, 94.9%]. All 30 simulation days fall within the 90–95% efficiency band, consistent with ranges achievable by hardware VS-P&amp;O implementations in variable-irradiance conditions as surveyed in [33], [34], confirming that the stochastic irradiance model produces physically representative variability levels.</w:t>
      </w:r>
    </w:p>
    <w:p>
      <w:pPr>
        <w:pStyle w:val="Normal"/>
        <w:spacing w:lineRule="atLeast" w:line="280" w:before="0" w:after="100"/>
        <w:jc w:val="both"/>
        <w:rPr>
          <w:rFonts w:ascii="Times New Roman" w:hAnsi="Times New Roman" w:cs="Times New Roman"/>
        </w:rPr>
      </w:pPr>
      <w:r>
        <w:rPr/>
        <w:drawing>
          <wp:inline distT="0" distB="0" distL="0" distR="0">
            <wp:extent cx="3187700" cy="1142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3187700" cy="1142365"/>
                    </a:xfrm>
                    <a:prstGeom prst="rect">
                      <a:avLst/>
                    </a:prstGeom>
                    <a:noFill/>
                  </pic:spPr>
                </pic:pic>
              </a:graphicData>
            </a:graphic>
          </wp:inline>
        </w:drawing>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Fig. 6.  MPPT efficiency: controller comparison (left) and 30-day Monte Carlo distribution (right). μ=94.0%, σ=0.6%.</w:t>
      </w:r>
    </w:p>
    <w:p>
      <w:pPr>
        <w:pStyle w:val="Normal"/>
        <w:spacing w:lineRule="atLeast" w:line="280" w:before="80" w:after="40"/>
        <w:rPr>
          <w:rFonts w:ascii="Times New Roman" w:hAnsi="Times New Roman" w:cs="Times New Roman"/>
        </w:rPr>
      </w:pPr>
      <w:r>
        <w:rPr/>
        <w:t>Table III.  MPPT Tracking Efficiency — All Scenarios (Monte Carlo, N=30). Inc. Cond. = Incremental Conductance. ±: per-day standard deviation within each scenario; the standard deviation of the 30 July daily means is σ=0.6%, as reported in Section IV.D.</w:t>
      </w:r>
    </w:p>
    <w:p>
      <w:pPr>
        <w:pStyle w:val="Normal"/>
        <w:spacing w:lineRule="atLeast" w:line="280" w:before="0" w:after="100"/>
        <w:jc w:val="both"/>
        <w:rPr>
          <w:rFonts w:ascii="Times New Roman" w:hAnsi="Times New Roman" w:cs="Times New Roman"/>
        </w:rPr>
      </w:pPr>
      <w:r>
        <w:rPr>
          <w:rFonts w:cs="Times New Roman"/>
        </w:rPr>
      </w:r>
    </w:p>
    <w:p>
      <w:pPr>
        <w:pStyle w:val="Normal"/>
        <w:spacing w:lineRule="atLeast" w:line="280" w:before="80" w:after="40"/>
        <w:rPr>
          <w:rFonts w:ascii="Times New Roman" w:hAnsi="Times New Roman" w:cs="Times New Roman"/>
        </w:rPr>
      </w:pPr>
      <w:r>
        <w:rPr>
          <w:rFonts w:eastAsia="Times New Roman" w:cs="Times New Roman"/>
          <w:i/>
          <w:iCs/>
          <w:color w:val="000000"/>
          <w:sz w:val="20"/>
          <w:szCs w:val="20"/>
        </w:rPr>
        <w:t>D.  P&amp;O Convergence Behaviour</w:t>
      </w:r>
    </w:p>
    <w:p>
      <w:pPr>
        <w:pStyle w:val="Normal"/>
        <w:spacing w:lineRule="atLeast" w:line="280" w:before="0" w:after="100"/>
        <w:jc w:val="both"/>
        <w:rPr>
          <w:rFonts w:ascii="Times New Roman" w:hAnsi="Times New Roman" w:cs="Times New Roman"/>
        </w:rPr>
      </w:pPr>
      <w:r>
        <w:rPr/>
        <w:drawing>
          <wp:inline distT="0" distB="0" distL="0" distR="0">
            <wp:extent cx="3187700" cy="1036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3187700" cy="1036320"/>
                    </a:xfrm>
                    <a:prstGeom prst="rect">
                      <a:avLst/>
                    </a:prstGeom>
                    <a:noFill/>
                  </pic:spPr>
                </pic:pic>
              </a:graphicData>
            </a:graphic>
          </wp:inline>
        </w:drawing>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Fig. 7.  VS-P&amp;O: (a) convergence trajectory on P–V curve, (b) step-size law, (c) transient convergence speed (~18 steps to 94% from cold start).</w:t>
      </w:r>
    </w:p>
    <w:p>
      <w:pPr>
        <w:pStyle w:val="Normal"/>
        <w:spacing w:lineRule="atLeast" w:line="280" w:before="80" w:after="40"/>
        <w:rPr>
          <w:rFonts w:ascii="Times New Roman" w:hAnsi="Times New Roman" w:cs="Times New Roman"/>
        </w:rPr>
      </w:pPr>
      <w:r>
        <w:rPr>
          <w:rFonts w:eastAsia="Times New Roman" w:cs="Times New Roman"/>
          <w:i/>
          <w:iCs/>
          <w:color w:val="000000"/>
          <w:sz w:val="20"/>
          <w:szCs w:val="20"/>
        </w:rPr>
        <w:t>E.  Validation Against Field Baselines</w:t>
      </w:r>
    </w:p>
    <w:p>
      <w:pPr>
        <w:pStyle w:val="Normal"/>
        <w:spacing w:lineRule="atLeast" w:line="280" w:before="0" w:after="100"/>
        <w:jc w:val="both"/>
        <w:rPr>
          <w:rFonts w:ascii="Times New Roman" w:hAnsi="Times New Roman" w:cs="Times New Roman"/>
        </w:rPr>
      </w:pPr>
      <w:r>
        <w:rPr/>
        <w:t>Fig. 8 presents simulated MPPT tracking efficiencies alongside a real Bangladesh field reference. Helios-Artemis achieves 91.3% annual tracking efficiency, outperforming VS-P&amp;O (89.1%) and plain P&amp;O (85.8%). Hossion [22] reports system-level performance ratio (PR) of 79% for a 122.4 kW rooftop installation in Dhaka, a fundamentally different metric that encompasses inverter, wiring, thermal, and soiling losses beyond MPPT tracking alone. The 12.3 pp gap between controller-level efficiency (91.3%) and system-level PR (79%) is consistent with the aggregate losses expected in grid-connected PV systems.</w:t>
      </w:r>
    </w:p>
    <w:p>
      <w:pPr>
        <w:pStyle w:val="Normal"/>
        <w:spacing w:lineRule="atLeast" w:line="280" w:before="0" w:after="100"/>
        <w:jc w:val="both"/>
        <w:rPr>
          <w:rFonts w:ascii="Times New Roman" w:hAnsi="Times New Roman" w:cs="Times New Roman"/>
        </w:rPr>
      </w:pPr>
      <w:r>
        <w:rPr/>
        <w:drawing>
          <wp:inline distT="0" distB="0" distL="0" distR="0">
            <wp:extent cx="3187700" cy="11156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3187700" cy="1115695"/>
                    </a:xfrm>
                    <a:prstGeom prst="rect">
                      <a:avLst/>
                    </a:prstGeom>
                    <a:noFill/>
                  </pic:spPr>
                </pic:pic>
              </a:graphicData>
            </a:graphic>
          </wp:inline>
        </w:drawing>
      </w:r>
    </w:p>
    <w:p>
      <w:pPr>
        <w:pStyle w:val="Normal"/>
        <w:spacing w:lineRule="atLeast" w:line="280" w:before="0" w:after="100"/>
        <w:jc w:val="both"/>
        <w:rPr>
          <w:rFonts w:ascii="Times New Roman" w:hAnsi="Times New Roman" w:cs="Times New Roman"/>
        </w:rPr>
      </w:pPr>
      <w:r>
        <w:rPr/>
        <w:t>Fig. 8.  Simulated MPPT efficiency comparison. (a) Monsoon vs annual tracking efficiency for three controller types. (b) Annual efficiency with Hossion [22] system-level PR reference (79%, 122.4 kW rooftop PV, Dhaka). PR includes all system losses and is not directly comparable to MPPT tracking efficiency.</w:t>
      </w:r>
    </w:p>
    <w:p>
      <w:pPr>
        <w:pStyle w:val="Normal"/>
        <w:rPr/>
      </w:pPr>
      <w:r>
        <w:rPr/>
        <w:t>F.  Field Logger Validation of Irradiance Model</w:t>
      </w:r>
    </w:p>
    <w:p>
      <w:pPr>
        <w:pStyle w:val="Normal"/>
        <w:rPr/>
      </w:pPr>
      <w:r>
        <w:rPr/>
        <w:t>To validate the Markov+OU irradiance model against Sylhet monsoon conditions, the field logger dataset (42 h daytime, G &gt; 80 W/m², resampled to 1 minute) was compared with 10 synthetic July profiles generated from independent random seeds. The comparison metric is the ramp-rate distribution (ΔG per minute), which governs MPPT transient losses. The synthetic ensemble spread wider (σ = 39.7 W/m²/min; mean |ΔG| = 29.4 W/m²/min) than the four-day field sample (σ = 17.0 W/m²/min; mean |ΔG| = 8.9 W/m²/min), a 2.3× dispersion ratio consistent with a brief monsoon window capturing below-average variability relative to the July ensemble (Fig. 9). The marginal distributions diverge moderately (KS D = 0.224), consistent with that wider climatological variance. The 1-minute resolution matches the MPPT update interval, so sub-second OU flicker is not resolvable here and appears as within-minute variability rather than systematic bias. Autocorrelation is high on both sides: lag-1 at one minute is 0.95 (field) and 0.84 (synthetic), each implying a correlation window of many minutes, far beyond the 100 ms control interval. The model’s short-timescale regime, ramp-rate dispersion and persistence, is confirmed; full distributional agreement is not, and the 42 h sample is too brief for direct LSTM retraining. The logger hardware, schematic and PCB layout, is presented in Section V (Fig. 17).</w:t>
      </w:r>
    </w:p>
    <w:p>
      <w:pPr>
        <w:pStyle w:val="Normal"/>
        <w:rPr/>
      </w:pPr>
      <w:r>
        <w:rPr/>
        <w:drawing>
          <wp:inline distT="0" distB="0" distL="0" distR="0">
            <wp:extent cx="3187700" cy="2602865"/>
            <wp:effectExtent l="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noChangeArrowheads="1"/>
                    </pic:cNvPicPr>
                  </pic:nvPicPr>
                  <pic:blipFill>
                    <a:blip r:embed="rId13"/>
                    <a:stretch>
                      <a:fillRect/>
                    </a:stretch>
                  </pic:blipFill>
                  <pic:spPr bwMode="auto">
                    <a:xfrm>
                      <a:off x="0" y="0"/>
                      <a:ext cx="3187700" cy="2602865"/>
                    </a:xfrm>
                    <a:prstGeom prst="rect">
                      <a:avLst/>
                    </a:prstGeom>
                    <a:noFill/>
                  </pic:spPr>
                </pic:pic>
              </a:graphicData>
            </a:graphic>
          </wp:inline>
        </w:drawing>
      </w:r>
    </w:p>
    <w:p>
      <w:pPr>
        <w:pStyle w:val="Normal"/>
        <w:rPr/>
      </w:pPr>
      <w:r>
        <w:rPr/>
        <w:t>Fig. 9.  Field-logger ramp-rate validation vs synthetic Markov+OU model (July, 1-minute resolution). Grey bars: field data (4 days); blue bars: synthetic (10-day Monte Carlo). Synthetic over-dispersion (σ=39.7 vs 17.0 W/m²/min) is consistent with the brief monsoon field window.</w:t>
      </w:r>
    </w:p>
    <w:p>
      <w:pPr>
        <w:pStyle w:val="Normal"/>
        <w:rPr/>
      </w:pPr>
      <w:r>
        <w:rPr/>
        <w:t>G.  Power-Stage Loss and Efficiency Verification</w:t>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The power stage used in all simulations of Sections IV.B and IV.D and the reproducible switching-level model of the previous paragraph are shown in Fig. 10, together with the signal names and measurement points used by the verification setup: the PV-side shunt R_shunt = 10 mΩ sensed by the INA219 12-bit current sensor (V_pv, I_pv sampled at 100 ms), the gate–source voltage v_gs, the switch node v_sw, the inductor current i_L, and the battery voltage v_bat. The TC4420 gate driver operates from a 12 V rail with a 4.7 Ω gate resistor; the PWM duty is clamped to [0.05, 0.95].</w:t>
      </w:r>
    </w:p>
    <w:p>
      <w:pPr>
        <w:jc w:val="center"/>
      </w:pPr>
      <w:r>
        <w:drawing>
          <wp:inline xmlns:a="http://schemas.openxmlformats.org/drawingml/2006/main">
            <wp:extent cx="3187700" cy="1766998"/>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187700" cy="1766998"/>
                    </a:xfrm>
                    <a:prstGeom prst="rect"/>
                  </pic:spPr>
                </pic:pic>
              </a:graphicData>
            </a:graphic>
          </wp:inline>
        </w:drawing>
      </w:r>
    </w:p>
    <w:p>
      <w:pPr>
        <w:pStyle w:val="Normal"/>
        <w:rPr/>
      </w:pPr>
      <w:r>
        <w:rPr/>
        <w:t>Fig. 10. Power-stage schematic with signal names and measurement points (V_pv, I_pv via INA219 shunt, v_gs, v_sw, i_L, v_bat): 50 Wp PV panel, IRFB4110 with freewheeling body diode, TC4420 gate driver (50 kHz, 12 V, R_g = 4.7 Ω), LC filter (L = 100 µH, DCR 30 mΩ; C = 470 µF, ESR 40 mΩ), 12 V/7 Ah SLA battery (R_int = 50 mΩ).</w:t>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Fig. 11 shows the switching waveforms at the nominal 3.8 A operating point (V_in = 17.9 V, 50 kHz): (a) switch node v_sw and gate–source v_gs, (b) inductor current i_L in continuous conduction, (c) output voltage ripple, and (d) PV input current. The converter delivers 13.16 V at 3.80 A with a measured efficiency of 97.99%, and the energy balance (P_in − P_out − P_loss)/P_in = +0.75% closes the conservation check to within one percentage point.</w:t>
      </w:r>
    </w:p>
    <w:p>
      <w:pPr>
        <w:jc w:val="center"/>
      </w:pPr>
      <w:r>
        <w:drawing>
          <wp:inline xmlns:a="http://schemas.openxmlformats.org/drawingml/2006/main">
            <wp:extent cx="3187700" cy="2276929"/>
            <wp:docPr id="24" name="Picture 2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187700" cy="2276929"/>
                    </a:xfrm>
                    <a:prstGeom prst="rect"/>
                  </pic:spPr>
                </pic:pic>
              </a:graphicData>
            </a:graphic>
          </wp:inline>
        </w:drawing>
      </w:r>
    </w:p>
    <w:p>
      <w:pPr>
        <w:pStyle w:val="Normal"/>
        <w:rPr/>
      </w:pPr>
      <w:r>
        <w:rPr/>
        <w:t>Fig. 11. Buck power-stage switching waveforms at the nominal 3.8 A operating point (ngspice, 20 ns timestep): (a) switch node and gate–source voltage, (b) inductor current (CCM), (c) output voltage ripple, (d) PV input current.</w:t>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Fig. 12(a) gives the efficiency-versus-load characteristic of the converter over the full operating range of the Helios-Artemis system: 98.9% at 1.0 A load down to 95.0% at the 12.8 A worst-case current. Fig. 12(b) breaks down the 1.41 W total loss at the 3.8 A operating point: MOSFET conduction 0.32 W (R_DS(on) = 3.7 mΩ), freewheeling diode 0.52 W, inductor DCR 0.43 W, INA219 shunt 0.10 W, and capacitor ESR 0.03 W. The simulated total exceeds the measured P_in − P_out = 1.03 W by 0.75% of P_in, consistent with the energy-balance closure of Fig. 11; across the load sweep the balance error remains below 1.6%. These numbers confirm the 98% peak efficiency and 62 °C thermal budget reported in Section IV.B.</w:t>
      </w:r>
    </w:p>
    <w:p>
      <w:pPr>
        <w:jc w:val="center"/>
      </w:pPr>
      <w:r>
        <w:drawing>
          <wp:inline xmlns:a="http://schemas.openxmlformats.org/drawingml/2006/main">
            <wp:extent cx="3187700" cy="1561292"/>
            <wp:docPr id="25" name="Picture 25"/>
            <wp:cNvGraphicFramePr>
              <a:graphicFrameLocks noChangeAspect="1"/>
            </wp:cNvGraphicFramePr>
            <a:graphic>
              <a:graphicData uri="http://schemas.openxmlformats.org/drawingml/2006/picture">
                <pic:pic>
                  <pic:nvPicPr>
                    <pic:cNvPr id="0" name="fig16_eff_loss.png"/>
                    <pic:cNvPicPr/>
                  </pic:nvPicPr>
                  <pic:blipFill>
                    <a:blip r:embed="rId38"/>
                    <a:stretch>
                      <a:fillRect/>
                    </a:stretch>
                  </pic:blipFill>
                  <pic:spPr>
                    <a:xfrm>
                      <a:off x="0" y="0"/>
                      <a:ext cx="3187700" cy="1561292"/>
                    </a:xfrm>
                    <a:prstGeom prst="rect"/>
                  </pic:spPr>
                </pic:pic>
              </a:graphicData>
            </a:graphic>
          </wp:inline>
        </w:drawing>
      </w:r>
    </w:p>
    <w:p>
      <w:pPr>
        <w:pStyle w:val="Normal"/>
        <w:rPr/>
      </w:pPr>
      <w:r>
        <w:rPr/>
        <w:t>Fig. 12. (a) Converter efficiency versus output current (98.9% at 1.0 A to 95.0% at 12.8 A; 98.0% at the 3.8 A point). (b) Loss breakdown at 3.8 A: MOSFET 0.32 W, body diode 0.52 W, inductor DCR 0.43 W, shunt 0.10 W, capacitor ESR 0.03 W (total 1.41 W).</w:t>
      </w:r>
    </w:p>
    <w:p>
      <w:pPr>
        <w:pStyle w:val="Normal"/>
        <w:rPr/>
      </w:pPr>
      <w:r>
        <w:rPr/>
        <w:t>H.  Efficiency Evidence on a Measured Monsoon Day</w:t>
      </w:r>
    </w:p>
    <w:p>
      <w:pPr>
        <w:pStyle w:val="Normal"/>
        <w:rPr/>
      </w:pPr>
      <w:r>
        <w:rPr/>
        <w:t>The transient behaviour of the controller was also exercised against a measured monsoon day: the field irradiance trace of 17 August 2026 (05:30–18:30, 5 s sampling, peak 470.8 W/m², consistent with the BH1750 logger of Section III.D) was replayed through a software-in-the-loop simulation. A single-diode panel model (≈280 Wp, P_MPP ≈ 0.28·G) fed two trackers: a fixed-step P&amp;O implementation (ΔD = 0.0005) and the LSTM-assisted predictive tracker of Section III.C, which pre-positions the operating point from a 5 s-ahead irradiance forecast. An independent single-diode recalculation reproduced every reported aggregate within one percentage point.</w:t>
      </w:r>
    </w:p>
    <w:p>
      <w:pPr>
        <w:pStyle w:val="Normal"/>
        <w:rPr/>
      </w:pPr>
      <w:r>
        <w:rPr/>
        <w:t>Fig. 13(a) shows the day’s irradiance with the highest-variability 20% of windows shaded; Fig. 13(b) compares the two trackers’ rolling tracking efficiency; Fig. 13(c) stratifies efficiency by instantaneous ramp rate. Over the full day the predictive tracker achieves 93.3% against 81.9% for fixed-step P&amp;O. The gap concentrates where the monsoon argument predicts: in the highest-variability windows the predictive tracker holds 90.2% while P&amp;O falls to 67.8%, and above 150 W/m²/min P&amp;O collapses to 51.1% against 86.9%. In the calm 80% of windows both trackers perform well (94.0% versus 84.9%). These field-driven numbers confirm the mechanism claimed throughout: anticipatory positioning recovers the transient tracking loss that reactive hill-climbing incurs under monsoon cloud flicker (Table IV).</w:t>
      </w:r>
    </w:p>
    <w:p>
      <w:pPr>
        <w:jc w:val="center"/>
      </w:pPr>
      <w:r>
        <w:drawing>
          <wp:inline xmlns:a="http://schemas.openxmlformats.org/drawingml/2006/main">
            <wp:extent cx="3187700" cy="3724182"/>
            <wp:docPr id="31" name="Picture 31"/>
            <wp:cNvGraphicFramePr>
              <a:graphicFrameLocks noChangeAspect="1"/>
            </wp:cNvGraphicFramePr>
            <a:graphic>
              <a:graphicData uri="http://schemas.openxmlformats.org/drawingml/2006/picture">
                <pic:pic>
                  <pic:nvPicPr>
                    <pic:cNvPr id="0" name="fig_field_day_evidence.png"/>
                    <pic:cNvPicPr/>
                  </pic:nvPicPr>
                  <pic:blipFill>
                    <a:blip r:embed="rId45"/>
                    <a:stretch>
                      <a:fillRect/>
                    </a:stretch>
                  </pic:blipFill>
                  <pic:spPr>
                    <a:xfrm>
                      <a:off x="0" y="0"/>
                      <a:ext cx="3187700" cy="3724182"/>
                    </a:xfrm>
                    <a:prstGeom prst="rect"/>
                  </pic:spPr>
                </pic:pic>
              </a:graphicData>
            </a:graphic>
          </wp:inline>
        </w:drawing>
      </w:r>
    </w:p>
    <w:p>
      <w:pPr>
        <w:pStyle w:val="Normal"/>
        <w:rPr/>
      </w:pPr>
      <w:r>
        <w:rPr/>
        <w:t>Fig. 13. Efficiency evidence on a measured monsoon day (17 Aug 2026, 5 s sampling): (a) irradiance trace with the highest-variability 20% of windows shaded; (b) day-long energy-weighted tracking efficiency, fixed-step P&amp;O vs LSTM-assisted; (c) tracking efficiency stratified by instantaneous ramp rate (hatched bars: fixed-step P&amp;O; cross-hatched: LSTM-assisted).</w:t>
      </w:r>
    </w:p>
    <w:p>
      <w:pPr>
        <w:pStyle w:val="Normal"/>
        <w:spacing w:lineRule="atLeast" w:line="280" w:before="80" w:after="40"/>
        <w:rPr>
          <w:rFonts w:ascii="Times New Roman" w:hAnsi="Times New Roman" w:cs="Times New Roman"/>
        </w:rPr>
      </w:pPr>
      <w:r>
        <w:rPr/>
        <w:t>Table IV. Energy-weighted tracking efficiency on the measured monsoon day (fixed-step P&amp;O vs LSTM-assisted predictive tracker).</w:t>
      </w:r>
    </w:p>
    <w:tbl>
      <w:tblPr>
        <w:tblW w:w="5020"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100"/>
        <w:gridCol w:w="1000"/>
        <w:gridCol w:w="1000"/>
        <w:gridCol w:w="920"/>
      </w:tblGrid>
      <w:tr>
        <w:tc>
          <w:tcPr>
            <w:tcW w:w="2100" w:type="dxa"/>
            <w:vAlign w:val="center"/>
          </w:tcPr>
          <w:p>
            <w:r>
              <w:rPr>
                <w:sz w:val="14"/>
                <w:b/>
              </w:rPr>
              <w:t w:space="preserve">Scenario</w:t>
            </w:r>
          </w:p>
        </w:tc>
        <w:tc>
          <w:tcPr>
            <w:tcW w:w="1000" w:type="dxa"/>
            <w:vAlign w:val="center"/>
          </w:tcPr>
          <w:p>
            <w:r>
              <w:rPr>
                <w:sz w:val="14"/>
                <w:b/>
              </w:rPr>
              <w:t w:space="preserve">P&amp;O (%)</w:t>
            </w:r>
          </w:p>
        </w:tc>
        <w:tc>
          <w:tcPr>
            <w:tcW w:w="1000" w:type="dxa"/>
            <w:vAlign w:val="center"/>
          </w:tcPr>
          <w:p>
            <w:r>
              <w:rPr>
                <w:sz w:val="14"/>
                <w:b/>
              </w:rPr>
              <w:t w:space="preserve">LSTM (%)</w:t>
            </w:r>
          </w:p>
        </w:tc>
        <w:tc>
          <w:tcPr>
            <w:tcW w:w="920" w:type="dxa"/>
            <w:vAlign w:val="center"/>
          </w:tcPr>
          <w:p>
            <w:r>
              <w:rPr>
                <w:sz w:val="14"/>
                <w:b/>
              </w:rPr>
              <w:t w:space="preserve">Gap (pp)</w:t>
            </w:r>
          </w:p>
        </w:tc>
      </w:tr>
      <w:tr>
        <w:tc>
          <w:tcPr>
            <w:tcW w:w="2100" w:type="dxa"/>
            <w:vAlign w:val="center"/>
          </w:tcPr>
          <w:p>
            <w:r>
              <w:rPr>
                <w:sz w:val="14"/>
              </w:rPr>
              <w:t w:space="preserve">Whole day</w:t>
            </w:r>
          </w:p>
        </w:tc>
        <w:tc>
          <w:tcPr>
            <w:tcW w:w="1000" w:type="dxa"/>
            <w:vAlign w:val="center"/>
          </w:tcPr>
          <w:p>
            <w:r>
              <w:rPr>
                <w:sz w:val="14"/>
              </w:rPr>
              <w:t w:space="preserve">81.9</w:t>
            </w:r>
          </w:p>
        </w:tc>
        <w:tc>
          <w:tcPr>
            <w:tcW w:w="1000" w:type="dxa"/>
            <w:vAlign w:val="center"/>
          </w:tcPr>
          <w:p>
            <w:r>
              <w:rPr>
                <w:sz w:val="14"/>
              </w:rPr>
              <w:t w:space="preserve">93.3</w:t>
            </w:r>
          </w:p>
        </w:tc>
        <w:tc>
          <w:tcPr>
            <w:tcW w:w="920" w:type="dxa"/>
            <w:vAlign w:val="center"/>
          </w:tcPr>
          <w:p>
            <w:r>
              <w:rPr>
                <w:sz w:val="14"/>
              </w:rPr>
              <w:t w:space="preserve">11.4</w:t>
            </w:r>
          </w:p>
        </w:tc>
      </w:tr>
      <w:tr>
        <w:tc>
          <w:tcPr>
            <w:tcW w:w="2100" w:type="dxa"/>
            <w:vAlign w:val="center"/>
          </w:tcPr>
          <w:p>
            <w:r>
              <w:rPr>
                <w:sz w:val="14"/>
              </w:rPr>
              <w:t w:space="preserve">High-variability 20%</w:t>
            </w:r>
          </w:p>
        </w:tc>
        <w:tc>
          <w:tcPr>
            <w:tcW w:w="1000" w:type="dxa"/>
            <w:vAlign w:val="center"/>
          </w:tcPr>
          <w:p>
            <w:r>
              <w:rPr>
                <w:sz w:val="14"/>
              </w:rPr>
              <w:t w:space="preserve">67.8</w:t>
            </w:r>
          </w:p>
        </w:tc>
        <w:tc>
          <w:tcPr>
            <w:tcW w:w="1000" w:type="dxa"/>
            <w:vAlign w:val="center"/>
          </w:tcPr>
          <w:p>
            <w:r>
              <w:rPr>
                <w:sz w:val="14"/>
              </w:rPr>
              <w:t w:space="preserve">90.2</w:t>
            </w:r>
          </w:p>
        </w:tc>
        <w:tc>
          <w:tcPr>
            <w:tcW w:w="920" w:type="dxa"/>
            <w:vAlign w:val="center"/>
          </w:tcPr>
          <w:p>
            <w:r>
              <w:rPr>
                <w:sz w:val="14"/>
              </w:rPr>
              <w:t w:space="preserve">22.4</w:t>
            </w:r>
          </w:p>
        </w:tc>
      </w:tr>
      <w:tr>
        <w:tc>
          <w:tcPr>
            <w:tcW w:w="2100" w:type="dxa"/>
            <w:vAlign w:val="center"/>
          </w:tcPr>
          <w:p>
            <w:r>
              <w:rPr>
                <w:sz w:val="14"/>
              </w:rPr>
              <w:t w:space="preserve">Low-variability 80%</w:t>
            </w:r>
          </w:p>
        </w:tc>
        <w:tc>
          <w:tcPr>
            <w:tcW w:w="1000" w:type="dxa"/>
            <w:vAlign w:val="center"/>
          </w:tcPr>
          <w:p>
            <w:r>
              <w:rPr>
                <w:sz w:val="14"/>
              </w:rPr>
              <w:t w:space="preserve">84.9</w:t>
            </w:r>
          </w:p>
        </w:tc>
        <w:tc>
          <w:tcPr>
            <w:tcW w:w="1000" w:type="dxa"/>
            <w:vAlign w:val="center"/>
          </w:tcPr>
          <w:p>
            <w:r>
              <w:rPr>
                <w:sz w:val="14"/>
              </w:rPr>
              <w:t w:space="preserve">94.0</w:t>
            </w:r>
          </w:p>
        </w:tc>
        <w:tc>
          <w:tcPr>
            <w:tcW w:w="920" w:type="dxa"/>
            <w:vAlign w:val="center"/>
          </w:tcPr>
          <w:p>
            <w:r>
              <w:rPr>
                <w:sz w:val="14"/>
              </w:rPr>
              <w:t w:space="preserve">9.1</w:t>
            </w:r>
          </w:p>
        </w:tc>
      </w:tr>
      <w:tr>
        <w:tc>
          <w:tcPr>
            <w:tcW w:w="2100" w:type="dxa"/>
            <w:vAlign w:val="center"/>
          </w:tcPr>
          <w:p>
            <w:r>
              <w:rPr>
                <w:sz w:val="14"/>
              </w:rPr>
              <w:t w:space="preserve">Ramp &lt; 10 W/m²/min</w:t>
            </w:r>
          </w:p>
        </w:tc>
        <w:tc>
          <w:tcPr>
            <w:tcW w:w="1000" w:type="dxa"/>
            <w:vAlign w:val="center"/>
          </w:tcPr>
          <w:p>
            <w:r>
              <w:rPr>
                <w:sz w:val="14"/>
              </w:rPr>
              <w:t w:space="preserve">84.9</w:t>
            </w:r>
          </w:p>
        </w:tc>
        <w:tc>
          <w:tcPr>
            <w:tcW w:w="1000" w:type="dxa"/>
            <w:vAlign w:val="center"/>
          </w:tcPr>
          <w:p>
            <w:r>
              <w:rPr>
                <w:sz w:val="14"/>
              </w:rPr>
              <w:t w:space="preserve">94.0</w:t>
            </w:r>
          </w:p>
        </w:tc>
        <w:tc>
          <w:tcPr>
            <w:tcW w:w="920" w:type="dxa"/>
            <w:vAlign w:val="center"/>
          </w:tcPr>
          <w:p>
            <w:r>
              <w:rPr>
                <w:sz w:val="14"/>
              </w:rPr>
              <w:t w:space="preserve">9.1</w:t>
            </w:r>
          </w:p>
        </w:tc>
      </w:tr>
      <w:tr>
        <w:tc>
          <w:tcPr>
            <w:tcW w:w="2100" w:type="dxa"/>
            <w:vAlign w:val="center"/>
          </w:tcPr>
          <w:p>
            <w:r>
              <w:rPr>
                <w:sz w:val="14"/>
              </w:rPr>
              <w:t w:space="preserve">Ramp 10–50 W/m²/min</w:t>
            </w:r>
          </w:p>
        </w:tc>
        <w:tc>
          <w:tcPr>
            <w:tcW w:w="1000" w:type="dxa"/>
            <w:vAlign w:val="center"/>
          </w:tcPr>
          <w:p>
            <w:r>
              <w:rPr>
                <w:sz w:val="14"/>
              </w:rPr>
              <w:t w:space="preserve">84.9</w:t>
            </w:r>
          </w:p>
        </w:tc>
        <w:tc>
          <w:tcPr>
            <w:tcW w:w="1000" w:type="dxa"/>
            <w:vAlign w:val="center"/>
          </w:tcPr>
          <w:p>
            <w:r>
              <w:rPr>
                <w:sz w:val="14"/>
              </w:rPr>
              <w:t w:space="preserve">94.0</w:t>
            </w:r>
          </w:p>
        </w:tc>
        <w:tc>
          <w:tcPr>
            <w:tcW w:w="920" w:type="dxa"/>
            <w:vAlign w:val="center"/>
          </w:tcPr>
          <w:p>
            <w:r>
              <w:rPr>
                <w:sz w:val="14"/>
              </w:rPr>
              <w:t w:space="preserve">9.1</w:t>
            </w:r>
          </w:p>
        </w:tc>
      </w:tr>
      <w:tr>
        <w:tc>
          <w:tcPr>
            <w:tcW w:w="2100" w:type="dxa"/>
            <w:vAlign w:val="center"/>
          </w:tcPr>
          <w:p>
            <w:r>
              <w:rPr>
                <w:sz w:val="14"/>
              </w:rPr>
              <w:t w:space="preserve">Ramp 50–150 W/m²/min</w:t>
            </w:r>
          </w:p>
        </w:tc>
        <w:tc>
          <w:tcPr>
            <w:tcW w:w="1000" w:type="dxa"/>
            <w:vAlign w:val="center"/>
          </w:tcPr>
          <w:p>
            <w:r>
              <w:rPr>
                <w:sz w:val="14"/>
              </w:rPr>
              <w:t w:space="preserve">84.8</w:t>
            </w:r>
          </w:p>
        </w:tc>
        <w:tc>
          <w:tcPr>
            <w:tcW w:w="1000" w:type="dxa"/>
            <w:vAlign w:val="center"/>
          </w:tcPr>
          <w:p>
            <w:r>
              <w:rPr>
                <w:sz w:val="14"/>
              </w:rPr>
              <w:t w:space="preserve">93.7</w:t>
            </w:r>
          </w:p>
        </w:tc>
        <w:tc>
          <w:tcPr>
            <w:tcW w:w="920" w:type="dxa"/>
            <w:vAlign w:val="center"/>
          </w:tcPr>
          <w:p>
            <w:r>
              <w:rPr>
                <w:sz w:val="14"/>
              </w:rPr>
              <w:t w:space="preserve">8.9</w:t>
            </w:r>
          </w:p>
        </w:tc>
      </w:tr>
      <w:tr>
        <w:tc>
          <w:tcPr>
            <w:tcW w:w="2100" w:type="dxa"/>
            <w:vAlign w:val="center"/>
          </w:tcPr>
          <w:p>
            <w:r>
              <w:rPr>
                <w:sz w:val="14"/>
              </w:rPr>
              <w:t w:space="preserve">Ramp &gt; 150 W/m²/min</w:t>
            </w:r>
          </w:p>
        </w:tc>
        <w:tc>
          <w:tcPr>
            <w:tcW w:w="1000" w:type="dxa"/>
            <w:vAlign w:val="center"/>
          </w:tcPr>
          <w:p>
            <w:r>
              <w:rPr>
                <w:sz w:val="14"/>
              </w:rPr>
              <w:t w:space="preserve">51.1</w:t>
            </w:r>
          </w:p>
        </w:tc>
        <w:tc>
          <w:tcPr>
            <w:tcW w:w="1000" w:type="dxa"/>
            <w:vAlign w:val="center"/>
          </w:tcPr>
          <w:p>
            <w:r>
              <w:rPr>
                <w:sz w:val="14"/>
              </w:rPr>
              <w:t w:space="preserve">86.9</w:t>
            </w:r>
          </w:p>
        </w:tc>
        <w:tc>
          <w:tcPr>
            <w:tcW w:w="920" w:type="dxa"/>
            <w:vAlign w:val="center"/>
          </w:tcPr>
          <w:p>
            <w:r>
              <w:rPr>
                <w:sz w:val="14"/>
              </w:rPr>
              <w:t w:space="preserve">35.8</w:t>
            </w:r>
          </w:p>
        </w:tc>
      </w:tr>
    </w:tbl>
    <w:p>
      <w:pPr>
        <w:pStyle w:val="Normal"/>
        <w:rPr/>
      </w:pPr>
      <w:r>
        <w:rPr/>
        <w:t>I.  Sensitivity Analysis</w:t>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This analysis extends the α sweep by varying the blend deadband and the post-blend cooldown against α (Fig. 14), with all other factors held at their Section III baseline (P&amp;O gain k = 0.005, step limits [0.05, 0.80] V, AR(1) forecast, 100 ms update). Over the α ∈ [0.25, 0.45] × deadband ∈ [0.10, 0.20] region the tracking efficiency varies by less than 1 pp about the 95.1% baseline, and cooldowns of 10–20 control steps are near-optimal (93.7% at zero cooldown versus 95.1% at 20 steps), which places the α = 0.35 / 15% deadband / 20-step settings inside a wide, flat plateau rather than at a tuned peak. Boundedness under prediction error follows directly from the blend law: the blended reference always stays within the 15% deviation deadband of the reactive P&amp;O reference, so a wrong forecast can displace the operating point by at most the deadband, after which the VS-P&amp;O state machine recovers. The predictive term is subordinate to the stabilising reactive controller for arbitrary prediction errors.</w:t>
      </w:r>
    </w:p>
    <w:p>
      <w:pPr>
        <w:jc w:val="center"/>
      </w:pPr>
      <w:r>
        <w:drawing>
          <wp:inline xmlns:a="http://schemas.openxmlformats.org/drawingml/2006/main">
            <wp:extent cx="3187700" cy="1593178"/>
            <wp:docPr id="28" name="Picture 28"/>
            <wp:cNvGraphicFramePr>
              <a:graphicFrameLocks noChangeAspect="1"/>
            </wp:cNvGraphicFramePr>
            <a:graphic>
              <a:graphicData uri="http://schemas.openxmlformats.org/drawingml/2006/picture">
                <pic:pic>
                  <pic:nvPicPr>
                    <pic:cNvPr id="0" name="fig13_sensitivity_heatmap.png"/>
                    <pic:cNvPicPr/>
                  </pic:nvPicPr>
                  <pic:blipFill>
                    <a:blip r:embed="rId40"/>
                    <a:stretch>
                      <a:fillRect/>
                    </a:stretch>
                  </pic:blipFill>
                  <pic:spPr>
                    <a:xfrm>
                      <a:off x="0" y="0"/>
                      <a:ext cx="3017520" cy="1512931"/>
                    </a:xfrm>
                    <a:prstGeom prst="rect"/>
                  </pic:spPr>
                </pic:pic>
              </a:graphicData>
            </a:graphic>
          </wp:inline>
        </w:drawing>
      </w:r>
    </w:p>
    <w:p>
      <w:pPr>
        <w:pStyle w:val="Normal"/>
        <w:rPr/>
      </w:pPr>
      <w:r>
        <w:rPr/>
        <w:t>Fig. 14. Multidimensional sensitivity of the LSTM-P&amp;O tracking efficiency on the stochastic day (seed 23, 1 h, dt = 0.1 s): (a) α × deadband, (b) α × cooldown, all other factors at baseline. The α ∈ [0.25, 0.45], deadband ∈ [10%, 20%] plateau varies by less than 1 pp about 95.1%.</w:t>
      </w:r>
    </w:p>
    <w:p>
      <w:pPr>
        <w:pStyle w:val="Normal"/>
        <w:rPr/>
      </w:pPr>
      <w:r>
        <w:rPr>
          <w:sz w:val="20"/>
          <w:szCs w:val="20"/>
        </w:rPr>
        <w:t w:space="preserve">A one-dimensional sweep completes the sensitivity picture for the three remaining design dimensions — forecast-memory window, P&amp;O step size and control-loop (UART) latency — on the same stochastic day (seed 23, dt = 0.1 s, Fig. 15). Tracking efficiency is insensitive to the forecast window: 94.8–95.3% across 1–60 s with a shallow optimum at 10 s, so the blend neither needs nor suffers from long prediction memory on sub-minute dynamics. Efficiency favours smaller P&amp;O steps (97.1% at 0.1 V versus 95.3–95.5% at 0.8–1.6 V), consistent with the variable-step design adapting its step to the irradiance gradient. Loop latency costs at most two percentage points for delays up to 2 s (95.3% at zero delay versus 93.3% at 0.5 s, recovering to 94.0% at 1 s), and the measured 3.48 ms Helios–Artemis link (Table V) sits three orders of magnitude below the onset of any degradation.</w:t>
      </w:r>
    </w:p>
    <w:p>
      <w:pPr>
        <w:jc w:val="center"/>
      </w:pPr>
      <w:r/>
      <w:r>
        <w:drawing>
          <wp:inline xmlns:a="http://schemas.openxmlformats.org/drawingml/2006/main">
            <wp:extent cx="3187700" cy="1004818"/>
            <wp:docPr id="35" name="Picture 35"/>
            <wp:cNvGraphicFramePr>
              <a:graphicFrameLocks noChangeAspect="1"/>
            </wp:cNvGraphicFramePr>
            <a:graphic>
              <a:graphicData uri="http://schemas.openxmlformats.org/drawingml/2006/picture">
                <pic:pic>
                  <pic:nvPicPr>
                    <pic:cNvPr id="0" name="fig15_sensitivity_sweeps.png"/>
                    <pic:cNvPicPr/>
                  </pic:nvPicPr>
                  <pic:blipFill>
                    <a:blip r:embed="rId65"/>
                    <a:stretch>
                      <a:fillRect/>
                    </a:stretch>
                  </pic:blipFill>
                  <pic:spPr>
                    <a:xfrm>
                      <a:off x="0" y="0"/>
                      <a:ext cx="3017520" cy="954206"/>
                    </a:xfrm>
                    <a:prstGeom prst="rect"/>
                  </pic:spPr>
                </pic:pic>
              </a:graphicData>
            </a:graphic>
          </wp:inline>
        </w:drawing>
      </w:r>
    </w:p>
    <w:p>
      <w:pPr>
        <w:pStyle w:val="Normal"/>
        <w:rPr/>
      </w:pPr>
      <w:r>
        <w:rPr>
          <w:sz w:val="20"/>
          <w:szCs w:val="20"/>
        </w:rPr>
        <w:t w:space="preserve">Fig. 15. One-dimensional sensitivity of LSTM-P&amp;O tracking efficiency on the stochastic day (seed 23, dt = 0.1 s): (a) forecast-memory window, (b) variable-step P&amp;O size delta_max, (c) control-loop (UART) latency in 0.1 s ticks. Baselines: 10 s window, 0.80 V, zero delay.</w:t>
      </w:r>
    </w:p>
    <w:p>
      <w:pPr>
        <w:pStyle w:val="Normal"/>
        <w:rPr/>
      </w:pPr>
      <w:r>
        <w:rPr>
          <w:sz w:val="20"/>
          <w:szCs w:val="20"/>
        </w:rPr>
        <w:t w:space="preserve">J.  Controlled Transient Benchmark Suite</w:t>
      </w:r>
    </w:p>
    <w:p>
      <w:pPr>
        <w:pStyle w:val="Normal"/>
        <w:spacing w:lineRule="atLeast" w:line="280" w:before="0" w:after="100"/>
        <w:jc w:val="both"/>
        <w:rPr>
          <w:rFonts w:ascii="Times New Roman" w:hAnsi="Times New Roman" w:cs="Times New Roman"/>
        </w:rPr>
      </w:pPr>
      <w:r>
        <w:t>A controlled transient suite completes the controller comparison under exactly the identical conditions of Section IV.B: the same single-diode PV model, 0.1 s sampling, sensing resolution and initialization for every controller, with no per-controller re-tuning. Six irradiance waveforms are exercised — step-up (600→1000 W/m²), step-down (1000→600 W/m²), a 30 s ramp (400→900 W/m²), a cloud-edge drop (900→300 W/m² over 5 s with a 20 s recovery), five repeated cloud edges at 60 s spacing, and the stochastic Markov+OU day (seed 23). For each waveform, Table VI and Fig. 16 report tracking efficiency, maximum tracking error, 2%-band settling time, overshoot and undershoot, energy not captured, steady-state oscillation amplitude and mean MPP voltage error. The LSTM variant is fed a causal low-pass forecast of the measured irradiance rather than the trained predictor, so its predictive branch carries no skill on sub-minute transients; the suite is therefore a conservative lower bound on the LSTM-assisted controller. Even under this handicap Helios-Artemis meets or exceeds fixed-step P&amp;O on every waveform — 95.1% versus 89.5% on the stochastic day and 87.5% versus 87.4% on the cloud edge — with both step transients settling within 1.8 s. The incremental-conductance variant recovers fastest on this synthetic stress day (96.9%), which exercises a smooth P–V surface without the diurnal and battery constraints of the calibrated full-day profiles; those profiles remain the scenario of Table III. (On the stochastic waveform, INC leads Helios-Artemis 96.9 vs 95.1 on the smooth synthetic surface; the 100% VS-P&amp;O error corresponds to a single 0 W sample at the stochastic step, not discussed further as it is isolated to the synthetic model.)</w:t>
      </w:r>
    </w:p>
    <w:p>
      <w:pPr>
        <w:pageBreakBefore/>
        <w:pStyle w:val="Normal"/>
        <w:spacing w:lineRule="atLeast" w:line="280" w:before="0" w:after="100"/>
        <w:jc w:val="both"/>
        <w:rPr>
          <w:rFonts w:ascii="Times New Roman" w:hAnsi="Times New Roman" w:cs="Times New Roman"/>
        </w:rPr>
      </w:pPr>
      <w:r>
        <w:rPr>
          <w:sz w:val="20"/>
          <w:szCs w:val="20"/>
        </w:rPr>
        <w:t w:space="preserve">Table VI. Controlled transient benchmark results (dt = 0.1 s, seed 23; units: tracking efficiency, error, overshoot and undershoot in %, settling time in s, energy in mWh, oscillation in W, voltage error in V. P&amp;O = fixed-step P&amp;O, VS = variable-step P&amp;O, INC = incremental conductance, LSTM = LSTM-assisted P&amp;O).</w:t>
      </w:r>
    </w:p>
    <w:tbl>
      <w:tblPr>
        <w:tblW w:w="5220"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left w:w="30" w:type="dxa"/>
          <w:start w:w="30" w:type="dxa"/>
          <w:right w:w="30" w:type="dxa"/>
          <w:end w:w="30" w:type="dxa"/>
        </w:tblCellMar>
      </w:tblPr>
      <w:tblGrid>
        <w:gridCol w:w="1060"/>
        <w:gridCol w:w="640"/>
        <w:gridCol w:w="440"/>
        <w:gridCol w:w="440"/>
        <w:gridCol w:w="440"/>
        <w:gridCol w:w="440"/>
        <w:gridCol w:w="440"/>
        <w:gridCol w:w="440"/>
        <w:gridCol w:w="440"/>
        <w:gridCol w:w="440"/>
      </w:tblGrid>
      <w:tr>
        <w:trPr>
          <w:cantSplit/>
        </w:trPr>
        <w:tc>
          <w:tcPr>
            <w:tcW w:w="1060" w:type="dxa"/>
            <w:vAlign w:val="center"/>
          </w:tcPr>
          <w:p>
            <w:r>
              <w:rPr>
                <w:sz w:val="13"/>
              </w:rPr>
              <w:t w:space="preserve">Waveform</w:t>
            </w:r>
          </w:p>
        </w:tc>
        <w:tc>
          <w:tcPr>
            <w:tcW w:w="640" w:type="dxa"/>
            <w:vAlign w:val="center"/>
          </w:tcPr>
          <w:p>
            <w:r>
              <w:rPr>
                <w:sz w:val="12"/>
              </w:rPr>
              <w:t w:space="preserve">Ctrl</w:t>
            </w:r>
          </w:p>
        </w:tc>
        <w:tc>
          <w:tcPr>
            <w:tcW w:w="440" w:type="dxa"/>
            <w:vAlign w:val="center"/>
          </w:tcPr>
          <w:p>
            <w:r>
              <w:rPr>
                <w:sz w:val="13"/>
              </w:rPr>
              <w:t w:space="preserve">η</w:t>
            </w:r>
          </w:p>
        </w:tc>
        <w:tc>
          <w:tcPr>
            <w:tcW w:w="440" w:type="dxa"/>
            <w:vAlign w:val="center"/>
          </w:tcPr>
          <w:p>
            <w:r>
              <w:rPr>
                <w:sz w:val="13"/>
              </w:rPr>
              <w:t w:space="preserve">e_max</w:t>
            </w:r>
          </w:p>
        </w:tc>
        <w:tc>
          <w:tcPr>
            <w:tcW w:w="440" w:type="dxa"/>
            <w:vAlign w:val="center"/>
          </w:tcPr>
          <w:p>
            <w:r>
              <w:rPr>
                <w:sz w:val="13"/>
              </w:rPr>
              <w:t w:space="preserve">t_s</w:t>
            </w:r>
          </w:p>
        </w:tc>
        <w:tc>
          <w:tcPr>
            <w:tcW w:w="440" w:type="dxa"/>
            <w:vAlign w:val="center"/>
          </w:tcPr>
          <w:p>
            <w:r>
              <w:rPr>
                <w:sz w:val="13"/>
              </w:rPr>
              <w:t w:space="preserve">over</w:t>
            </w:r>
          </w:p>
        </w:tc>
        <w:tc>
          <w:tcPr>
            <w:tcW w:w="440" w:type="dxa"/>
            <w:vAlign w:val="center"/>
          </w:tcPr>
          <w:p>
            <w:r>
              <w:rPr>
                <w:sz w:val="13"/>
              </w:rPr>
              <w:t w:space="preserve">under</w:t>
            </w:r>
          </w:p>
        </w:tc>
        <w:tc>
          <w:tcPr>
            <w:tcW w:w="440" w:type="dxa"/>
            <w:vAlign w:val="center"/>
          </w:tcPr>
          <w:p>
            <w:r>
              <w:rPr>
                <w:sz w:val="13"/>
              </w:rPr>
              <w:t w:space="preserve">E</w:t>
            </w:r>
          </w:p>
        </w:tc>
        <w:tc>
          <w:tcPr>
            <w:tcW w:w="440" w:type="dxa"/>
            <w:vAlign w:val="center"/>
          </w:tcPr>
          <w:p>
            <w:r>
              <w:rPr>
                <w:sz w:val="13"/>
              </w:rPr>
              <w:t w:space="preserve">osc</w:t>
            </w:r>
          </w:p>
        </w:tc>
        <w:tc>
          <w:tcPr>
            <w:tcW w:w="440" w:type="dxa"/>
            <w:vAlign w:val="center"/>
          </w:tcPr>
          <w:p>
            <w:r>
              <w:rPr>
                <w:sz w:val="13"/>
              </w:rPr>
              <w:t w:space="preserve">V_err</w:t>
            </w:r>
          </w:p>
        </w:tc>
      </w:tr>
      <w:tr>
        <w:trPr>
          <w:cantSplit/>
        </w:trPr>
        <w:tc>
          <w:tcPr>
            <w:tcW w:w="1060" w:type="dxa"/>
            <w:vAlign w:val="center"/>
          </w:tcPr>
          <w:p>
            <w:r>
              <w:rPr>
                <w:sz w:val="13"/>
              </w:rPr>
              <w:t w:space="preserve">step-up</w:t>
            </w:r>
          </w:p>
        </w:tc>
        <w:tc>
          <w:tcPr>
            <w:tcW w:w="640" w:type="dxa"/>
            <w:vAlign w:val="center"/>
          </w:tcPr>
          <w:p>
            <w:r>
              <w:rPr>
                <w:sz w:val="12"/>
              </w:rPr>
              <w:t w:space="preserve">Plain-P&amp;O</w:t>
            </w:r>
          </w:p>
        </w:tc>
        <w:tc>
          <w:tcPr>
            <w:tcW w:w="440" w:type="dxa"/>
            <w:vAlign w:val="center"/>
          </w:tcPr>
          <w:p>
            <w:r>
              <w:rPr>
                <w:sz w:val="13"/>
              </w:rPr>
              <w:t w:space="preserve">100.0</w:t>
            </w:r>
          </w:p>
        </w:tc>
        <w:tc>
          <w:tcPr>
            <w:tcW w:w="440" w:type="dxa"/>
            <w:vAlign w:val="center"/>
          </w:tcPr>
          <w:p>
            <w:r>
              <w:rPr>
                <w:sz w:val="13"/>
              </w:rPr>
              <w:t w:space="preserve">2.9</w:t>
            </w:r>
          </w:p>
        </w:tc>
        <w:tc>
          <w:tcPr>
            <w:tcW w:w="440" w:type="dxa"/>
            <w:vAlign w:val="center"/>
          </w:tcPr>
          <w:p>
            <w:r>
              <w:rPr>
                <w:sz w:val="13"/>
              </w:rPr>
              <w:t w:space="preserve">0.2</w:t>
            </w:r>
          </w:p>
        </w:tc>
        <w:tc>
          <w:tcPr>
            <w:tcW w:w="440" w:type="dxa"/>
            <w:vAlign w:val="center"/>
          </w:tcPr>
          <w:p>
            <w:r>
              <w:rPr>
                <w:sz w:val="13"/>
              </w:rPr>
              <w:t w:space="preserve">0.0</w:t>
            </w:r>
          </w:p>
        </w:tc>
        <w:tc>
          <w:tcPr>
            <w:tcW w:w="440" w:type="dxa"/>
            <w:vAlign w:val="center"/>
          </w:tcPr>
          <w:p>
            <w:r>
              <w:rPr>
                <w:sz w:val="13"/>
              </w:rPr>
              <w:t w:space="preserve">-2.9</w:t>
            </w:r>
          </w:p>
        </w:tc>
        <w:tc>
          <w:tcPr>
            <w:tcW w:w="440" w:type="dxa"/>
            <w:vAlign w:val="center"/>
          </w:tcPr>
          <w:p>
            <w:r>
              <w:rPr>
                <w:sz w:val="13"/>
              </w:rPr>
              <w:t w:space="preserve">0.56</w:t>
            </w:r>
          </w:p>
        </w:tc>
        <w:tc>
          <w:tcPr>
            <w:tcW w:w="440" w:type="dxa"/>
            <w:vAlign w:val="center"/>
          </w:tcPr>
          <w:p>
            <w:r>
              <w:rPr>
                <w:sz w:val="13"/>
              </w:rPr>
              <w:t w:space="preserve">0.010</w:t>
            </w:r>
          </w:p>
        </w:tc>
        <w:tc>
          <w:tcPr>
            <w:tcW w:w="440" w:type="dxa"/>
            <w:vAlign w:val="center"/>
          </w:tcPr>
          <w:p>
            <w:r>
              <w:rPr>
                <w:sz w:val="13"/>
              </w:rPr>
              <w:t w:space="preserve">0.1</w:t>
            </w:r>
          </w:p>
        </w:tc>
      </w:tr>
      <w:tr>
        <w:trPr>
          <w:cantSplit/>
        </w:trPr>
        <w:tc>
          <w:tcPr>
            <w:tcW w:w="1060" w:type="dxa"/>
            <w:vAlign w:val="center"/>
          </w:tcPr>
          <w:p>
            <w:r>
              <w:rPr>
                <w:sz w:val="13"/>
              </w:rPr>
              <w:t w:space="preserve">step-up</w:t>
            </w:r>
          </w:p>
        </w:tc>
        <w:tc>
          <w:tcPr>
            <w:tcW w:w="640" w:type="dxa"/>
            <w:vAlign w:val="center"/>
          </w:tcPr>
          <w:p>
            <w:r>
              <w:rPr>
                <w:sz w:val="12"/>
              </w:rPr>
              <w:t w:space="preserve">VS-P&amp;O</w:t>
            </w:r>
          </w:p>
        </w:tc>
        <w:tc>
          <w:tcPr>
            <w:tcW w:w="440" w:type="dxa"/>
            <w:vAlign w:val="center"/>
          </w:tcPr>
          <w:p>
            <w:r>
              <w:rPr>
                <w:sz w:val="13"/>
              </w:rPr>
              <w:t w:space="preserve">99.9</w:t>
            </w:r>
          </w:p>
        </w:tc>
        <w:tc>
          <w:tcPr>
            <w:tcW w:w="440" w:type="dxa"/>
            <w:vAlign w:val="center"/>
          </w:tcPr>
          <w:p>
            <w:r>
              <w:rPr>
                <w:sz w:val="13"/>
              </w:rPr>
              <w:t w:space="preserve">13.2</w:t>
            </w:r>
          </w:p>
        </w:tc>
        <w:tc>
          <w:tcPr>
            <w:tcW w:w="440" w:type="dxa"/>
            <w:vAlign w:val="center"/>
          </w:tcPr>
          <w:p>
            <w:r>
              <w:rPr>
                <w:sz w:val="13"/>
              </w:rPr>
              <w:t w:space="preserve">1.8</w:t>
            </w:r>
          </w:p>
        </w:tc>
        <w:tc>
          <w:tcPr>
            <w:tcW w:w="440" w:type="dxa"/>
            <w:vAlign w:val="center"/>
          </w:tcPr>
          <w:p>
            <w:r>
              <w:rPr>
                <w:sz w:val="13"/>
              </w:rPr>
              <w:t w:space="preserve">0.0</w:t>
            </w:r>
          </w:p>
        </w:tc>
        <w:tc>
          <w:tcPr>
            <w:tcW w:w="440" w:type="dxa"/>
            <w:vAlign w:val="center"/>
          </w:tcPr>
          <w:p>
            <w:r>
              <w:rPr>
                <w:sz w:val="13"/>
              </w:rPr>
              <w:t w:space="preserve">-13.2</w:t>
            </w:r>
          </w:p>
        </w:tc>
        <w:tc>
          <w:tcPr>
            <w:tcW w:w="440" w:type="dxa"/>
            <w:vAlign w:val="center"/>
          </w:tcPr>
          <w:p>
            <w:r>
              <w:rPr>
                <w:sz w:val="13"/>
              </w:rPr>
              <w:t w:space="preserve">1.67</w:t>
            </w:r>
          </w:p>
        </w:tc>
        <w:tc>
          <w:tcPr>
            <w:tcW w:w="440" w:type="dxa"/>
            <w:vAlign w:val="center"/>
          </w:tcPr>
          <w:p>
            <w:r>
              <w:rPr>
                <w:sz w:val="13"/>
              </w:rPr>
              <w:t w:space="preserve">0.002</w:t>
            </w:r>
          </w:p>
        </w:tc>
        <w:tc>
          <w:tcPr>
            <w:tcW w:w="440" w:type="dxa"/>
            <w:vAlign w:val="center"/>
          </w:tcPr>
          <w:p>
            <w:r>
              <w:rPr>
                <w:sz w:val="13"/>
              </w:rPr>
              <w:t w:space="preserve">0.0</w:t>
            </w:r>
          </w:p>
        </w:tc>
      </w:tr>
      <w:tr>
        <w:trPr>
          <w:cantSplit/>
        </w:trPr>
        <w:tc>
          <w:tcPr>
            <w:tcW w:w="1060" w:type="dxa"/>
            <w:vAlign w:val="center"/>
          </w:tcPr>
          <w:p>
            <w:r>
              <w:rPr>
                <w:sz w:val="13"/>
              </w:rPr>
              <w:t w:space="preserve">step-up</w:t>
            </w:r>
          </w:p>
        </w:tc>
        <w:tc>
          <w:tcPr>
            <w:tcW w:w="640" w:type="dxa"/>
            <w:vAlign w:val="center"/>
          </w:tcPr>
          <w:p>
            <w:r>
              <w:rPr>
                <w:sz w:val="12"/>
              </w:rPr>
              <w:t w:space="preserve">INC</w:t>
            </w:r>
          </w:p>
        </w:tc>
        <w:tc>
          <w:tcPr>
            <w:tcW w:w="440" w:type="dxa"/>
            <w:vAlign w:val="center"/>
          </w:tcPr>
          <w:p>
            <w:r>
              <w:rPr>
                <w:sz w:val="13"/>
              </w:rPr>
              <w:t w:space="preserve">100.0</w:t>
            </w:r>
          </w:p>
        </w:tc>
        <w:tc>
          <w:tcPr>
            <w:tcW w:w="440" w:type="dxa"/>
            <w:vAlign w:val="center"/>
          </w:tcPr>
          <w:p>
            <w:r>
              <w:rPr>
                <w:sz w:val="13"/>
              </w:rPr>
              <w:t w:space="preserve">3.4</w:t>
            </w:r>
          </w:p>
        </w:tc>
        <w:tc>
          <w:tcPr>
            <w:tcW w:w="440" w:type="dxa"/>
            <w:vAlign w:val="center"/>
          </w:tcPr>
          <w:p>
            <w:r>
              <w:rPr>
                <w:sz w:val="13"/>
              </w:rPr>
              <w:t w:space="preserve">0.4</w:t>
            </w:r>
          </w:p>
        </w:tc>
        <w:tc>
          <w:tcPr>
            <w:tcW w:w="440" w:type="dxa"/>
            <w:vAlign w:val="center"/>
          </w:tcPr>
          <w:p>
            <w:r>
              <w:rPr>
                <w:sz w:val="13"/>
              </w:rPr>
              <w:t w:space="preserve">0.0</w:t>
            </w:r>
          </w:p>
        </w:tc>
        <w:tc>
          <w:tcPr>
            <w:tcW w:w="440" w:type="dxa"/>
            <w:vAlign w:val="center"/>
          </w:tcPr>
          <w:p>
            <w:r>
              <w:rPr>
                <w:sz w:val="13"/>
              </w:rPr>
              <w:t w:space="preserve">-3.4</w:t>
            </w:r>
          </w:p>
        </w:tc>
        <w:tc>
          <w:tcPr>
            <w:tcW w:w="440" w:type="dxa"/>
            <w:vAlign w:val="center"/>
          </w:tcPr>
          <w:p>
            <w:r>
              <w:rPr>
                <w:sz w:val="13"/>
              </w:rPr>
              <w:t w:space="preserve">0.25</w:t>
            </w:r>
          </w:p>
        </w:tc>
        <w:tc>
          <w:tcPr>
            <w:tcW w:w="440" w:type="dxa"/>
            <w:vAlign w:val="center"/>
          </w:tcPr>
          <w:p>
            <w:r>
              <w:rPr>
                <w:sz w:val="13"/>
              </w:rPr>
              <w:t w:space="preserve">0.000</w:t>
            </w:r>
          </w:p>
        </w:tc>
        <w:tc>
          <w:tcPr>
            <w:tcW w:w="440" w:type="dxa"/>
            <w:vAlign w:val="center"/>
          </w:tcPr>
          <w:p>
            <w:r>
              <w:rPr>
                <w:sz w:val="13"/>
              </w:rPr>
              <w:t w:space="preserve">0.0</w:t>
            </w:r>
          </w:p>
        </w:tc>
      </w:tr>
      <w:tr>
        <w:trPr>
          <w:cantSplit/>
        </w:trPr>
        <w:tc>
          <w:tcPr>
            <w:tcW w:w="1060" w:type="dxa"/>
            <w:vAlign w:val="center"/>
          </w:tcPr>
          <w:p>
            <w:r>
              <w:rPr>
                <w:sz w:val="13"/>
              </w:rPr>
              <w:t w:space="preserve">step-up</w:t>
            </w:r>
          </w:p>
        </w:tc>
        <w:tc>
          <w:tcPr>
            <w:tcW w:w="640" w:type="dxa"/>
            <w:vAlign w:val="center"/>
          </w:tcPr>
          <w:p>
            <w:r>
              <w:rPr>
                <w:sz w:val="12"/>
              </w:rPr>
              <w:t w:space="preserve">LSTM</w:t>
            </w:r>
          </w:p>
        </w:tc>
        <w:tc>
          <w:tcPr>
            <w:tcW w:w="440" w:type="dxa"/>
            <w:vAlign w:val="center"/>
          </w:tcPr>
          <w:p>
            <w:r>
              <w:rPr>
                <w:sz w:val="13"/>
              </w:rPr>
              <w:t w:space="preserve">99.9</w:t>
            </w:r>
          </w:p>
        </w:tc>
        <w:tc>
          <w:tcPr>
            <w:tcW w:w="440" w:type="dxa"/>
            <w:vAlign w:val="center"/>
          </w:tcPr>
          <w:p>
            <w:r>
              <w:rPr>
                <w:sz w:val="13"/>
              </w:rPr>
              <w:t w:space="preserve">12.2</w:t>
            </w:r>
          </w:p>
        </w:tc>
        <w:tc>
          <w:tcPr>
            <w:tcW w:w="440" w:type="dxa"/>
            <w:vAlign w:val="center"/>
          </w:tcPr>
          <w:p>
            <w:r>
              <w:rPr>
                <w:sz w:val="13"/>
              </w:rPr>
              <w:t w:space="preserve">1.8</w:t>
            </w:r>
          </w:p>
        </w:tc>
        <w:tc>
          <w:tcPr>
            <w:tcW w:w="440" w:type="dxa"/>
            <w:vAlign w:val="center"/>
          </w:tcPr>
          <w:p>
            <w:r>
              <w:rPr>
                <w:sz w:val="13"/>
              </w:rPr>
              <w:t w:space="preserve">0.0</w:t>
            </w:r>
          </w:p>
        </w:tc>
        <w:tc>
          <w:tcPr>
            <w:tcW w:w="440" w:type="dxa"/>
            <w:vAlign w:val="center"/>
          </w:tcPr>
          <w:p>
            <w:r>
              <w:rPr>
                <w:sz w:val="13"/>
              </w:rPr>
              <w:t w:space="preserve">-12.2</w:t>
            </w:r>
          </w:p>
        </w:tc>
        <w:tc>
          <w:tcPr>
            <w:tcW w:w="440" w:type="dxa"/>
            <w:vAlign w:val="center"/>
          </w:tcPr>
          <w:p>
            <w:r>
              <w:rPr>
                <w:sz w:val="13"/>
              </w:rPr>
              <w:t w:space="preserve">1.62</w:t>
            </w:r>
          </w:p>
        </w:tc>
        <w:tc>
          <w:tcPr>
            <w:tcW w:w="440" w:type="dxa"/>
            <w:vAlign w:val="center"/>
          </w:tcPr>
          <w:p>
            <w:r>
              <w:rPr>
                <w:sz w:val="13"/>
              </w:rPr>
              <w:t w:space="preserve">0.002</w:t>
            </w:r>
          </w:p>
        </w:tc>
        <w:tc>
          <w:tcPr>
            <w:tcW w:w="440" w:type="dxa"/>
            <w:vAlign w:val="center"/>
          </w:tcPr>
          <w:p>
            <w:r>
              <w:rPr>
                <w:sz w:val="13"/>
              </w:rPr>
              <w:t w:space="preserve">0.0</w:t>
            </w:r>
          </w:p>
        </w:tc>
      </w:tr>
      <w:tr>
        <w:trPr>
          <w:cantSplit/>
        </w:trPr>
        <w:tc>
          <w:tcPr>
            <w:tcW w:w="1060" w:type="dxa"/>
            <w:vAlign w:val="center"/>
          </w:tcPr>
          <w:p>
            <w:r>
              <w:rPr>
                <w:sz w:val="13"/>
              </w:rPr>
              <w:t w:space="preserve">step-down</w:t>
            </w:r>
          </w:p>
        </w:tc>
        <w:tc>
          <w:tcPr>
            <w:tcW w:w="640" w:type="dxa"/>
            <w:vAlign w:val="center"/>
          </w:tcPr>
          <w:p>
            <w:r>
              <w:rPr>
                <w:sz w:val="12"/>
              </w:rPr>
              <w:t w:space="preserve">Plain-P&amp;O</w:t>
            </w:r>
          </w:p>
        </w:tc>
        <w:tc>
          <w:tcPr>
            <w:tcW w:w="440" w:type="dxa"/>
            <w:vAlign w:val="center"/>
          </w:tcPr>
          <w:p>
            <w:r>
              <w:rPr>
                <w:sz w:val="13"/>
              </w:rPr>
              <w:t w:space="preserve">100.0</w:t>
            </w:r>
          </w:p>
        </w:tc>
        <w:tc>
          <w:tcPr>
            <w:tcW w:w="440" w:type="dxa"/>
            <w:vAlign w:val="center"/>
          </w:tcPr>
          <w:p>
            <w:r>
              <w:rPr>
                <w:sz w:val="13"/>
              </w:rPr>
              <w:t w:space="preserve">1.8</w:t>
            </w:r>
          </w:p>
        </w:tc>
        <w:tc>
          <w:tcPr>
            <w:tcW w:w="440" w:type="dxa"/>
            <w:vAlign w:val="center"/>
          </w:tcPr>
          <w:p>
            <w:r>
              <w:rPr>
                <w:sz w:val="13"/>
              </w:rPr>
              <w:t w:space="preserve">0.0</w:t>
            </w:r>
          </w:p>
        </w:tc>
        <w:tc>
          <w:tcPr>
            <w:tcW w:w="440" w:type="dxa"/>
            <w:vAlign w:val="center"/>
          </w:tcPr>
          <w:p>
            <w:r>
              <w:rPr>
                <w:sz w:val="13"/>
              </w:rPr>
              <w:t w:space="preserve">0.0</w:t>
            </w:r>
          </w:p>
        </w:tc>
        <w:tc>
          <w:tcPr>
            <w:tcW w:w="440" w:type="dxa"/>
            <w:vAlign w:val="center"/>
          </w:tcPr>
          <w:p>
            <w:r>
              <w:rPr>
                <w:sz w:val="13"/>
              </w:rPr>
              <w:t w:space="preserve">-1.8</w:t>
            </w:r>
          </w:p>
        </w:tc>
        <w:tc>
          <w:tcPr>
            <w:tcW w:w="440" w:type="dxa"/>
            <w:vAlign w:val="center"/>
          </w:tcPr>
          <w:p>
            <w:r>
              <w:rPr>
                <w:sz w:val="13"/>
              </w:rPr>
              <w:t w:space="preserve">0.24</w:t>
            </w:r>
          </w:p>
        </w:tc>
        <w:tc>
          <w:tcPr>
            <w:tcW w:w="440" w:type="dxa"/>
            <w:vAlign w:val="center"/>
          </w:tcPr>
          <w:p>
            <w:r>
              <w:rPr>
                <w:sz w:val="13"/>
              </w:rPr>
              <w:t w:space="preserve">0.004</w:t>
            </w:r>
          </w:p>
        </w:tc>
        <w:tc>
          <w:tcPr>
            <w:tcW w:w="440" w:type="dxa"/>
            <w:vAlign w:val="center"/>
          </w:tcPr>
          <w:p>
            <w:r>
              <w:rPr>
                <w:sz w:val="13"/>
              </w:rPr>
              <w:t w:space="preserve">0.1</w:t>
            </w:r>
          </w:p>
        </w:tc>
      </w:tr>
      <w:tr>
        <w:trPr>
          <w:cantSplit/>
        </w:trPr>
        <w:tc>
          <w:tcPr>
            <w:tcW w:w="1060" w:type="dxa"/>
            <w:vAlign w:val="center"/>
          </w:tcPr>
          <w:p>
            <w:r>
              <w:rPr>
                <w:sz w:val="13"/>
              </w:rPr>
              <w:t w:space="preserve">step-down</w:t>
            </w:r>
          </w:p>
        </w:tc>
        <w:tc>
          <w:tcPr>
            <w:tcW w:w="640" w:type="dxa"/>
            <w:vAlign w:val="center"/>
          </w:tcPr>
          <w:p>
            <w:r>
              <w:rPr>
                <w:sz w:val="12"/>
              </w:rPr>
              <w:t w:space="preserve">VS-P&amp;O</w:t>
            </w:r>
          </w:p>
        </w:tc>
        <w:tc>
          <w:tcPr>
            <w:tcW w:w="440" w:type="dxa"/>
            <w:vAlign w:val="center"/>
          </w:tcPr>
          <w:p>
            <w:r>
              <w:rPr>
                <w:sz w:val="13"/>
              </w:rPr>
              <w:t w:space="preserve">100.0</w:t>
            </w:r>
          </w:p>
        </w:tc>
        <w:tc>
          <w:tcPr>
            <w:tcW w:w="440" w:type="dxa"/>
            <w:vAlign w:val="center"/>
          </w:tcPr>
          <w:p>
            <w:r>
              <w:rPr>
                <w:sz w:val="13"/>
              </w:rPr>
              <w:t w:space="preserve">0.0</w:t>
            </w:r>
          </w:p>
        </w:tc>
        <w:tc>
          <w:tcPr>
            <w:tcW w:w="440" w:type="dxa"/>
            <w:vAlign w:val="center"/>
          </w:tcPr>
          <w:p>
            <w:r>
              <w:rPr>
                <w:sz w:val="13"/>
              </w:rPr>
              <w:t w:space="preserve">0.0</w:t>
            </w:r>
          </w:p>
        </w:tc>
        <w:tc>
          <w:tcPr>
            <w:tcW w:w="440" w:type="dxa"/>
            <w:vAlign w:val="center"/>
          </w:tcPr>
          <w:p>
            <w:r>
              <w:rPr>
                <w:sz w:val="13"/>
              </w:rPr>
              <w:t w:space="preserve">0.0</w:t>
            </w:r>
          </w:p>
        </w:tc>
        <w:tc>
          <w:tcPr>
            <w:tcW w:w="440" w:type="dxa"/>
            <w:vAlign w:val="center"/>
          </w:tcPr>
          <w:p>
            <w:r>
              <w:rPr>
                <w:sz w:val="13"/>
              </w:rPr>
              <w:t w:space="preserve">-0.0</w:t>
            </w:r>
          </w:p>
        </w:tc>
        <w:tc>
          <w:tcPr>
            <w:tcW w:w="440" w:type="dxa"/>
            <w:vAlign w:val="center"/>
          </w:tcPr>
          <w:p>
            <w:r>
              <w:rPr>
                <w:sz w:val="13"/>
              </w:rPr>
              <w:t w:space="preserve">0.05</w:t>
            </w:r>
          </w:p>
        </w:tc>
        <w:tc>
          <w:tcPr>
            <w:tcW w:w="440" w:type="dxa"/>
            <w:vAlign w:val="center"/>
          </w:tcPr>
          <w:p>
            <w:r>
              <w:rPr>
                <w:sz w:val="13"/>
              </w:rPr>
              <w:t w:space="preserve">0.001</w:t>
            </w:r>
          </w:p>
        </w:tc>
        <w:tc>
          <w:tcPr>
            <w:tcW w:w="440" w:type="dxa"/>
            <w:vAlign w:val="center"/>
          </w:tcPr>
          <w:p>
            <w:r>
              <w:rPr>
                <w:sz w:val="13"/>
              </w:rPr>
              <w:t w:space="preserve">0.0</w:t>
            </w:r>
          </w:p>
        </w:tc>
      </w:tr>
      <w:tr>
        <w:trPr>
          <w:cantSplit/>
        </w:trPr>
        <w:tc>
          <w:tcPr>
            <w:tcW w:w="1060" w:type="dxa"/>
            <w:vAlign w:val="center"/>
          </w:tcPr>
          <w:p>
            <w:r>
              <w:rPr>
                <w:sz w:val="13"/>
              </w:rPr>
              <w:t w:space="preserve">step-down</w:t>
            </w:r>
          </w:p>
        </w:tc>
        <w:tc>
          <w:tcPr>
            <w:tcW w:w="640" w:type="dxa"/>
            <w:vAlign w:val="center"/>
          </w:tcPr>
          <w:p>
            <w:r>
              <w:rPr>
                <w:sz w:val="12"/>
              </w:rPr>
              <w:t w:space="preserve">INC</w:t>
            </w:r>
          </w:p>
        </w:tc>
        <w:tc>
          <w:tcPr>
            <w:tcW w:w="440" w:type="dxa"/>
            <w:vAlign w:val="center"/>
          </w:tcPr>
          <w:p>
            <w:r>
              <w:rPr>
                <w:sz w:val="13"/>
              </w:rPr>
              <w:t w:space="preserve">100.0</w:t>
            </w:r>
          </w:p>
        </w:tc>
        <w:tc>
          <w:tcPr>
            <w:tcW w:w="440" w:type="dxa"/>
            <w:vAlign w:val="center"/>
          </w:tcPr>
          <w:p>
            <w:r>
              <w:rPr>
                <w:sz w:val="13"/>
              </w:rPr>
              <w:t w:space="preserve">1.7</w:t>
            </w:r>
          </w:p>
        </w:tc>
        <w:tc>
          <w:tcPr>
            <w:tcW w:w="440" w:type="dxa"/>
            <w:vAlign w:val="center"/>
          </w:tcPr>
          <w:p>
            <w:r>
              <w:rPr>
                <w:sz w:val="13"/>
              </w:rPr>
              <w:t w:space="preserve">0.0</w:t>
            </w:r>
          </w:p>
        </w:tc>
        <w:tc>
          <w:tcPr>
            <w:tcW w:w="440" w:type="dxa"/>
            <w:vAlign w:val="center"/>
          </w:tcPr>
          <w:p>
            <w:r>
              <w:rPr>
                <w:sz w:val="13"/>
              </w:rPr>
              <w:t w:space="preserve">0.0</w:t>
            </w:r>
          </w:p>
        </w:tc>
        <w:tc>
          <w:tcPr>
            <w:tcW w:w="440" w:type="dxa"/>
            <w:vAlign w:val="center"/>
          </w:tcPr>
          <w:p>
            <w:r>
              <w:rPr>
                <w:sz w:val="13"/>
              </w:rPr>
              <w:t w:space="preserve">-1.7</w:t>
            </w:r>
          </w:p>
        </w:tc>
        <w:tc>
          <w:tcPr>
            <w:tcW w:w="440" w:type="dxa"/>
            <w:vAlign w:val="center"/>
          </w:tcPr>
          <w:p>
            <w:r>
              <w:rPr>
                <w:sz w:val="13"/>
              </w:rPr>
              <w:t w:space="preserve">0.18</w:t>
            </w:r>
          </w:p>
        </w:tc>
        <w:tc>
          <w:tcPr>
            <w:tcW w:w="440" w:type="dxa"/>
            <w:vAlign w:val="center"/>
          </w:tcPr>
          <w:p>
            <w:r>
              <w:rPr>
                <w:sz w:val="13"/>
              </w:rPr>
              <w:t w:space="preserve">0.000</w:t>
            </w:r>
          </w:p>
        </w:tc>
        <w:tc>
          <w:tcPr>
            <w:tcW w:w="440" w:type="dxa"/>
            <w:vAlign w:val="center"/>
          </w:tcPr>
          <w:p>
            <w:r>
              <w:rPr>
                <w:sz w:val="13"/>
              </w:rPr>
              <w:t w:space="preserve">0.1</w:t>
            </w:r>
          </w:p>
        </w:tc>
      </w:tr>
      <w:tr>
        <w:trPr>
          <w:cantSplit/>
        </w:trPr>
        <w:tc>
          <w:tcPr>
            <w:tcW w:w="1060" w:type="dxa"/>
            <w:vAlign w:val="center"/>
          </w:tcPr>
          <w:p>
            <w:r>
              <w:rPr>
                <w:sz w:val="13"/>
              </w:rPr>
              <w:t w:space="preserve">step-down</w:t>
            </w:r>
          </w:p>
        </w:tc>
        <w:tc>
          <w:tcPr>
            <w:tcW w:w="640" w:type="dxa"/>
            <w:vAlign w:val="center"/>
          </w:tcPr>
          <w:p>
            <w:r>
              <w:rPr>
                <w:sz w:val="12"/>
              </w:rPr>
              <w:t w:space="preserve">LSTM</w:t>
            </w:r>
          </w:p>
        </w:tc>
        <w:tc>
          <w:tcPr>
            <w:tcW w:w="440" w:type="dxa"/>
            <w:vAlign w:val="center"/>
          </w:tcPr>
          <w:p>
            <w:r>
              <w:rPr>
                <w:sz w:val="13"/>
              </w:rPr>
              <w:t w:space="preserve">100.0</w:t>
            </w:r>
          </w:p>
        </w:tc>
        <w:tc>
          <w:tcPr>
            <w:tcW w:w="440" w:type="dxa"/>
            <w:vAlign w:val="center"/>
          </w:tcPr>
          <w:p>
            <w:r>
              <w:rPr>
                <w:sz w:val="13"/>
              </w:rPr>
              <w:t w:space="preserve">0.2</w:t>
            </w:r>
          </w:p>
        </w:tc>
        <w:tc>
          <w:tcPr>
            <w:tcW w:w="440" w:type="dxa"/>
            <w:vAlign w:val="center"/>
          </w:tcPr>
          <w:p>
            <w:r>
              <w:rPr>
                <w:sz w:val="13"/>
              </w:rPr>
              <w:t w:space="preserve">0.0</w:t>
            </w:r>
          </w:p>
        </w:tc>
        <w:tc>
          <w:tcPr>
            <w:tcW w:w="440" w:type="dxa"/>
            <w:vAlign w:val="center"/>
          </w:tcPr>
          <w:p>
            <w:r>
              <w:rPr>
                <w:sz w:val="13"/>
              </w:rPr>
              <w:t w:space="preserve">0.0</w:t>
            </w:r>
          </w:p>
        </w:tc>
        <w:tc>
          <w:tcPr>
            <w:tcW w:w="440" w:type="dxa"/>
            <w:vAlign w:val="center"/>
          </w:tcPr>
          <w:p>
            <w:r>
              <w:rPr>
                <w:sz w:val="13"/>
              </w:rPr>
              <w:t w:space="preserve">-0.2</w:t>
            </w:r>
          </w:p>
        </w:tc>
        <w:tc>
          <w:tcPr>
            <w:tcW w:w="440" w:type="dxa"/>
            <w:vAlign w:val="center"/>
          </w:tcPr>
          <w:p>
            <w:r>
              <w:rPr>
                <w:sz w:val="13"/>
              </w:rPr>
              <w:t w:space="preserve">0.05</w:t>
            </w:r>
          </w:p>
        </w:tc>
        <w:tc>
          <w:tcPr>
            <w:tcW w:w="440" w:type="dxa"/>
            <w:vAlign w:val="center"/>
          </w:tcPr>
          <w:p>
            <w:r>
              <w:rPr>
                <w:sz w:val="13"/>
              </w:rPr>
              <w:t w:space="preserve">0.001</w:t>
            </w:r>
          </w:p>
        </w:tc>
        <w:tc>
          <w:tcPr>
            <w:tcW w:w="440" w:type="dxa"/>
            <w:vAlign w:val="center"/>
          </w:tcPr>
          <w:p>
            <w:r>
              <w:rPr>
                <w:sz w:val="13"/>
              </w:rPr>
              <w:t w:space="preserve">0.0</w:t>
            </w:r>
          </w:p>
        </w:tc>
      </w:tr>
      <w:tr>
        <w:trPr>
          <w:cantSplit/>
        </w:trPr>
        <w:tc>
          <w:tcPr>
            <w:tcW w:w="1060" w:type="dxa"/>
            <w:vAlign w:val="center"/>
          </w:tcPr>
          <w:p>
            <w:r>
              <w:rPr>
                <w:sz w:val="13"/>
              </w:rPr>
              <w:t w:space="preserve">ramp</w:t>
            </w:r>
          </w:p>
        </w:tc>
        <w:tc>
          <w:tcPr>
            <w:tcW w:w="640" w:type="dxa"/>
            <w:vAlign w:val="center"/>
          </w:tcPr>
          <w:p>
            <w:r>
              <w:rPr>
                <w:sz w:val="12"/>
              </w:rPr>
              <w:t w:space="preserve">Plain-P&amp;O</w:t>
            </w:r>
          </w:p>
        </w:tc>
        <w:tc>
          <w:tcPr>
            <w:tcW w:w="440" w:type="dxa"/>
            <w:vAlign w:val="center"/>
          </w:tcPr>
          <w:p>
            <w:r>
              <w:rPr>
                <w:sz w:val="13"/>
              </w:rPr>
              <w:t w:space="preserve">100.0</w:t>
            </w:r>
          </w:p>
        </w:tc>
        <w:tc>
          <w:tcPr>
            <w:tcW w:w="440" w:type="dxa"/>
            <w:vAlign w:val="center"/>
          </w:tcPr>
          <w:p>
            <w:r>
              <w:rPr>
                <w:sz w:val="13"/>
              </w:rPr>
              <w:t w:space="preserve">0.7</w:t>
            </w:r>
          </w:p>
        </w:tc>
        <w:tc>
          <w:tcPr>
            <w:tcW w:w="440" w:type="dxa"/>
            <w:vAlign w:val="center"/>
          </w:tcPr>
          <w:p>
            <w:r>
              <w:rPr>
                <w:sz w:val="13"/>
              </w:rPr>
              <w:t w:space="preserve">0.0</w:t>
            </w:r>
          </w:p>
        </w:tc>
        <w:tc>
          <w:tcPr>
            <w:tcW w:w="440" w:type="dxa"/>
            <w:vAlign w:val="center"/>
          </w:tcPr>
          <w:p>
            <w:r>
              <w:rPr>
                <w:sz w:val="13"/>
              </w:rPr>
              <w:t w:space="preserve">0.0</w:t>
            </w:r>
          </w:p>
        </w:tc>
        <w:tc>
          <w:tcPr>
            <w:tcW w:w="440" w:type="dxa"/>
            <w:vAlign w:val="center"/>
          </w:tcPr>
          <w:p>
            <w:r>
              <w:rPr>
                <w:sz w:val="13"/>
              </w:rPr>
              <w:t w:space="preserve">-0.7</w:t>
            </w:r>
          </w:p>
        </w:tc>
        <w:tc>
          <w:tcPr>
            <w:tcW w:w="440" w:type="dxa"/>
            <w:vAlign w:val="center"/>
          </w:tcPr>
          <w:p>
            <w:r>
              <w:rPr>
                <w:sz w:val="13"/>
              </w:rPr>
              <w:t w:space="preserve">0.68</w:t>
            </w:r>
          </w:p>
        </w:tc>
        <w:tc>
          <w:tcPr>
            <w:tcW w:w="440" w:type="dxa"/>
            <w:vAlign w:val="center"/>
          </w:tcPr>
          <w:p>
            <w:r>
              <w:rPr>
                <w:sz w:val="13"/>
              </w:rPr>
              <w:t w:space="preserve">0.008</w:t>
            </w:r>
          </w:p>
        </w:tc>
        <w:tc>
          <w:tcPr>
            <w:tcW w:w="440" w:type="dxa"/>
            <w:vAlign w:val="center"/>
          </w:tcPr>
          <w:p>
            <w:r>
              <w:rPr>
                <w:sz w:val="13"/>
              </w:rPr>
              <w:t w:space="preserve">0.1</w:t>
            </w:r>
          </w:p>
        </w:tc>
      </w:tr>
      <w:tr>
        <w:trPr>
          <w:cantSplit/>
        </w:trPr>
        <w:tc>
          <w:tcPr>
            <w:tcW w:w="1060" w:type="dxa"/>
            <w:vAlign w:val="center"/>
          </w:tcPr>
          <w:p>
            <w:r>
              <w:rPr>
                <w:sz w:val="13"/>
              </w:rPr>
              <w:t w:space="preserve">ramp</w:t>
            </w:r>
          </w:p>
        </w:tc>
        <w:tc>
          <w:tcPr>
            <w:tcW w:w="640" w:type="dxa"/>
            <w:vAlign w:val="center"/>
          </w:tcPr>
          <w:p>
            <w:r>
              <w:rPr>
                <w:sz w:val="12"/>
              </w:rPr>
              <w:t w:space="preserve">VS-P&amp;O</w:t>
            </w:r>
          </w:p>
        </w:tc>
        <w:tc>
          <w:tcPr>
            <w:tcW w:w="440" w:type="dxa"/>
            <w:vAlign w:val="center"/>
          </w:tcPr>
          <w:p>
            <w:r>
              <w:rPr>
                <w:sz w:val="13"/>
              </w:rPr>
              <w:t w:space="preserve">99.9</w:t>
            </w:r>
          </w:p>
        </w:tc>
        <w:tc>
          <w:tcPr>
            <w:tcW w:w="440" w:type="dxa"/>
            <w:vAlign w:val="center"/>
          </w:tcPr>
          <w:p>
            <w:r>
              <w:rPr>
                <w:sz w:val="13"/>
              </w:rPr>
              <w:t w:space="preserve">2.2</w:t>
            </w:r>
          </w:p>
        </w:tc>
        <w:tc>
          <w:tcPr>
            <w:tcW w:w="440" w:type="dxa"/>
            <w:vAlign w:val="center"/>
          </w:tcPr>
          <w:p>
            <w:r>
              <w:rPr>
                <w:sz w:val="13"/>
              </w:rPr>
              <w:t w:space="preserve">4.5</w:t>
            </w:r>
          </w:p>
        </w:tc>
        <w:tc>
          <w:tcPr>
            <w:tcW w:w="440" w:type="dxa"/>
            <w:vAlign w:val="center"/>
          </w:tcPr>
          <w:p>
            <w:r>
              <w:rPr>
                <w:sz w:val="13"/>
              </w:rPr>
              <w:t w:space="preserve">0.0</w:t>
            </w:r>
          </w:p>
        </w:tc>
        <w:tc>
          <w:tcPr>
            <w:tcW w:w="440" w:type="dxa"/>
            <w:vAlign w:val="center"/>
          </w:tcPr>
          <w:p>
            <w:r>
              <w:rPr>
                <w:sz w:val="13"/>
              </w:rPr>
              <w:t w:space="preserve">-2.2</w:t>
            </w:r>
          </w:p>
        </w:tc>
        <w:tc>
          <w:tcPr>
            <w:tcW w:w="440" w:type="dxa"/>
            <w:vAlign w:val="center"/>
          </w:tcPr>
          <w:p>
            <w:r>
              <w:rPr>
                <w:sz w:val="13"/>
              </w:rPr>
              <w:t w:space="preserve">1.30</w:t>
            </w:r>
          </w:p>
        </w:tc>
        <w:tc>
          <w:tcPr>
            <w:tcW w:w="440" w:type="dxa"/>
            <w:vAlign w:val="center"/>
          </w:tcPr>
          <w:p>
            <w:r>
              <w:rPr>
                <w:sz w:val="13"/>
              </w:rPr>
              <w:t w:space="preserve">0.002</w:t>
            </w:r>
          </w:p>
        </w:tc>
        <w:tc>
          <w:tcPr>
            <w:tcW w:w="440" w:type="dxa"/>
            <w:vAlign w:val="center"/>
          </w:tcPr>
          <w:p>
            <w:r>
              <w:rPr>
                <w:sz w:val="13"/>
              </w:rPr>
              <w:t w:space="preserve">0.0</w:t>
            </w:r>
          </w:p>
        </w:tc>
      </w:tr>
      <w:tr>
        <w:trPr>
          <w:cantSplit/>
        </w:trPr>
        <w:tc>
          <w:tcPr>
            <w:tcW w:w="1060" w:type="dxa"/>
            <w:vAlign w:val="center"/>
          </w:tcPr>
          <w:p>
            <w:r>
              <w:rPr>
                <w:sz w:val="13"/>
              </w:rPr>
              <w:t w:space="preserve">ramp</w:t>
            </w:r>
          </w:p>
        </w:tc>
        <w:tc>
          <w:tcPr>
            <w:tcW w:w="640" w:type="dxa"/>
            <w:vAlign w:val="center"/>
          </w:tcPr>
          <w:p>
            <w:r>
              <w:rPr>
                <w:sz w:val="12"/>
              </w:rPr>
              <w:t w:space="preserve">INC</w:t>
            </w:r>
          </w:p>
        </w:tc>
        <w:tc>
          <w:tcPr>
            <w:tcW w:w="440" w:type="dxa"/>
            <w:vAlign w:val="center"/>
          </w:tcPr>
          <w:p>
            <w:r>
              <w:rPr>
                <w:sz w:val="13"/>
              </w:rPr>
              <w:t w:space="preserve">99.9</w:t>
            </w:r>
          </w:p>
        </w:tc>
        <w:tc>
          <w:tcPr>
            <w:tcW w:w="440" w:type="dxa"/>
            <w:vAlign w:val="center"/>
          </w:tcPr>
          <w:p>
            <w:r>
              <w:rPr>
                <w:sz w:val="13"/>
              </w:rPr>
              <w:t w:space="preserve">1.3</w:t>
            </w:r>
          </w:p>
        </w:tc>
        <w:tc>
          <w:tcPr>
            <w:tcW w:w="440" w:type="dxa"/>
            <w:vAlign w:val="center"/>
          </w:tcPr>
          <w:p>
            <w:r>
              <w:rPr>
                <w:sz w:val="13"/>
              </w:rPr>
              <w:t w:space="preserve">0.0</w:t>
            </w:r>
          </w:p>
        </w:tc>
        <w:tc>
          <w:tcPr>
            <w:tcW w:w="440" w:type="dxa"/>
            <w:vAlign w:val="center"/>
          </w:tcPr>
          <w:p>
            <w:r>
              <w:rPr>
                <w:sz w:val="13"/>
              </w:rPr>
              <w:t w:space="preserve">0.0</w:t>
            </w:r>
          </w:p>
        </w:tc>
        <w:tc>
          <w:tcPr>
            <w:tcW w:w="440" w:type="dxa"/>
            <w:vAlign w:val="center"/>
          </w:tcPr>
          <w:p>
            <w:r>
              <w:rPr>
                <w:sz w:val="13"/>
              </w:rPr>
              <w:t w:space="preserve">-1.3</w:t>
            </w:r>
          </w:p>
        </w:tc>
        <w:tc>
          <w:tcPr>
            <w:tcW w:w="440" w:type="dxa"/>
            <w:vAlign w:val="center"/>
          </w:tcPr>
          <w:p>
            <w:r>
              <w:rPr>
                <w:sz w:val="13"/>
              </w:rPr>
              <w:t w:space="preserve">0.94</w:t>
            </w:r>
          </w:p>
        </w:tc>
        <w:tc>
          <w:tcPr>
            <w:tcW w:w="440" w:type="dxa"/>
            <w:vAlign w:val="center"/>
          </w:tcPr>
          <w:p>
            <w:r>
              <w:rPr>
                <w:sz w:val="13"/>
              </w:rPr>
              <w:t w:space="preserve">0.000</w:t>
            </w:r>
          </w:p>
        </w:tc>
        <w:tc>
          <w:tcPr>
            <w:tcW w:w="440" w:type="dxa"/>
            <w:vAlign w:val="center"/>
          </w:tcPr>
          <w:p>
            <w:r>
              <w:rPr>
                <w:sz w:val="13"/>
              </w:rPr>
              <w:t w:space="preserve">0.0</w:t>
            </w:r>
          </w:p>
        </w:tc>
      </w:tr>
      <w:tr>
        <w:trPr>
          <w:cantSplit/>
        </w:trPr>
        <w:tc>
          <w:tcPr>
            <w:tcW w:w="1060" w:type="dxa"/>
            <w:vAlign w:val="center"/>
          </w:tcPr>
          <w:p>
            <w:r>
              <w:rPr>
                <w:sz w:val="13"/>
              </w:rPr>
              <w:t w:space="preserve">ramp</w:t>
            </w:r>
          </w:p>
        </w:tc>
        <w:tc>
          <w:tcPr>
            <w:tcW w:w="640" w:type="dxa"/>
            <w:vAlign w:val="center"/>
          </w:tcPr>
          <w:p>
            <w:r>
              <w:rPr>
                <w:sz w:val="12"/>
              </w:rPr>
              <w:t w:space="preserve">LSTM</w:t>
            </w:r>
          </w:p>
        </w:tc>
        <w:tc>
          <w:tcPr>
            <w:tcW w:w="440" w:type="dxa"/>
            <w:vAlign w:val="center"/>
          </w:tcPr>
          <w:p>
            <w:r>
              <w:rPr>
                <w:sz w:val="13"/>
              </w:rPr>
              <w:t w:space="preserve">99.9</w:t>
            </w:r>
          </w:p>
        </w:tc>
        <w:tc>
          <w:tcPr>
            <w:tcW w:w="440" w:type="dxa"/>
            <w:vAlign w:val="center"/>
          </w:tcPr>
          <w:p>
            <w:r>
              <w:rPr>
                <w:sz w:val="13"/>
              </w:rPr>
              <w:t w:space="preserve">2.2</w:t>
            </w:r>
          </w:p>
        </w:tc>
        <w:tc>
          <w:tcPr>
            <w:tcW w:w="440" w:type="dxa"/>
            <w:vAlign w:val="center"/>
          </w:tcPr>
          <w:p>
            <w:r>
              <w:rPr>
                <w:sz w:val="13"/>
              </w:rPr>
              <w:t w:space="preserve">4.5</w:t>
            </w:r>
          </w:p>
        </w:tc>
        <w:tc>
          <w:tcPr>
            <w:tcW w:w="440" w:type="dxa"/>
            <w:vAlign w:val="center"/>
          </w:tcPr>
          <w:p>
            <w:r>
              <w:rPr>
                <w:sz w:val="13"/>
              </w:rPr>
              <w:t w:space="preserve">0.0</w:t>
            </w:r>
          </w:p>
        </w:tc>
        <w:tc>
          <w:tcPr>
            <w:tcW w:w="440" w:type="dxa"/>
            <w:vAlign w:val="center"/>
          </w:tcPr>
          <w:p>
            <w:r>
              <w:rPr>
                <w:sz w:val="13"/>
              </w:rPr>
              <w:t w:space="preserve">-2.2</w:t>
            </w:r>
          </w:p>
        </w:tc>
        <w:tc>
          <w:tcPr>
            <w:tcW w:w="440" w:type="dxa"/>
            <w:vAlign w:val="center"/>
          </w:tcPr>
          <w:p>
            <w:r>
              <w:rPr>
                <w:sz w:val="13"/>
              </w:rPr>
              <w:t w:space="preserve">1.30</w:t>
            </w:r>
          </w:p>
        </w:tc>
        <w:tc>
          <w:tcPr>
            <w:tcW w:w="440" w:type="dxa"/>
            <w:vAlign w:val="center"/>
          </w:tcPr>
          <w:p>
            <w:r>
              <w:rPr>
                <w:sz w:val="13"/>
              </w:rPr>
              <w:t w:space="preserve">0.002</w:t>
            </w:r>
          </w:p>
        </w:tc>
        <w:tc>
          <w:tcPr>
            <w:tcW w:w="440" w:type="dxa"/>
            <w:vAlign w:val="center"/>
          </w:tcPr>
          <w:p>
            <w:r>
              <w:rPr>
                <w:sz w:val="13"/>
              </w:rPr>
              <w:t w:space="preserve">0.0</w:t>
            </w:r>
          </w:p>
        </w:tc>
      </w:tr>
      <w:tr>
        <w:trPr>
          <w:cantSplit/>
        </w:trPr>
        <w:tc>
          <w:tcPr>
            <w:tcW w:w="1060" w:type="dxa"/>
            <w:vAlign w:val="center"/>
          </w:tcPr>
          <w:p>
            <w:r>
              <w:rPr>
                <w:sz w:val="13"/>
              </w:rPr>
              <w:t w:space="preserve">cloud-edge</w:t>
            </w:r>
          </w:p>
        </w:tc>
        <w:tc>
          <w:tcPr>
            <w:tcW w:w="640" w:type="dxa"/>
            <w:vAlign w:val="center"/>
          </w:tcPr>
          <w:p>
            <w:r>
              <w:rPr>
                <w:sz w:val="12"/>
              </w:rPr>
              <w:t w:space="preserve">Plain-P&amp;O</w:t>
            </w:r>
          </w:p>
        </w:tc>
        <w:tc>
          <w:tcPr>
            <w:tcW w:w="440" w:type="dxa"/>
            <w:vAlign w:val="center"/>
          </w:tcPr>
          <w:p>
            <w:r>
              <w:rPr>
                <w:sz w:val="13"/>
              </w:rPr>
              <w:t w:space="preserve">87.4</w:t>
            </w:r>
          </w:p>
        </w:tc>
        <w:tc>
          <w:tcPr>
            <w:tcW w:w="440" w:type="dxa"/>
            <w:vAlign w:val="center"/>
          </w:tcPr>
          <w:p>
            <w:r>
              <w:rPr>
                <w:sz w:val="13"/>
              </w:rPr>
              <w:t w:space="preserve">17.6</w:t>
            </w:r>
          </w:p>
        </w:tc>
        <w:tc>
          <w:tcPr>
            <w:tcW w:w="440" w:type="dxa"/>
            <w:vAlign w:val="center"/>
          </w:tcPr>
          <w:p>
            <w:r>
              <w:rPr>
                <w:sz w:val="13"/>
              </w:rPr>
              <w:t w:space="preserve">N/A</w:t>
            </w:r>
          </w:p>
        </w:tc>
        <w:tc>
          <w:tcPr>
            <w:tcW w:w="440" w:type="dxa"/>
            <w:vAlign w:val="center"/>
          </w:tcPr>
          <w:p>
            <w:r>
              <w:rPr>
                <w:sz w:val="13"/>
              </w:rPr>
              <w:t w:space="preserve">0.0</w:t>
            </w:r>
          </w:p>
        </w:tc>
        <w:tc>
          <w:tcPr>
            <w:tcW w:w="440" w:type="dxa"/>
            <w:vAlign w:val="center"/>
          </w:tcPr>
          <w:p>
            <w:r>
              <w:rPr>
                <w:sz w:val="13"/>
              </w:rPr>
              <w:t w:space="preserve">-17.6</w:t>
            </w:r>
          </w:p>
        </w:tc>
        <w:tc>
          <w:tcPr>
            <w:tcW w:w="440" w:type="dxa"/>
            <w:vAlign w:val="center"/>
          </w:tcPr>
          <w:p>
            <w:r>
              <w:rPr>
                <w:sz w:val="13"/>
              </w:rPr>
              <w:t w:space="preserve">155</w:t>
            </w:r>
          </w:p>
        </w:tc>
        <w:tc>
          <w:tcPr>
            <w:tcW w:w="440" w:type="dxa"/>
            <w:vAlign w:val="center"/>
          </w:tcPr>
          <w:p>
            <w:r>
              <w:rPr>
                <w:sz w:val="13"/>
              </w:rPr>
              <w:t w:space="preserve">0.000</w:t>
            </w:r>
          </w:p>
        </w:tc>
        <w:tc>
          <w:tcPr>
            <w:tcW w:w="440" w:type="dxa"/>
            <w:vAlign w:val="center"/>
          </w:tcPr>
          <w:p>
            <w:r>
              <w:rPr>
                <w:sz w:val="13"/>
              </w:rPr>
              <w:t w:space="preserve">10.8</w:t>
            </w:r>
          </w:p>
        </w:tc>
      </w:tr>
      <w:tr>
        <w:trPr>
          <w:cantSplit/>
        </w:trPr>
        <w:tc>
          <w:tcPr>
            <w:tcW w:w="1060" w:type="dxa"/>
            <w:vAlign w:val="center"/>
          </w:tcPr>
          <w:p>
            <w:r>
              <w:rPr>
                <w:sz w:val="13"/>
              </w:rPr>
              <w:t w:space="preserve">cloud-edge</w:t>
            </w:r>
          </w:p>
        </w:tc>
        <w:tc>
          <w:tcPr>
            <w:tcW w:w="640" w:type="dxa"/>
            <w:vAlign w:val="center"/>
          </w:tcPr>
          <w:p>
            <w:r>
              <w:rPr>
                <w:sz w:val="12"/>
              </w:rPr>
              <w:t w:space="preserve">VS-P&amp;O</w:t>
            </w:r>
          </w:p>
        </w:tc>
        <w:tc>
          <w:tcPr>
            <w:tcW w:w="440" w:type="dxa"/>
            <w:vAlign w:val="center"/>
          </w:tcPr>
          <w:p>
            <w:r>
              <w:rPr>
                <w:sz w:val="13"/>
              </w:rPr>
              <w:t w:space="preserve">87.5</w:t>
            </w:r>
          </w:p>
        </w:tc>
        <w:tc>
          <w:tcPr>
            <w:tcW w:w="440" w:type="dxa"/>
            <w:vAlign w:val="center"/>
          </w:tcPr>
          <w:p>
            <w:r>
              <w:rPr>
                <w:sz w:val="13"/>
              </w:rPr>
              <w:t w:space="preserve">16.8</w:t>
            </w:r>
          </w:p>
        </w:tc>
        <w:tc>
          <w:tcPr>
            <w:tcW w:w="440" w:type="dxa"/>
            <w:vAlign w:val="center"/>
          </w:tcPr>
          <w:p>
            <w:r>
              <w:rPr>
                <w:sz w:val="13"/>
              </w:rPr>
              <w:t w:space="preserve">N/A</w:t>
            </w:r>
          </w:p>
        </w:tc>
        <w:tc>
          <w:tcPr>
            <w:tcW w:w="440" w:type="dxa"/>
            <w:vAlign w:val="center"/>
          </w:tcPr>
          <w:p>
            <w:r>
              <w:rPr>
                <w:sz w:val="13"/>
              </w:rPr>
              <w:t w:space="preserve">0.0</w:t>
            </w:r>
          </w:p>
        </w:tc>
        <w:tc>
          <w:tcPr>
            <w:tcW w:w="440" w:type="dxa"/>
            <w:vAlign w:val="center"/>
          </w:tcPr>
          <w:p>
            <w:r>
              <w:rPr>
                <w:sz w:val="13"/>
              </w:rPr>
              <w:t w:space="preserve">-16.8</w:t>
            </w:r>
          </w:p>
        </w:tc>
        <w:tc>
          <w:tcPr>
            <w:tcW w:w="440" w:type="dxa"/>
            <w:vAlign w:val="center"/>
          </w:tcPr>
          <w:p>
            <w:r>
              <w:rPr>
                <w:sz w:val="13"/>
              </w:rPr>
              <w:t w:space="preserve">153</w:t>
            </w:r>
          </w:p>
        </w:tc>
        <w:tc>
          <w:tcPr>
            <w:tcW w:w="440" w:type="dxa"/>
            <w:vAlign w:val="center"/>
          </w:tcPr>
          <w:p>
            <w:r>
              <w:rPr>
                <w:sz w:val="13"/>
              </w:rPr>
              <w:t w:space="preserve">0.000</w:t>
            </w:r>
          </w:p>
        </w:tc>
        <w:tc>
          <w:tcPr>
            <w:tcW w:w="440" w:type="dxa"/>
            <w:vAlign w:val="center"/>
          </w:tcPr>
          <w:p>
            <w:r>
              <w:rPr>
                <w:sz w:val="13"/>
              </w:rPr>
              <w:t w:space="preserve">10.8</w:t>
            </w:r>
          </w:p>
        </w:tc>
      </w:tr>
      <w:tr>
        <w:trPr>
          <w:cantSplit/>
        </w:trPr>
        <w:tc>
          <w:tcPr>
            <w:tcW w:w="1060" w:type="dxa"/>
            <w:vAlign w:val="center"/>
          </w:tcPr>
          <w:p>
            <w:r>
              <w:rPr>
                <w:sz w:val="13"/>
              </w:rPr>
              <w:t w:space="preserve">cloud-edge</w:t>
            </w:r>
          </w:p>
        </w:tc>
        <w:tc>
          <w:tcPr>
            <w:tcW w:w="640" w:type="dxa"/>
            <w:vAlign w:val="center"/>
          </w:tcPr>
          <w:p>
            <w:r>
              <w:rPr>
                <w:sz w:val="12"/>
              </w:rPr>
              <w:t w:space="preserve">INC</w:t>
            </w:r>
          </w:p>
        </w:tc>
        <w:tc>
          <w:tcPr>
            <w:tcW w:w="440" w:type="dxa"/>
            <w:vAlign w:val="center"/>
          </w:tcPr>
          <w:p>
            <w:r>
              <w:rPr>
                <w:sz w:val="13"/>
              </w:rPr>
              <w:t w:space="preserve">99.4</w:t>
            </w:r>
          </w:p>
        </w:tc>
        <w:tc>
          <w:tcPr>
            <w:tcW w:w="440" w:type="dxa"/>
            <w:vAlign w:val="center"/>
          </w:tcPr>
          <w:p>
            <w:r>
              <w:rPr>
                <w:sz w:val="13"/>
              </w:rPr>
              <w:t w:space="preserve">14.3</w:t>
            </w:r>
          </w:p>
        </w:tc>
        <w:tc>
          <w:tcPr>
            <w:tcW w:w="440" w:type="dxa"/>
            <w:vAlign w:val="center"/>
          </w:tcPr>
          <w:p>
            <w:r>
              <w:rPr>
                <w:sz w:val="13"/>
              </w:rPr>
              <w:t w:space="preserve">23.9</w:t>
            </w:r>
          </w:p>
        </w:tc>
        <w:tc>
          <w:tcPr>
            <w:tcW w:w="440" w:type="dxa"/>
            <w:vAlign w:val="center"/>
          </w:tcPr>
          <w:p>
            <w:r>
              <w:rPr>
                <w:sz w:val="13"/>
              </w:rPr>
              <w:t w:space="preserve">0.0</w:t>
            </w:r>
          </w:p>
        </w:tc>
        <w:tc>
          <w:tcPr>
            <w:tcW w:w="440" w:type="dxa"/>
            <w:vAlign w:val="center"/>
          </w:tcPr>
          <w:p>
            <w:r>
              <w:rPr>
                <w:sz w:val="13"/>
              </w:rPr>
              <w:t w:space="preserve">-14.3</w:t>
            </w:r>
          </w:p>
        </w:tc>
        <w:tc>
          <w:tcPr>
            <w:tcW w:w="440" w:type="dxa"/>
            <w:vAlign w:val="center"/>
          </w:tcPr>
          <w:p>
            <w:r>
              <w:rPr>
                <w:sz w:val="13"/>
              </w:rPr>
              <w:t w:space="preserve">7.81</w:t>
            </w:r>
          </w:p>
        </w:tc>
        <w:tc>
          <w:tcPr>
            <w:tcW w:w="440" w:type="dxa"/>
            <w:vAlign w:val="center"/>
          </w:tcPr>
          <w:p>
            <w:r>
              <w:rPr>
                <w:sz w:val="13"/>
              </w:rPr>
              <w:t w:space="preserve">0.000</w:t>
            </w:r>
          </w:p>
        </w:tc>
        <w:tc>
          <w:tcPr>
            <w:tcW w:w="440" w:type="dxa"/>
            <w:vAlign w:val="center"/>
          </w:tcPr>
          <w:p>
            <w:r>
              <w:rPr>
                <w:sz w:val="13"/>
              </w:rPr>
              <w:t w:space="preserve">0.0</w:t>
            </w:r>
          </w:p>
        </w:tc>
      </w:tr>
      <w:tr>
        <w:trPr>
          <w:cantSplit/>
        </w:trPr>
        <w:tc>
          <w:tcPr>
            <w:tcW w:w="1060" w:type="dxa"/>
            <w:vAlign w:val="center"/>
          </w:tcPr>
          <w:p>
            <w:r>
              <w:rPr>
                <w:sz w:val="13"/>
              </w:rPr>
              <w:t w:space="preserve">cloud-edge</w:t>
            </w:r>
          </w:p>
        </w:tc>
        <w:tc>
          <w:tcPr>
            <w:tcW w:w="640" w:type="dxa"/>
            <w:vAlign w:val="center"/>
          </w:tcPr>
          <w:p>
            <w:r>
              <w:rPr>
                <w:sz w:val="12"/>
              </w:rPr>
              <w:t w:space="preserve">LSTM</w:t>
            </w:r>
          </w:p>
        </w:tc>
        <w:tc>
          <w:tcPr>
            <w:tcW w:w="440" w:type="dxa"/>
            <w:vAlign w:val="center"/>
          </w:tcPr>
          <w:p>
            <w:r>
              <w:rPr>
                <w:sz w:val="13"/>
              </w:rPr>
              <w:t w:space="preserve">87.5</w:t>
            </w:r>
          </w:p>
        </w:tc>
        <w:tc>
          <w:tcPr>
            <w:tcW w:w="440" w:type="dxa"/>
            <w:vAlign w:val="center"/>
          </w:tcPr>
          <w:p>
            <w:r>
              <w:rPr>
                <w:sz w:val="13"/>
              </w:rPr>
              <w:t w:space="preserve">16.8</w:t>
            </w:r>
          </w:p>
        </w:tc>
        <w:tc>
          <w:tcPr>
            <w:tcW w:w="440" w:type="dxa"/>
            <w:vAlign w:val="center"/>
          </w:tcPr>
          <w:p>
            <w:r>
              <w:rPr>
                <w:sz w:val="13"/>
              </w:rPr>
              <w:t w:space="preserve">N/A</w:t>
            </w:r>
          </w:p>
        </w:tc>
        <w:tc>
          <w:tcPr>
            <w:tcW w:w="440" w:type="dxa"/>
            <w:vAlign w:val="center"/>
          </w:tcPr>
          <w:p>
            <w:r>
              <w:rPr>
                <w:sz w:val="13"/>
              </w:rPr>
              <w:t w:space="preserve">0.0</w:t>
            </w:r>
          </w:p>
        </w:tc>
        <w:tc>
          <w:tcPr>
            <w:tcW w:w="440" w:type="dxa"/>
            <w:vAlign w:val="center"/>
          </w:tcPr>
          <w:p>
            <w:r>
              <w:rPr>
                <w:sz w:val="13"/>
              </w:rPr>
              <w:t w:space="preserve">-16.8</w:t>
            </w:r>
          </w:p>
        </w:tc>
        <w:tc>
          <w:tcPr>
            <w:tcW w:w="440" w:type="dxa"/>
            <w:vAlign w:val="center"/>
          </w:tcPr>
          <w:p>
            <w:r>
              <w:rPr>
                <w:sz w:val="13"/>
              </w:rPr>
              <w:t w:space="preserve">153</w:t>
            </w:r>
          </w:p>
        </w:tc>
        <w:tc>
          <w:tcPr>
            <w:tcW w:w="440" w:type="dxa"/>
            <w:vAlign w:val="center"/>
          </w:tcPr>
          <w:p>
            <w:r>
              <w:rPr>
                <w:sz w:val="13"/>
              </w:rPr>
              <w:t w:space="preserve">0.000</w:t>
            </w:r>
          </w:p>
        </w:tc>
        <w:tc>
          <w:tcPr>
            <w:tcW w:w="440" w:type="dxa"/>
            <w:vAlign w:val="center"/>
          </w:tcPr>
          <w:p>
            <w:r>
              <w:rPr>
                <w:sz w:val="13"/>
              </w:rPr>
              <w:t w:space="preserve">10.8</w:t>
            </w:r>
          </w:p>
        </w:tc>
      </w:tr>
      <w:tr>
        <w:trPr>
          <w:cantSplit/>
        </w:trPr>
        <w:tc>
          <w:tcPr>
            <w:tcW w:w="1060" w:type="dxa"/>
            <w:vAlign w:val="center"/>
          </w:tcPr>
          <w:p>
            <w:r>
              <w:rPr>
                <w:sz w:val="13"/>
              </w:rPr>
              <w:t w:space="preserve">repeated-cloud</w:t>
            </w:r>
          </w:p>
        </w:tc>
        <w:tc>
          <w:tcPr>
            <w:tcW w:w="640" w:type="dxa"/>
            <w:vAlign w:val="center"/>
          </w:tcPr>
          <w:p>
            <w:r>
              <w:rPr>
                <w:sz w:val="12"/>
              </w:rPr>
              <w:t w:space="preserve">Plain-P&amp;O</w:t>
            </w:r>
          </w:p>
        </w:tc>
        <w:tc>
          <w:tcPr>
            <w:tcW w:w="440" w:type="dxa"/>
            <w:vAlign w:val="center"/>
          </w:tcPr>
          <w:p>
            <w:r>
              <w:rPr>
                <w:sz w:val="13"/>
              </w:rPr>
              <w:t w:space="preserve">86.7</w:t>
            </w:r>
          </w:p>
        </w:tc>
        <w:tc>
          <w:tcPr>
            <w:tcW w:w="440" w:type="dxa"/>
            <w:vAlign w:val="center"/>
          </w:tcPr>
          <w:p>
            <w:r>
              <w:rPr>
                <w:sz w:val="13"/>
              </w:rPr>
              <w:t w:space="preserve">18.4</w:t>
            </w:r>
          </w:p>
        </w:tc>
        <w:tc>
          <w:tcPr>
            <w:tcW w:w="440" w:type="dxa"/>
            <w:vAlign w:val="center"/>
          </w:tcPr>
          <w:p>
            <w:r>
              <w:rPr>
                <w:sz w:val="13"/>
              </w:rPr>
              <w:t w:space="preserve">N/A</w:t>
            </w:r>
          </w:p>
        </w:tc>
        <w:tc>
          <w:tcPr>
            <w:tcW w:w="440" w:type="dxa"/>
            <w:vAlign w:val="center"/>
          </w:tcPr>
          <w:p>
            <w:r>
              <w:rPr>
                <w:sz w:val="13"/>
              </w:rPr>
              <w:t w:space="preserve">0.0</w:t>
            </w:r>
          </w:p>
        </w:tc>
        <w:tc>
          <w:tcPr>
            <w:tcW w:w="440" w:type="dxa"/>
            <w:vAlign w:val="center"/>
          </w:tcPr>
          <w:p>
            <w:r>
              <w:rPr>
                <w:sz w:val="13"/>
              </w:rPr>
              <w:t w:space="preserve">-18.4</w:t>
            </w:r>
          </w:p>
        </w:tc>
        <w:tc>
          <w:tcPr>
            <w:tcW w:w="440" w:type="dxa"/>
            <w:vAlign w:val="center"/>
          </w:tcPr>
          <w:p>
            <w:r>
              <w:rPr>
                <w:sz w:val="13"/>
              </w:rPr>
              <w:t w:space="preserve">380</w:t>
            </w:r>
          </w:p>
        </w:tc>
        <w:tc>
          <w:tcPr>
            <w:tcW w:w="440" w:type="dxa"/>
            <w:vAlign w:val="center"/>
          </w:tcPr>
          <w:p>
            <w:r>
              <w:rPr>
                <w:sz w:val="13"/>
              </w:rPr>
              <w:t w:space="preserve">0.000</w:t>
            </w:r>
          </w:p>
        </w:tc>
        <w:tc>
          <w:tcPr>
            <w:tcW w:w="440" w:type="dxa"/>
            <w:vAlign w:val="center"/>
          </w:tcPr>
          <w:p>
            <w:r>
              <w:rPr>
                <w:sz w:val="13"/>
              </w:rPr>
              <w:t w:space="preserve">10.8</w:t>
            </w:r>
          </w:p>
        </w:tc>
      </w:tr>
      <w:tr>
        <w:trPr>
          <w:cantSplit/>
        </w:trPr>
        <w:tc>
          <w:tcPr>
            <w:tcW w:w="1060" w:type="dxa"/>
            <w:vAlign w:val="center"/>
          </w:tcPr>
          <w:p>
            <w:r>
              <w:rPr>
                <w:sz w:val="13"/>
              </w:rPr>
              <w:t w:space="preserve">repeated-cloud</w:t>
            </w:r>
          </w:p>
        </w:tc>
        <w:tc>
          <w:tcPr>
            <w:tcW w:w="640" w:type="dxa"/>
            <w:vAlign w:val="center"/>
          </w:tcPr>
          <w:p>
            <w:r>
              <w:rPr>
                <w:sz w:val="12"/>
              </w:rPr>
              <w:t w:space="preserve">VS-P&amp;O</w:t>
            </w:r>
          </w:p>
        </w:tc>
        <w:tc>
          <w:tcPr>
            <w:tcW w:w="440" w:type="dxa"/>
            <w:vAlign w:val="center"/>
          </w:tcPr>
          <w:p>
            <w:r>
              <w:rPr>
                <w:sz w:val="13"/>
              </w:rPr>
              <w:t w:space="preserve">91.7</w:t>
            </w:r>
          </w:p>
        </w:tc>
        <w:tc>
          <w:tcPr>
            <w:tcW w:w="440" w:type="dxa"/>
            <w:vAlign w:val="center"/>
          </w:tcPr>
          <w:p>
            <w:r>
              <w:rPr>
                <w:sz w:val="13"/>
              </w:rPr>
              <w:t w:space="preserve">17.8</w:t>
            </w:r>
          </w:p>
        </w:tc>
        <w:tc>
          <w:tcPr>
            <w:tcW w:w="440" w:type="dxa"/>
            <w:vAlign w:val="center"/>
          </w:tcPr>
          <w:p>
            <w:r>
              <w:rPr>
                <w:sz w:val="13"/>
              </w:rPr>
              <w:t w:space="preserve">N/A</w:t>
            </w:r>
          </w:p>
        </w:tc>
        <w:tc>
          <w:tcPr>
            <w:tcW w:w="440" w:type="dxa"/>
            <w:vAlign w:val="center"/>
          </w:tcPr>
          <w:p>
            <w:r>
              <w:rPr>
                <w:sz w:val="13"/>
              </w:rPr>
              <w:t w:space="preserve">0.0</w:t>
            </w:r>
          </w:p>
        </w:tc>
        <w:tc>
          <w:tcPr>
            <w:tcW w:w="440" w:type="dxa"/>
            <w:vAlign w:val="center"/>
          </w:tcPr>
          <w:p>
            <w:r>
              <w:rPr>
                <w:sz w:val="13"/>
              </w:rPr>
              <w:t w:space="preserve">-17.8</w:t>
            </w:r>
          </w:p>
        </w:tc>
        <w:tc>
          <w:tcPr>
            <w:tcW w:w="440" w:type="dxa"/>
            <w:vAlign w:val="center"/>
          </w:tcPr>
          <w:p>
            <w:r>
              <w:rPr>
                <w:sz w:val="13"/>
              </w:rPr>
              <w:t w:space="preserve">237</w:t>
            </w:r>
          </w:p>
        </w:tc>
        <w:tc>
          <w:tcPr>
            <w:tcW w:w="440" w:type="dxa"/>
            <w:vAlign w:val="center"/>
          </w:tcPr>
          <w:p>
            <w:r>
              <w:rPr>
                <w:sz w:val="13"/>
              </w:rPr>
              <w:t w:space="preserve">0.000</w:t>
            </w:r>
          </w:p>
        </w:tc>
        <w:tc>
          <w:tcPr>
            <w:tcW w:w="440" w:type="dxa"/>
            <w:vAlign w:val="center"/>
          </w:tcPr>
          <w:p>
            <w:r>
              <w:rPr>
                <w:sz w:val="13"/>
              </w:rPr>
              <w:t w:space="preserve">10.8</w:t>
            </w:r>
          </w:p>
        </w:tc>
      </w:tr>
      <w:tr>
        <w:trPr>
          <w:cantSplit/>
        </w:trPr>
        <w:tc>
          <w:tcPr>
            <w:tcW w:w="1060" w:type="dxa"/>
            <w:vAlign w:val="center"/>
          </w:tcPr>
          <w:p>
            <w:r>
              <w:rPr>
                <w:sz w:val="13"/>
              </w:rPr>
              <w:t w:space="preserve">repeated-cloud</w:t>
            </w:r>
          </w:p>
        </w:tc>
        <w:tc>
          <w:tcPr>
            <w:tcW w:w="640" w:type="dxa"/>
            <w:vAlign w:val="center"/>
          </w:tcPr>
          <w:p>
            <w:r>
              <w:rPr>
                <w:sz w:val="12"/>
              </w:rPr>
              <w:t w:space="preserve">INC</w:t>
            </w:r>
          </w:p>
        </w:tc>
        <w:tc>
          <w:tcPr>
            <w:tcW w:w="440" w:type="dxa"/>
            <w:vAlign w:val="center"/>
          </w:tcPr>
          <w:p>
            <w:r>
              <w:rPr>
                <w:sz w:val="13"/>
              </w:rPr>
              <w:t w:space="preserve">98.6</w:t>
            </w:r>
          </w:p>
        </w:tc>
        <w:tc>
          <w:tcPr>
            <w:tcW w:w="440" w:type="dxa"/>
            <w:vAlign w:val="center"/>
          </w:tcPr>
          <w:p>
            <w:r>
              <w:rPr>
                <w:sz w:val="13"/>
              </w:rPr>
              <w:t w:space="preserve">14.3</w:t>
            </w:r>
          </w:p>
        </w:tc>
        <w:tc>
          <w:tcPr>
            <w:tcW w:w="440" w:type="dxa"/>
            <w:vAlign w:val="center"/>
          </w:tcPr>
          <w:p>
            <w:r>
              <w:rPr>
                <w:sz w:val="13"/>
              </w:rPr>
              <w:t w:space="preserve">N/A</w:t>
            </w:r>
          </w:p>
        </w:tc>
        <w:tc>
          <w:tcPr>
            <w:tcW w:w="440" w:type="dxa"/>
            <w:vAlign w:val="center"/>
          </w:tcPr>
          <w:p>
            <w:r>
              <w:rPr>
                <w:sz w:val="13"/>
              </w:rPr>
              <w:t w:space="preserve">0.0</w:t>
            </w:r>
          </w:p>
        </w:tc>
        <w:tc>
          <w:tcPr>
            <w:tcW w:w="440" w:type="dxa"/>
            <w:vAlign w:val="center"/>
          </w:tcPr>
          <w:p>
            <w:r>
              <w:rPr>
                <w:sz w:val="13"/>
              </w:rPr>
              <w:t w:space="preserve">-14.3</w:t>
            </w:r>
          </w:p>
        </w:tc>
        <w:tc>
          <w:tcPr>
            <w:tcW w:w="440" w:type="dxa"/>
            <w:vAlign w:val="center"/>
          </w:tcPr>
          <w:p>
            <w:r>
              <w:rPr>
                <w:sz w:val="13"/>
              </w:rPr>
              <w:t w:space="preserve">39</w:t>
            </w:r>
          </w:p>
        </w:tc>
        <w:tc>
          <w:tcPr>
            <w:tcW w:w="440" w:type="dxa"/>
            <w:vAlign w:val="center"/>
          </w:tcPr>
          <w:p>
            <w:r>
              <w:rPr>
                <w:sz w:val="13"/>
              </w:rPr>
              <w:t w:space="preserve">0.000</w:t>
            </w:r>
          </w:p>
        </w:tc>
        <w:tc>
          <w:tcPr>
            <w:tcW w:w="440" w:type="dxa"/>
            <w:vAlign w:val="center"/>
          </w:tcPr>
          <w:p>
            <w:r>
              <w:rPr>
                <w:sz w:val="13"/>
              </w:rPr>
              <w:t w:space="preserve">0.0</w:t>
            </w:r>
          </w:p>
        </w:tc>
      </w:tr>
      <w:tr>
        <w:trPr>
          <w:cantSplit/>
        </w:trPr>
        <w:tc>
          <w:tcPr>
            <w:tcW w:w="1060" w:type="dxa"/>
            <w:vAlign w:val="center"/>
          </w:tcPr>
          <w:p>
            <w:r>
              <w:rPr>
                <w:sz w:val="13"/>
              </w:rPr>
              <w:t w:space="preserve">repeated-cloud</w:t>
            </w:r>
          </w:p>
        </w:tc>
        <w:tc>
          <w:tcPr>
            <w:tcW w:w="640" w:type="dxa"/>
            <w:vAlign w:val="center"/>
          </w:tcPr>
          <w:p>
            <w:r>
              <w:rPr>
                <w:sz w:val="12"/>
              </w:rPr>
              <w:t w:space="preserve">LSTM</w:t>
            </w:r>
          </w:p>
        </w:tc>
        <w:tc>
          <w:tcPr>
            <w:tcW w:w="440" w:type="dxa"/>
            <w:vAlign w:val="center"/>
          </w:tcPr>
          <w:p>
            <w:r>
              <w:rPr>
                <w:sz w:val="13"/>
              </w:rPr>
              <w:t w:space="preserve">86.8</w:t>
            </w:r>
          </w:p>
        </w:tc>
        <w:tc>
          <w:tcPr>
            <w:tcW w:w="440" w:type="dxa"/>
            <w:vAlign w:val="center"/>
          </w:tcPr>
          <w:p>
            <w:r>
              <w:rPr>
                <w:sz w:val="13"/>
              </w:rPr>
              <w:t w:space="preserve">18.3</w:t>
            </w:r>
          </w:p>
        </w:tc>
        <w:tc>
          <w:tcPr>
            <w:tcW w:w="440" w:type="dxa"/>
            <w:vAlign w:val="center"/>
          </w:tcPr>
          <w:p>
            <w:r>
              <w:rPr>
                <w:sz w:val="13"/>
              </w:rPr>
              <w:t w:space="preserve">N/A</w:t>
            </w:r>
          </w:p>
        </w:tc>
        <w:tc>
          <w:tcPr>
            <w:tcW w:w="440" w:type="dxa"/>
            <w:vAlign w:val="center"/>
          </w:tcPr>
          <w:p>
            <w:r>
              <w:rPr>
                <w:sz w:val="13"/>
              </w:rPr>
              <w:t w:space="preserve">0.0</w:t>
            </w:r>
          </w:p>
        </w:tc>
        <w:tc>
          <w:tcPr>
            <w:tcW w:w="440" w:type="dxa"/>
            <w:vAlign w:val="center"/>
          </w:tcPr>
          <w:p>
            <w:r>
              <w:rPr>
                <w:sz w:val="13"/>
              </w:rPr>
              <w:t w:space="preserve">-18.3</w:t>
            </w:r>
          </w:p>
        </w:tc>
        <w:tc>
          <w:tcPr>
            <w:tcW w:w="440" w:type="dxa"/>
            <w:vAlign w:val="center"/>
          </w:tcPr>
          <w:p>
            <w:r>
              <w:rPr>
                <w:sz w:val="13"/>
              </w:rPr>
              <w:t w:space="preserve">377</w:t>
            </w:r>
          </w:p>
        </w:tc>
        <w:tc>
          <w:tcPr>
            <w:tcW w:w="440" w:type="dxa"/>
            <w:vAlign w:val="center"/>
          </w:tcPr>
          <w:p>
            <w:r>
              <w:rPr>
                <w:sz w:val="13"/>
              </w:rPr>
              <w:t w:space="preserve">0.000</w:t>
            </w:r>
          </w:p>
        </w:tc>
        <w:tc>
          <w:tcPr>
            <w:tcW w:w="440" w:type="dxa"/>
            <w:vAlign w:val="center"/>
          </w:tcPr>
          <w:p>
            <w:r>
              <w:rPr>
                <w:sz w:val="13"/>
              </w:rPr>
              <w:t w:space="preserve">10.8</w:t>
            </w:r>
          </w:p>
        </w:tc>
      </w:tr>
      <w:tr>
        <w:trPr>
          <w:cantSplit/>
        </w:trPr>
        <w:tc>
          <w:tcPr>
            <w:tcW w:w="1060" w:type="dxa"/>
            <w:vAlign w:val="center"/>
          </w:tcPr>
          <w:p>
            <w:r>
              <w:rPr>
                <w:sz w:val="13"/>
              </w:rPr>
              <w:t w:space="preserve">stochastic</w:t>
            </w:r>
          </w:p>
        </w:tc>
        <w:tc>
          <w:tcPr>
            <w:tcW w:w="640" w:type="dxa"/>
            <w:vAlign w:val="center"/>
          </w:tcPr>
          <w:p>
            <w:r>
              <w:rPr>
                <w:sz w:val="12"/>
              </w:rPr>
              <w:t w:space="preserve">Plain-P&amp;O</w:t>
            </w:r>
          </w:p>
        </w:tc>
        <w:tc>
          <w:tcPr>
            <w:tcW w:w="440" w:type="dxa"/>
            <w:vAlign w:val="center"/>
          </w:tcPr>
          <w:p>
            <w:r>
              <w:rPr>
                <w:sz w:val="13"/>
              </w:rPr>
              <w:t w:space="preserve">89.5</w:t>
            </w:r>
          </w:p>
        </w:tc>
        <w:tc>
          <w:tcPr>
            <w:tcW w:w="440" w:type="dxa"/>
            <w:vAlign w:val="center"/>
          </w:tcPr>
          <w:p>
            <w:r>
              <w:rPr>
                <w:sz w:val="13"/>
              </w:rPr>
              <w:t w:space="preserve">29.5</w:t>
            </w:r>
          </w:p>
        </w:tc>
        <w:tc>
          <w:tcPr>
            <w:tcW w:w="440" w:type="dxa"/>
            <w:vAlign w:val="center"/>
          </w:tcPr>
          <w:p>
            <w:r>
              <w:rPr>
                <w:sz w:val="13"/>
              </w:rPr>
              <w:t w:space="preserve">N/A</w:t>
            </w:r>
          </w:p>
        </w:tc>
        <w:tc>
          <w:tcPr>
            <w:tcW w:w="440" w:type="dxa"/>
            <w:vAlign w:val="center"/>
          </w:tcPr>
          <w:p>
            <w:r>
              <w:rPr>
                <w:sz w:val="13"/>
              </w:rPr>
              <w:t w:space="preserve">0.0</w:t>
            </w:r>
          </w:p>
        </w:tc>
        <w:tc>
          <w:tcPr>
            <w:tcW w:w="440" w:type="dxa"/>
            <w:vAlign w:val="center"/>
          </w:tcPr>
          <w:p>
            <w:r>
              <w:rPr>
                <w:sz w:val="13"/>
              </w:rPr>
              <w:t w:space="preserve">-29.5</w:t>
            </w:r>
          </w:p>
        </w:tc>
        <w:tc>
          <w:tcPr>
            <w:tcW w:w="440" w:type="dxa"/>
            <w:vAlign w:val="center"/>
          </w:tcPr>
          <w:p>
            <w:r>
              <w:rPr>
                <w:sz w:val="13"/>
              </w:rPr>
              <w:t w:space="preserve">2271</w:t>
            </w:r>
          </w:p>
        </w:tc>
        <w:tc>
          <w:tcPr>
            <w:tcW w:w="440" w:type="dxa"/>
            <w:vAlign w:val="center"/>
          </w:tcPr>
          <w:p>
            <w:r>
              <w:rPr>
                <w:sz w:val="13"/>
              </w:rPr>
              <w:t w:space="preserve">0.678</w:t>
            </w:r>
          </w:p>
        </w:tc>
        <w:tc>
          <w:tcPr>
            <w:tcW w:w="440" w:type="dxa"/>
            <w:vAlign w:val="center"/>
          </w:tcPr>
          <w:p>
            <w:r>
              <w:rPr>
                <w:sz w:val="13"/>
              </w:rPr>
              <w:t w:space="preserve">0.7</w:t>
            </w:r>
          </w:p>
        </w:tc>
      </w:tr>
      <w:tr>
        <w:trPr>
          <w:cantSplit/>
        </w:trPr>
        <w:tc>
          <w:tcPr>
            <w:tcW w:w="1060" w:type="dxa"/>
            <w:vAlign w:val="center"/>
          </w:tcPr>
          <w:p>
            <w:r>
              <w:rPr>
                <w:sz w:val="13"/>
              </w:rPr>
              <w:t w:space="preserve">stochastic</w:t>
            </w:r>
          </w:p>
        </w:tc>
        <w:tc>
          <w:tcPr>
            <w:tcW w:w="640" w:type="dxa"/>
            <w:vAlign w:val="center"/>
          </w:tcPr>
          <w:p>
            <w:r>
              <w:rPr>
                <w:sz w:val="12"/>
              </w:rPr>
              <w:t w:space="preserve">VS-P&amp;O</w:t>
            </w:r>
          </w:p>
        </w:tc>
        <w:tc>
          <w:tcPr>
            <w:tcW w:w="440" w:type="dxa"/>
            <w:vAlign w:val="center"/>
          </w:tcPr>
          <w:p>
            <w:r>
              <w:rPr>
                <w:sz w:val="13"/>
              </w:rPr>
              <w:t w:space="preserve">94.5</w:t>
            </w:r>
          </w:p>
        </w:tc>
        <w:tc>
          <w:tcPr>
            <w:tcW w:w="440" w:type="dxa"/>
            <w:vAlign w:val="center"/>
          </w:tcPr>
          <w:p>
            <w:r>
              <w:rPr>
                <w:sz w:val="13"/>
              </w:rPr>
              <w:t w:space="preserve">100</w:t>
            </w:r>
          </w:p>
        </w:tc>
        <w:tc>
          <w:tcPr>
            <w:tcW w:w="440" w:type="dxa"/>
            <w:vAlign w:val="center"/>
          </w:tcPr>
          <w:p>
            <w:r>
              <w:rPr>
                <w:sz w:val="13"/>
              </w:rPr>
              <w:t w:space="preserve">N/A</w:t>
            </w:r>
          </w:p>
        </w:tc>
        <w:tc>
          <w:tcPr>
            <w:tcW w:w="440" w:type="dxa"/>
            <w:vAlign w:val="center"/>
          </w:tcPr>
          <w:p>
            <w:r>
              <w:rPr>
                <w:sz w:val="13"/>
              </w:rPr>
              <w:t w:space="preserve">0.0</w:t>
            </w:r>
          </w:p>
        </w:tc>
        <w:tc>
          <w:tcPr>
            <w:tcW w:w="440" w:type="dxa"/>
            <w:vAlign w:val="center"/>
          </w:tcPr>
          <w:p>
            <w:r>
              <w:rPr>
                <w:sz w:val="13"/>
              </w:rPr>
              <w:t w:space="preserve">-100</w:t>
            </w:r>
          </w:p>
        </w:tc>
        <w:tc>
          <w:tcPr>
            <w:tcW w:w="440" w:type="dxa"/>
            <w:vAlign w:val="center"/>
          </w:tcPr>
          <w:p>
            <w:r>
              <w:rPr>
                <w:sz w:val="13"/>
              </w:rPr>
              <w:t w:space="preserve">1185</w:t>
            </w:r>
          </w:p>
        </w:tc>
        <w:tc>
          <w:tcPr>
            <w:tcW w:w="440" w:type="dxa"/>
            <w:vAlign w:val="center"/>
          </w:tcPr>
          <w:p>
            <w:r>
              <w:rPr>
                <w:sz w:val="13"/>
              </w:rPr>
              <w:t w:space="preserve">0.997</w:t>
            </w:r>
          </w:p>
        </w:tc>
        <w:tc>
          <w:tcPr>
            <w:tcW w:w="440" w:type="dxa"/>
            <w:vAlign w:val="center"/>
          </w:tcPr>
          <w:p>
            <w:r>
              <w:rPr>
                <w:sz w:val="13"/>
              </w:rPr>
              <w:t w:space="preserve">0.8</w:t>
            </w:r>
          </w:p>
        </w:tc>
      </w:tr>
      <w:tr>
        <w:trPr>
          <w:cantSplit/>
        </w:trPr>
        <w:tc>
          <w:tcPr>
            <w:tcW w:w="1060" w:type="dxa"/>
            <w:vAlign w:val="center"/>
          </w:tcPr>
          <w:p>
            <w:r>
              <w:rPr>
                <w:sz w:val="13"/>
              </w:rPr>
              <w:t w:space="preserve">stochastic</w:t>
            </w:r>
          </w:p>
        </w:tc>
        <w:tc>
          <w:tcPr>
            <w:tcW w:w="640" w:type="dxa"/>
            <w:vAlign w:val="center"/>
          </w:tcPr>
          <w:p>
            <w:r>
              <w:rPr>
                <w:sz w:val="12"/>
              </w:rPr>
              <w:t w:space="preserve">INC</w:t>
            </w:r>
          </w:p>
        </w:tc>
        <w:tc>
          <w:tcPr>
            <w:tcW w:w="440" w:type="dxa"/>
            <w:vAlign w:val="center"/>
          </w:tcPr>
          <w:p>
            <w:r>
              <w:rPr>
                <w:sz w:val="13"/>
              </w:rPr>
              <w:t w:space="preserve">96.9</w:t>
            </w:r>
          </w:p>
        </w:tc>
        <w:tc>
          <w:tcPr>
            <w:tcW w:w="440" w:type="dxa"/>
            <w:vAlign w:val="center"/>
          </w:tcPr>
          <w:p>
            <w:r>
              <w:rPr>
                <w:sz w:val="13"/>
              </w:rPr>
              <w:t w:space="preserve">30.3</w:t>
            </w:r>
          </w:p>
        </w:tc>
        <w:tc>
          <w:tcPr>
            <w:tcW w:w="440" w:type="dxa"/>
            <w:vAlign w:val="center"/>
          </w:tcPr>
          <w:p>
            <w:r>
              <w:rPr>
                <w:sz w:val="13"/>
              </w:rPr>
              <w:t w:space="preserve">N/A</w:t>
            </w:r>
          </w:p>
        </w:tc>
        <w:tc>
          <w:tcPr>
            <w:tcW w:w="440" w:type="dxa"/>
            <w:vAlign w:val="center"/>
          </w:tcPr>
          <w:p>
            <w:r>
              <w:rPr>
                <w:sz w:val="13"/>
              </w:rPr>
              <w:t w:space="preserve">0.0</w:t>
            </w:r>
          </w:p>
        </w:tc>
        <w:tc>
          <w:tcPr>
            <w:tcW w:w="440" w:type="dxa"/>
            <w:vAlign w:val="center"/>
          </w:tcPr>
          <w:p>
            <w:r>
              <w:rPr>
                <w:sz w:val="13"/>
              </w:rPr>
              <w:t w:space="preserve">-30.3</w:t>
            </w:r>
          </w:p>
        </w:tc>
        <w:tc>
          <w:tcPr>
            <w:tcW w:w="440" w:type="dxa"/>
            <w:vAlign w:val="center"/>
          </w:tcPr>
          <w:p>
            <w:r>
              <w:rPr>
                <w:sz w:val="13"/>
              </w:rPr>
              <w:t w:space="preserve">674</w:t>
            </w:r>
          </w:p>
        </w:tc>
        <w:tc>
          <w:tcPr>
            <w:tcW w:w="440" w:type="dxa"/>
            <w:vAlign w:val="center"/>
          </w:tcPr>
          <w:p>
            <w:r>
              <w:rPr>
                <w:sz w:val="13"/>
              </w:rPr>
              <w:t w:space="preserve">0.205</w:t>
            </w:r>
          </w:p>
        </w:tc>
        <w:tc>
          <w:tcPr>
            <w:tcW w:w="440" w:type="dxa"/>
            <w:vAlign w:val="center"/>
          </w:tcPr>
          <w:p>
            <w:r>
              <w:rPr>
                <w:sz w:val="13"/>
              </w:rPr>
              <w:t w:space="preserve">0.8</w:t>
            </w:r>
          </w:p>
        </w:tc>
      </w:tr>
      <w:tr>
        <w:trPr>
          <w:cantSplit/>
        </w:trPr>
        <w:tc>
          <w:tcPr>
            <w:tcW w:w="1060" w:type="dxa"/>
            <w:vAlign w:val="center"/>
          </w:tcPr>
          <w:p>
            <w:r>
              <w:rPr>
                <w:sz w:val="13"/>
              </w:rPr>
              <w:t w:space="preserve">stochastic</w:t>
            </w:r>
          </w:p>
        </w:tc>
        <w:tc>
          <w:tcPr>
            <w:tcW w:w="640" w:type="dxa"/>
            <w:vAlign w:val="center"/>
          </w:tcPr>
          <w:p>
            <w:r>
              <w:rPr>
                <w:sz w:val="12"/>
              </w:rPr>
              <w:t w:space="preserve">LSTM</w:t>
            </w:r>
          </w:p>
        </w:tc>
        <w:tc>
          <w:tcPr>
            <w:tcW w:w="440" w:type="dxa"/>
            <w:vAlign w:val="center"/>
          </w:tcPr>
          <w:p>
            <w:r>
              <w:rPr>
                <w:sz w:val="13"/>
              </w:rPr>
              <w:t w:space="preserve">95.1</w:t>
            </w:r>
          </w:p>
        </w:tc>
        <w:tc>
          <w:tcPr>
            <w:tcW w:w="440" w:type="dxa"/>
            <w:vAlign w:val="center"/>
          </w:tcPr>
          <w:p>
            <w:r>
              <w:rPr>
                <w:sz w:val="13"/>
              </w:rPr>
              <w:t w:space="preserve">70.9</w:t>
            </w:r>
          </w:p>
        </w:tc>
        <w:tc>
          <w:tcPr>
            <w:tcW w:w="440" w:type="dxa"/>
            <w:vAlign w:val="center"/>
          </w:tcPr>
          <w:p>
            <w:r>
              <w:rPr>
                <w:sz w:val="13"/>
              </w:rPr>
              <w:t w:space="preserve">N/A</w:t>
            </w:r>
          </w:p>
        </w:tc>
        <w:tc>
          <w:tcPr>
            <w:tcW w:w="440" w:type="dxa"/>
            <w:vAlign w:val="center"/>
          </w:tcPr>
          <w:p>
            <w:r>
              <w:rPr>
                <w:sz w:val="13"/>
              </w:rPr>
              <w:t w:space="preserve">0.0</w:t>
            </w:r>
          </w:p>
        </w:tc>
        <w:tc>
          <w:tcPr>
            <w:tcW w:w="440" w:type="dxa"/>
            <w:vAlign w:val="center"/>
          </w:tcPr>
          <w:p>
            <w:r>
              <w:rPr>
                <w:sz w:val="13"/>
              </w:rPr>
              <w:t w:space="preserve">-70.9</w:t>
            </w:r>
          </w:p>
        </w:tc>
        <w:tc>
          <w:tcPr>
            <w:tcW w:w="440" w:type="dxa"/>
            <w:vAlign w:val="center"/>
          </w:tcPr>
          <w:p>
            <w:r>
              <w:rPr>
                <w:sz w:val="13"/>
              </w:rPr>
              <w:t w:space="preserve">1072</w:t>
            </w:r>
          </w:p>
        </w:tc>
        <w:tc>
          <w:tcPr>
            <w:tcW w:w="440" w:type="dxa"/>
            <w:vAlign w:val="center"/>
          </w:tcPr>
          <w:p>
            <w:r>
              <w:rPr>
                <w:sz w:val="13"/>
              </w:rPr>
              <w:t w:space="preserve">0.920</w:t>
            </w:r>
          </w:p>
        </w:tc>
        <w:tc>
          <w:tcPr>
            <w:tcW w:w="440" w:type="dxa"/>
            <w:vAlign w:val="center"/>
          </w:tcPr>
          <w:p>
            <w:r>
              <w:rPr>
                <w:sz w:val="13"/>
              </w:rPr>
              <w:t w:space="preserve">0.8</w:t>
            </w:r>
          </w:p>
        </w:tc>
      </w:tr>
    </w:tbl>
    <w:p>
      <w:pPr>
        <w:jc w:val="center"/>
      </w:pPr>
      <w:r/>
      <w:r>
        <w:drawing>
          <wp:inline xmlns:a="http://schemas.openxmlformats.org/drawingml/2006/main">
            <wp:extent cx="3187700" cy="1593850"/>
            <wp:docPr id="34" name="Picture 34"/>
            <wp:cNvGraphicFramePr>
              <a:graphicFrameLocks noChangeAspect="1"/>
            </wp:cNvGraphicFramePr>
            <a:graphic>
              <a:graphicData uri="http://schemas.openxmlformats.org/drawingml/2006/picture">
                <pic:pic>
                  <pic:nvPicPr>
                    <pic:cNvPr id="0" name="fig15_transient_benchmark.png"/>
                    <pic:cNvPicPr/>
                  </pic:nvPicPr>
                  <pic:blipFill>
                    <a:blip r:embed="rId64"/>
                    <a:stretch>
                      <a:fillRect/>
                    </a:stretch>
                  </pic:blipFill>
                  <pic:spPr>
                    <a:xfrm>
                      <a:off x="0" y="0"/>
                      <a:ext cx="5943600" cy="2447364"/>
                    </a:xfrm>
                    <a:prstGeom prst="rect"/>
                  </pic:spPr>
                </pic:pic>
              </a:graphicData>
            </a:graphic>
          </wp:inline>
        </w:drawing>
      </w:r>
    </w:p>
    <w:p>
      <w:pPr>
        <w:pStyle w:val="Normal"/>
        <w:spacing w:lineRule="atLeast" w:line="280" w:before="0" w:after="100"/>
        <w:jc w:val="both"/>
        <w:rPr>
          <w:rFonts w:ascii="Times New Roman" w:hAnsi="Times New Roman" w:cs="Times New Roman"/>
        </w:rPr>
      </w:pPr>
      <w:r>
        <w:rPr>
          <w:sz w:val="20"/>
          <w:szCs w:val="20"/>
        </w:rPr>
        <w:t>Fig. 16. Controlled transient benchmark across all four controllers under identical conditions: (a) post-step power traces on the step-down waveform against the analytic P MPP, (b) tracking efficiency per waveform (pattern-coded). Values are summarised in Table VI.</w:t>
      </w:r>
    </w:p>
    <w:p>
      <w:pPr>
        <w:pStyle w:val="Normal"/>
        <w:spacing w:lineRule="atLeast" w:line="280" w:before="200" w:after="60"/>
        <w:rPr>
          <w:rFonts w:ascii="Times New Roman" w:hAnsi="Times New Roman" w:cs="Times New Roman"/>
        </w:rPr>
      </w:pPr>
      <w:r>
        <w:rPr>
          <w:rFonts w:eastAsia="Times New Roman" w:cs="Times New Roman"/>
          <w:b/>
          <w:bCs/>
          <w:color w:val="000000"/>
          <w:sz w:val="24"/>
          <w:szCs w:val="24"/>
        </w:rPr>
        <w:t>V. HARDWARE IMPLEMENTATION</w:t>
      </w:r>
      <w:bookmarkStart w:id="1" w:name="_GoBack_Copy_1"/>
      <w:bookmarkEnd w:id="1"/>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The field irradiance logger employed for the model validation reported in Sections III.D and IV.F was implemented as a purpose-built data-acquisition board (Fig. 17). The board carries the complete logger electronics on a compact PCB (roughly 92 mm × 80 mm): an ESP32-S3 WROOM N16R8 CAM module (16 MB flash, 8 MB PSRAM) provides the logging, prediction, and communication core; a GY-302 BH1750 digital ambient-light sensor performs the irradiance measurements at the 10 s sampling interval behind the protective glass cover; a DS3231 real-time clock supplies absolute timestamps for the logged records; and an MP1584 buck converter derives the 3.3 V and 5 V logic rails from the 12 V SHS battery bus via the labelled battery terminals.</w:t>
      </w:r>
    </w:p>
    <w:p>
      <w:pPr>
        <w:pStyle w:val="Normal"/>
        <w:rPr/>
      </w:pPr>
      <w:r>
        <w:drawing>
          <wp:inline xmlns:a="http://schemas.openxmlformats.org/drawingml/2006/main">
            <wp:extent cx="3191256" cy="1778977"/>
            <wp:docPr id="15" name="Picture 1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191256" cy="1778977"/>
                    </a:xfrm>
                    <a:prstGeom prst="rect"/>
                  </pic:spPr>
                </pic:pic>
              </a:graphicData>
            </a:graphic>
          </wp:inline>
        </w:drawing>
      </w:r>
    </w:p>
    <w:p>
      <w:pPr>
        <w:pStyle w:val="Normal"/>
        <w:spacing w:lineRule="atLeast" w:line="280" w:before="0" w:after="100"/>
        <w:jc w:val="both"/>
        <w:rPr>
          <w:rFonts w:ascii="Times New Roman" w:hAnsi="Times New Roman" w:cs="Times New Roman"/>
        </w:rPr>
      </w:pPr>
      <w:r>
        <w:rPr/>
        <w:t>Fig. 17. Field logger schematic: ESP32-S3 WROOM N16R8 CAM, GY-302 BH1750 light sensor, DS3231 RTC, MP1584 buck converter (12 V input → 3.3 V/5 V rails), and battery/switch interfaces (Leading University, REV 1.0).</w:t>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The PCB integrates the module pin headers, a decoupling capacitor bank (C2–C15) on the power rails, resistor networks, boot-configuration and reset switches, SD-card interfaces on GPIO38–GPIO40, and the UART link (GPIO43-TX/GPIO44-RX) that enables the Helios-to-Artemis communication protocol of Section III.A. The board layout follows the functional partitioning of the controller architecture: all logging, timestamping, and model-inference resources reside on the ESP32-S3 subsystem, with provision for the companion control plane through the UART interface. The assembled hardware was deployed for the Jul 9–14, 2026 field campaign described in Section III.D.</w:t>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Silkscreen markers on the PCB identify the functional blocks (Light Sensor, RTC Module, Boot Switch, 5 V, 3.3 V, GND) and the ±12 V battery terminals; four mounting holes and edge protection features support the weather-protected field enclosure. The sensor sits behind a clear glass cover whose attenuation was characterised in Section III.D (ratio 0.9314, factor 1.0737).</w:t>
      </w:r>
    </w:p>
    <w:p>
      <w:pPr>
        <w:pStyle w:val="Normal"/>
        <w:rPr/>
      </w:pPr>
      <w:r>
        <w:t>On the Artemis side (STM32F103C8T6, 72 MHz, DWT_CYCCNT via FTDI, N = 400, INA219 @400 kHz 8-sample, direct FTDI PA9/PA10) the 100 ms tick averages 9.24 ms (INA219 8.517 ms, UART parse 79.7 µs, VS-P&amp;O+blend 21.7 µs, PWM 19.9 µs, UART TX 0.600 ms; p99 9.24 ms, max 9.24 ms) with loop jitter p99 58 µs; the Helios UART TX (3.48 ms) → Artemis parse (79.7 µs) → PWM update (19.9 µs) end-to-end latency is 3.58 ms, well within the 5 s cloud-edge transient and the 100 ms control deadline.</w:t>
      </w:r>
    </w:p>
    <w:p>
      <w:pPr>
        <w:pStyle w:val="Normal"/>
        <w:spacing w:lineRule="atLeast" w:line="280" w:before="0" w:after="100"/>
        <w:jc w:val="both"/>
        <w:rPr>
          <w:rFonts w:ascii="Times New Roman" w:hAnsi="Times New Roman" w:cs="Times New Roman"/>
        </w:rPr>
      </w:pPr>
      <w:r>
        <w:t>Table V. Measured dual-MCU execution-time budget (Helios ESP32-S3 N16R8 240 MHz live probe 22:00:51, N=400, and Artemis STM32F103C8T6 72 MHz direct FTDI DWT, N=400, INA219 @400 kHz 8-sample). End-to-end Helios UART TX → Artemis parse → PWM update = 3.58 ms.</w:t>
      </w:r>
    </w:p>
    <w:tbl>
      <w:tblPr>
        <w:tblW w:w="5020"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700"/>
        <w:gridCol w:w="800"/>
        <w:gridCol w:w="760"/>
        <w:gridCol w:w="760"/>
      </w:tblGrid>
      <w:tr>
        <w:tc>
          <w:tcPr>
            <w:tcW w:w="2700" w:type="dxa"/>
            <w:vAlign w:val="center"/>
          </w:tcPr>
          <w:p>
            <w:pPr>
              <w:jc w:val="center"/>
            </w:pPr>
            <w:r>
              <w:rPr>
                <w:sz w:val="14"/>
                <w:b/>
              </w:rPr>
              <w:t w:space="preserve">Stage</w:t>
            </w:r>
          </w:p>
        </w:tc>
        <w:tc>
          <w:tcPr>
            <w:tcW w:w="800" w:type="dxa"/>
            <w:vAlign w:val="center"/>
          </w:tcPr>
          <w:p>
            <w:pPr>
              <w:jc w:val="center"/>
            </w:pPr>
            <w:r>
              <w:rPr>
                <w:sz w:val="14"/>
                <w:b/>
              </w:rPr>
              <w:t w:space="preserve">Mean</w:t>
            </w:r>
          </w:p>
        </w:tc>
        <w:tc>
          <w:tcPr>
            <w:tcW w:w="760" w:type="dxa"/>
            <w:vAlign w:val="center"/>
          </w:tcPr>
          <w:p>
            <w:pPr>
              <w:jc w:val="center"/>
            </w:pPr>
            <w:r>
              <w:rPr>
                <w:sz w:val="14"/>
                <w:b/>
              </w:rPr>
              <w:t w:space="preserve">p99</w:t>
            </w:r>
          </w:p>
        </w:tc>
        <w:tc>
          <w:tcPr>
            <w:tcW w:w="760" w:type="dxa"/>
            <w:vAlign w:val="center"/>
          </w:tcPr>
          <w:p>
            <w:pPr>
              <w:jc w:val="center"/>
            </w:pPr>
            <w:r>
              <w:rPr>
                <w:sz w:val="14"/>
                <w:b/>
              </w:rPr>
              <w:t w:space="preserve">Max</w:t>
            </w:r>
          </w:p>
        </w:tc>
      </w:tr>
      <w:tr>
        <w:tc>
          <w:tcPr>
            <w:tcW w:w="2700" w:type="dxa"/>
            <w:vAlign w:val="center"/>
          </w:tcPr>
          <w:p>
            <w:pPr>
              <w:jc w:val="center"/>
            </w:pPr>
            <w:r>
              <w:rPr>
                <w:sz w:val="14"/>
              </w:rPr>
              <w:t w:space="preserve">Preprocessing (24-step window)</w:t>
            </w:r>
          </w:p>
        </w:tc>
        <w:tc>
          <w:tcPr>
            <w:tcW w:w="800" w:type="dxa"/>
            <w:vAlign w:val="center"/>
          </w:tcPr>
          <w:p>
            <w:pPr>
              <w:jc w:val="center"/>
            </w:pPr>
            <w:r>
              <w:t>7.58 µs</w:t>
            </w:r>
          </w:p>
        </w:tc>
        <w:tc>
          <w:tcPr>
            <w:tcW w:w="760" w:type="dxa"/>
            <w:vAlign w:val="center"/>
          </w:tcPr>
          <w:p>
            <w:pPr>
              <w:jc w:val="center"/>
            </w:pPr>
            <w:r>
              <w:t>8 µs</w:t>
            </w:r>
          </w:p>
        </w:tc>
        <w:tc>
          <w:tcPr>
            <w:tcW w:w="760" w:type="dxa"/>
            <w:vAlign w:val="center"/>
          </w:tcPr>
          <w:p>
            <w:pPr>
              <w:jc w:val="center"/>
            </w:pPr>
            <w:r>
              <w:t>12 µs</w:t>
            </w:r>
          </w:p>
        </w:tc>
      </w:tr>
      <w:tr>
        <w:tc>
          <w:tcPr>
            <w:tcW w:w="2700" w:type="dxa"/>
            <w:vAlign w:val="center"/>
          </w:tcPr>
          <w:p>
            <w:pPr>
              <w:jc w:val="center"/>
            </w:pPr>
            <w:r>
              <w:rPr>
                <w:sz w:val="14"/>
              </w:rPr>
              <w:t w:space="preserve">LSTM inference (24 × 32 units)</w:t>
            </w:r>
          </w:p>
        </w:tc>
        <w:tc>
          <w:tcPr>
            <w:tcW w:w="800" w:type="dxa"/>
            <w:vAlign w:val="center"/>
          </w:tcPr>
          <w:p>
            <w:pPr>
              <w:jc w:val="center"/>
            </w:pPr>
            <w:r>
              <w:t>6.359 ms</w:t>
            </w:r>
          </w:p>
        </w:tc>
        <w:tc>
          <w:tcPr>
            <w:tcW w:w="760" w:type="dxa"/>
            <w:vAlign w:val="center"/>
          </w:tcPr>
          <w:p>
            <w:pPr>
              <w:jc w:val="center"/>
            </w:pPr>
            <w:r>
              <w:t>6.369 ms</w:t>
            </w:r>
          </w:p>
        </w:tc>
        <w:tc>
          <w:tcPr>
            <w:tcW w:w="760" w:type="dxa"/>
            <w:vAlign w:val="center"/>
          </w:tcPr>
          <w:p>
            <w:pPr>
              <w:jc w:val="center"/>
            </w:pPr>
            <w:r>
              <w:t>6.441 ms</w:t>
            </w:r>
          </w:p>
        </w:tc>
      </w:tr>
      <w:tr>
        <w:tc>
          <w:tcPr>
            <w:tcW w:w="2700" w:type="dxa"/>
            <w:vAlign w:val="center"/>
          </w:tcPr>
          <w:p>
            <w:pPr>
              <w:jc w:val="center"/>
            </w:pPr>
            <w:r>
              <w:rPr>
                <w:sz w:val="14"/>
              </w:rPr>
              <w:t w:space="preserve">Packet formatting</w:t>
            </w:r>
          </w:p>
        </w:tc>
        <w:tc>
          <w:tcPr>
            <w:tcW w:w="800" w:type="dxa"/>
            <w:vAlign w:val="center"/>
          </w:tcPr>
          <w:p>
            <w:pPr>
              <w:jc w:val="center"/>
            </w:pPr>
            <w:r>
              <w:t>80.9 µs</w:t>
            </w:r>
          </w:p>
        </w:tc>
        <w:tc>
          <w:tcPr>
            <w:tcW w:w="760" w:type="dxa"/>
            <w:vAlign w:val="center"/>
          </w:tcPr>
          <w:p>
            <w:pPr>
              <w:jc w:val="center"/>
            </w:pPr>
            <w:r>
              <w:t>88 µs</w:t>
            </w:r>
          </w:p>
        </w:tc>
        <w:tc>
          <w:tcPr>
            <w:tcW w:w="760" w:type="dxa"/>
            <w:vAlign w:val="center"/>
          </w:tcPr>
          <w:p>
            <w:pPr>
              <w:jc w:val="center"/>
            </w:pPr>
            <w:r>
              <w:t>268 µs</w:t>
            </w:r>
          </w:p>
        </w:tc>
      </w:tr>
      <w:tr>
        <w:tc>
          <w:tcPr>
            <w:tcW w:w="2700" w:type="dxa"/>
            <w:vAlign w:val="center"/>
          </w:tcPr>
          <w:p>
            <w:pPr>
              <w:jc w:val="center"/>
            </w:pPr>
            <w:r>
              <w:rPr>
                <w:sz w:val="14"/>
              </w:rPr>
              <w:t w:space="preserve">UART transmission (115.2 kbaud)</w:t>
            </w:r>
          </w:p>
        </w:tc>
        <w:tc>
          <w:tcPr>
            <w:tcW w:w="800" w:type="dxa"/>
            <w:vAlign w:val="center"/>
          </w:tcPr>
          <w:p>
            <w:pPr>
              <w:jc w:val="center"/>
            </w:pPr>
            <w:r>
              <w:t>3.485 ms</w:t>
            </w:r>
          </w:p>
        </w:tc>
        <w:tc>
          <w:tcPr>
            <w:tcW w:w="760" w:type="dxa"/>
            <w:vAlign w:val="center"/>
          </w:tcPr>
          <w:p>
            <w:pPr>
              <w:jc w:val="center"/>
            </w:pPr>
            <w:r>
              <w:t>3.487 ms</w:t>
            </w:r>
          </w:p>
        </w:tc>
        <w:tc>
          <w:tcPr>
            <w:tcW w:w="760" w:type="dxa"/>
            <w:vAlign w:val="center"/>
          </w:tcPr>
          <w:p>
            <w:pPr>
              <w:jc w:val="center"/>
            </w:pPr>
            <w:r>
              <w:t>3.489 ms</w:t>
            </w:r>
          </w:p>
        </w:tc>
      </w:tr>
      <w:tr>
        <w:tc>
          <w:tcPr>
            <w:tcW w:w="2700" w:type="dxa"/>
            <w:vAlign w:val="center"/>
          </w:tcPr>
          <w:p>
            <w:pPr>
              <w:jc w:val="center"/>
            </w:pPr>
            <w:r>
              <w:rPr>
                <w:sz w:val="14"/>
              </w:rPr>
              <w:t w:space="preserve">Full Helios control tick</w:t>
            </w:r>
          </w:p>
        </w:tc>
        <w:tc>
          <w:tcPr>
            <w:tcW w:w="800" w:type="dxa"/>
            <w:vAlign w:val="center"/>
          </w:tcPr>
          <w:p>
            <w:pPr>
              <w:jc w:val="center"/>
            </w:pPr>
            <w:r>
              <w:t>10.002 ms</w:t>
            </w:r>
          </w:p>
        </w:tc>
        <w:tc>
          <w:tcPr>
            <w:tcW w:w="760" w:type="dxa"/>
            <w:vAlign w:val="center"/>
          </w:tcPr>
          <w:p>
            <w:pPr>
              <w:jc w:val="center"/>
            </w:pPr>
            <w:r>
              <w:t>10.018 ms</w:t>
            </w:r>
          </w:p>
        </w:tc>
        <w:tc>
          <w:tcPr>
            <w:tcW w:w="760" w:type="dxa"/>
            <w:vAlign w:val="center"/>
          </w:tcPr>
          <w:p>
            <w:pPr>
              <w:jc w:val="center"/>
            </w:pPr>
            <w:r>
              <w:t>10.027 ms</w:t>
            </w:r>
          </w:p>
        </w:tc>
      </w:tr>
      <w:tr>
        <w:tc>
          <w:tcPr>
            <w:tcW w:w="2700" w:type="dxa"/>
            <w:vAlign w:val="center"/>
          </w:tcPr>
          <w:p>
            <w:pPr>
              <w:jc w:val="center"/>
            </w:pPr>
            <w:r>
              <w:rPr>
                <w:sz w:val="14"/>
              </w:rPr>
              <w:t w:space="preserve">Loop period (100 ms nominal)</w:t>
            </w:r>
          </w:p>
        </w:tc>
        <w:tc>
          <w:tcPr>
            <w:tcW w:w="800" w:type="dxa"/>
            <w:vAlign w:val="center"/>
          </w:tcPr>
          <w:p>
            <w:pPr>
              <w:jc w:val="center"/>
            </w:pPr>
            <w:r>
              <w:t>100.000 ms</w:t>
            </w:r>
          </w:p>
        </w:tc>
        <w:tc>
          <w:tcPr>
            <w:tcW w:w="760" w:type="dxa"/>
            <w:vAlign w:val="center"/>
          </w:tcPr>
          <w:p>
            <w:pPr>
              <w:jc w:val="center"/>
            </w:pPr>
            <w:r>
              <w:t>100.026 ms</w:t>
            </w:r>
          </w:p>
        </w:tc>
        <w:tc>
          <w:tcPr>
            <w:tcW w:w="760" w:type="dxa"/>
            <w:vAlign w:val="center"/>
          </w:tcPr>
          <w:p>
            <w:pPr>
              <w:jc w:val="center"/>
            </w:pPr>
            <w:r>
              <w:t>100.032 ms</w:t>
            </w:r>
          </w:p>
        </w:tc>
      </w:tr>
      <w:tr>
        <w:tc>
          <w:tcPr>
            <w:tcW w:w="2700" w:type="dxa"/>
            <w:vAlign w:val="center"/>
          </w:tcPr>
          <w:p>
            <w:pPr>
              <w:jc w:val="center"/>
            </w:pPr>
            <w:r>
              <w:rPr>
                <w:sz w:val="14"/>
              </w:rPr>
              <w:t w:space="preserve">Absolute loop jitter</w:t>
            </w:r>
          </w:p>
        </w:tc>
        <w:tc>
          <w:tcPr>
            <w:tcW w:w="800" w:type="dxa"/>
            <w:vAlign w:val="center"/>
          </w:tcPr>
          <w:p>
            <w:pPr>
              <w:jc w:val="center"/>
            </w:pPr>
            <w:r>
              <w:rPr>
                <w:sz w:val="14"/>
              </w:rPr>
              <w:t w:space="preserve">16.3 µs</w:t>
            </w:r>
          </w:p>
        </w:tc>
        <w:tc>
          <w:tcPr>
            <w:tcW w:w="760" w:type="dxa"/>
            <w:vAlign w:val="center"/>
          </w:tcPr>
          <w:p>
            <w:pPr>
              <w:jc w:val="center"/>
            </w:pPr>
            <w:r>
              <w:rPr>
                <w:sz w:val="14"/>
              </w:rPr>
              <w:t w:space="preserve">31 µs</w:t>
            </w:r>
          </w:p>
        </w:tc>
        <w:tc>
          <w:tcPr>
            <w:tcW w:w="760" w:type="dxa"/>
            <w:vAlign w:val="center"/>
          </w:tcPr>
          <w:p>
            <w:pPr>
              <w:jc w:val="center"/>
            </w:pPr>
            <w:r>
              <w:rPr>
                <w:sz w:val="14"/>
              </w:rPr>
              <w:t w:space="preserve">36 µs</w:t>
            </w:r>
          </w:p>
        </w:tc>
      </w:tr>
      <w:tr>
        <w:tc>
          <w:tcPr>
            <w:tcW w:type="dxa" w:w="2700"/>
          </w:tcPr>
          <w:p>
            <w:pPr>
              <w:jc w:val="center"/>
            </w:pPr>
            <w:r>
              <w:rPr/>
              <w:t>INA219 read (8-sample, 400 kHz)</w:t>
            </w:r>
          </w:p>
        </w:tc>
        <w:tc>
          <w:tcPr>
            <w:tcW w:type="dxa" w:w="800"/>
          </w:tcPr>
          <w:p>
            <w:pPr>
              <w:jc w:val="center"/>
            </w:pPr>
            <w:r>
              <w:t>8.517 ms</w:t>
            </w:r>
          </w:p>
        </w:tc>
        <w:tc>
          <w:tcPr>
            <w:tcW w:type="dxa" w:w="760"/>
          </w:tcPr>
          <w:p>
            <w:pPr>
              <w:jc w:val="center"/>
            </w:pPr>
            <w:r>
              <w:t>8.517 ms</w:t>
            </w:r>
          </w:p>
        </w:tc>
        <w:tc>
          <w:tcPr>
            <w:tcW w:type="dxa" w:w="760"/>
          </w:tcPr>
          <w:p>
            <w:pPr>
              <w:jc w:val="center"/>
            </w:pPr>
            <w:r>
              <w:t>8.517 ms</w:t>
            </w:r>
          </w:p>
        </w:tc>
      </w:tr>
      <w:tr>
        <w:tc>
          <w:tcPr>
            <w:tcW w:type="dxa" w:w="2700"/>
          </w:tcPr>
          <w:p>
            <w:pPr>
              <w:jc w:val="center"/>
            </w:pPr>
            <w:r>
              <w:rPr/>
              <w:t>UART parse (HEL frame)</w:t>
            </w:r>
          </w:p>
        </w:tc>
        <w:tc>
          <w:tcPr>
            <w:tcW w:type="dxa" w:w="800"/>
          </w:tcPr>
          <w:p>
            <w:pPr>
              <w:jc w:val="center"/>
            </w:pPr>
            <w:r>
              <w:t>79.7 µs</w:t>
            </w:r>
          </w:p>
        </w:tc>
        <w:tc>
          <w:tcPr>
            <w:tcW w:type="dxa" w:w="760"/>
          </w:tcPr>
          <w:p>
            <w:pPr>
              <w:jc w:val="center"/>
            </w:pPr>
            <w:r>
              <w:t>80.9 µs</w:t>
            </w:r>
          </w:p>
        </w:tc>
        <w:tc>
          <w:tcPr>
            <w:tcW w:type="dxa" w:w="760"/>
          </w:tcPr>
          <w:p>
            <w:pPr>
              <w:jc w:val="center"/>
            </w:pPr>
            <w:r>
              <w:t>80.9 µs</w:t>
            </w:r>
          </w:p>
        </w:tc>
      </w:tr>
      <w:tr>
        <w:tc>
          <w:tcPr>
            <w:tcW w:type="dxa" w:w="2700"/>
          </w:tcPr>
          <w:p>
            <w:pPr>
              <w:jc w:val="center"/>
            </w:pPr>
            <w:r>
              <w:t>VS-P&amp;O + blend + PWM update</w:t>
            </w:r>
          </w:p>
        </w:tc>
        <w:tc>
          <w:tcPr>
            <w:tcW w:type="dxa" w:w="800"/>
          </w:tcPr>
          <w:p>
            <w:pPr>
              <w:jc w:val="center"/>
            </w:pPr>
            <w:r>
              <w:t>41.6 µs</w:t>
            </w:r>
          </w:p>
        </w:tc>
        <w:tc>
          <w:tcPr>
            <w:tcW w:type="dxa" w:w="760"/>
          </w:tcPr>
          <w:p>
            <w:pPr>
              <w:jc w:val="center"/>
            </w:pPr>
            <w:r>
              <w:t>42.8 µs</w:t>
            </w:r>
          </w:p>
        </w:tc>
        <w:tc>
          <w:tcPr>
            <w:tcW w:type="dxa" w:w="760"/>
          </w:tcPr>
          <w:p>
            <w:pPr>
              <w:jc w:val="center"/>
            </w:pPr>
            <w:r>
              <w:t>43.0 µs</w:t>
            </w:r>
          </w:p>
        </w:tc>
      </w:tr>
      <w:tr>
        <w:tc>
          <w:tcPr>
            <w:tcW w:type="dxa" w:w="2700"/>
          </w:tcPr>
          <w:p>
            <w:pPr>
              <w:jc w:val="center"/>
            </w:pPr>
            <w:r>
              <w:rPr/>
              <w:t>UART TX Artemis→Helios (30 B)</w:t>
            </w:r>
          </w:p>
        </w:tc>
        <w:tc>
          <w:tcPr>
            <w:tcW w:type="dxa" w:w="800"/>
          </w:tcPr>
          <w:p>
            <w:pPr>
              <w:jc w:val="center"/>
            </w:pPr>
            <w:r>
              <w:t>599.7 µs</w:t>
            </w:r>
          </w:p>
        </w:tc>
        <w:tc>
          <w:tcPr>
            <w:tcW w:type="dxa" w:w="760"/>
          </w:tcPr>
          <w:p>
            <w:pPr>
              <w:jc w:val="center"/>
            </w:pPr>
            <w:r>
              <w:t>604.2 µs</w:t>
            </w:r>
          </w:p>
        </w:tc>
        <w:tc>
          <w:tcPr>
            <w:tcW w:type="dxa" w:w="760"/>
          </w:tcPr>
          <w:p>
            <w:pPr>
              <w:jc w:val="center"/>
            </w:pPr>
            <w:r>
              <w:t>604.4 µs</w:t>
            </w:r>
          </w:p>
        </w:tc>
      </w:tr>
      <w:tr>
        <w:tc>
          <w:tcPr>
            <w:tcW w:type="dxa" w:w="2700"/>
          </w:tcPr>
          <w:p>
            <w:pPr>
              <w:jc w:val="center"/>
            </w:pPr>
            <w:r>
              <w:rPr/>
              <w:t>Full Artemis control tick</w:t>
            </w:r>
          </w:p>
        </w:tc>
        <w:tc>
          <w:tcPr>
            <w:tcW w:type="dxa" w:w="800"/>
          </w:tcPr>
          <w:p>
            <w:pPr>
              <w:jc w:val="center"/>
            </w:pPr>
            <w:r>
              <w:t>9.238 ms</w:t>
            </w:r>
          </w:p>
        </w:tc>
        <w:tc>
          <w:tcPr>
            <w:tcW w:type="dxa" w:w="760"/>
          </w:tcPr>
          <w:p>
            <w:pPr>
              <w:jc w:val="center"/>
            </w:pPr>
            <w:r>
              <w:t>9.244 ms</w:t>
            </w:r>
          </w:p>
        </w:tc>
        <w:tc>
          <w:tcPr>
            <w:tcW w:type="dxa" w:w="760"/>
          </w:tcPr>
          <w:p>
            <w:pPr>
              <w:jc w:val="center"/>
            </w:pPr>
            <w:r>
              <w:t>9.244 ms</w:t>
            </w:r>
          </w:p>
        </w:tc>
      </w:tr>
      <w:tr>
        <w:tc>
          <w:tcPr>
            <w:tcW w:type="dxa" w:w="2700"/>
          </w:tcPr>
          <w:p>
            <w:pPr>
              <w:jc w:val="center"/>
            </w:pPr>
            <w:r>
              <w:rPr/>
              <w:t>Loop period Artemis (100 ms nom.)</w:t>
            </w:r>
          </w:p>
        </w:tc>
        <w:tc>
          <w:tcPr>
            <w:tcW w:type="dxa" w:w="800"/>
          </w:tcPr>
          <w:p>
            <w:pPr>
              <w:jc w:val="center"/>
            </w:pPr>
            <w:r>
              <w:rPr/>
              <w:t>99.999 ms</w:t>
            </w:r>
          </w:p>
        </w:tc>
        <w:tc>
          <w:tcPr>
            <w:tcW w:type="dxa" w:w="760"/>
          </w:tcPr>
          <w:p>
            <w:pPr>
              <w:jc w:val="center"/>
            </w:pPr>
            <w:r>
              <w:rPr/>
              <w:t>100.058 ms</w:t>
            </w:r>
          </w:p>
        </w:tc>
        <w:tc>
          <w:tcPr>
            <w:tcW w:type="dxa" w:w="760"/>
          </w:tcPr>
          <w:p>
            <w:pPr>
              <w:jc w:val="center"/>
            </w:pPr>
            <w:r>
              <w:rPr/>
              <w:t>100.058 ms</w:t>
            </w:r>
          </w:p>
        </w:tc>
      </w:tr>
      <w:tr>
        <w:tc>
          <w:tcPr>
            <w:tcW w:type="dxa" w:w="2700"/>
          </w:tcPr>
          <w:p>
            <w:pPr>
              <w:jc w:val="center"/>
            </w:pPr>
            <w:r>
              <w:rPr/>
              <w:t>End-to-end Helios UART→Artemis PWM</w:t>
            </w:r>
          </w:p>
        </w:tc>
        <w:tc>
          <w:tcPr>
            <w:tcW w:type="dxa" w:w="800"/>
          </w:tcPr>
          <w:p>
            <w:pPr>
              <w:jc w:val="center"/>
            </w:pPr>
            <w:r>
              <w:t>3.58 ms</w:t>
            </w:r>
          </w:p>
        </w:tc>
        <w:tc>
          <w:tcPr>
            <w:tcW w:type="dxa" w:w="760"/>
          </w:tcPr>
          <w:p>
            <w:pPr>
              <w:jc w:val="center"/>
            </w:pPr>
            <w:r>
              <w:rPr/>
              <w:t>—</w:t>
            </w:r>
          </w:p>
        </w:tc>
        <w:tc>
          <w:tcPr>
            <w:tcW w:type="dxa" w:w="760"/>
          </w:tcPr>
          <w:p>
            <w:pPr>
              <w:jc w:val="center"/>
            </w:pPr>
            <w:r>
              <w:rPr/>
              <w:t>—</w:t>
            </w:r>
          </w:p>
        </w:tc>
      </w:tr>
    </w:tbl>
    <w:p>
      <w:pPr>
        <w:jc w:val="center"/>
      </w:pPr>
      <w:r>
        <w:drawing>
          <wp:inline xmlns:a="http://schemas.openxmlformats.org/drawingml/2006/main">
            <wp:extent cx="4572000" cy="4674688"/>
            <wp:docPr id="33" name="Picture 33"/>
            <wp:cNvGraphicFramePr>
              <a:graphicFrameLocks noChangeAspect="1"/>
            </wp:cNvGraphicFramePr>
            <a:graphic>
              <a:graphicData uri="http://schemas.openxmlformats.org/drawingml/2006/picture">
                <pic:pic>
                  <pic:nvPicPr>
                    <pic:cNvPr id="0" name="fig_timing_budget.png"/>
                    <pic:cNvPicPr/>
                  </pic:nvPicPr>
                  <pic:blipFill>
                    <a:blip r:embed="rId63"/>
                    <a:stretch>
                      <a:fillRect/>
                    </a:stretch>
                  </pic:blipFill>
                  <pic:spPr>
                    <a:xfrm>
                      <a:off x="0" y="0"/>
                      <a:ext cx="4572000" cy="4674688"/>
                    </a:xfrm>
                    <a:prstGeom prst="rect"/>
                  </pic:spPr>
                </pic:pic>
              </a:graphicData>
            </a:graphic>
          </wp:inline>
        </w:drawing>
      </w:r>
    </w:p>
    <w:p>
      <w:pPr>
        <w:pStyle w:val="Normal"/>
        <w:spacing w:lineRule="atLeast" w:line="280" w:before="0" w:after="100"/>
        <w:jc w:val="both"/>
        <w:rPr>
          <w:rFonts w:ascii="Times New Roman" w:hAnsi="Times New Roman" w:cs="Times New Roman"/>
        </w:rPr>
      </w:pPr>
      <w:r>
        <w:t>Fig. 18. Measured dual-MCU execution-time budget (N = 400 each): (a) Helios (ESP32-S3, 240 MHz, serial monitor) and Artemis (STM32F103C8T6, 72 MHz, DWT_CYCCNT direct FTDI) control ticks against the 100 ms budget (Artemis 9.24 ms, Helios 10.00 ms, ~90 ms idle); (b) Artemis 100 ms loop-period distribution (mean 100.00 ms, p99 100.06 ms, max 100.06 ms). The 3.58 ms Helios-UART→Artemis-PWM path is an order of magnitude below the 5 s cloud-edge transient.</w:t>
      </w:r>
    </w:p>
    <w:p>
      <w:pPr>
        <w:jc w:val="center"/>
      </w:pPr>
      <w:r>
        <w:drawing>
          <wp:inline xmlns:a="http://schemas.openxmlformats.org/drawingml/2006/main">
            <wp:extent cx="5943600" cy="3143722"/>
            <wp:docPr id="38" name="Picture 38"/>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943600" cy="3143722"/>
                    </a:xfrm>
                    <a:prstGeom prst="rect"/>
                  </pic:spPr>
                </pic:pic>
              </a:graphicData>
            </a:graphic>
          </wp:inline>
        </w:drawing>
      </w:r>
    </w:p>
    <w:p>
      <w:pPr>
        <w:jc w:val="center"/>
      </w:pPr>
      <w:r>
        <w:rPr>
          <w:i/>
          <w:sz w:val="16"/>
        </w:rPr>
        <w:t>Fig. 19. Signal-path timing diagram for a single 100 ms control cycle (INA219 8.52 ms, Helios preprocess 7.58 us, LSTM 6.36 ms, packet 80.94 us, UART 3.48 ms, Artemis parse 79.7 us, VS-P&amp;O 41.6 us, PWM 19.9 us, converter 50 kHz). Not to scale for us segments; idle ~86 ms.</w:t>
      </w:r>
    </w:p>
    <w:p>
      <w:pPr>
        <w:pStyle w:val="Normal"/>
        <w:spacing w:lineRule="atLeast" w:line="280" w:before="200" w:after="60"/>
        <w:rPr>
          <w:rFonts w:ascii="Times New Roman" w:hAnsi="Times New Roman" w:cs="Times New Roman"/>
        </w:rPr>
      </w:pPr>
      <w:r>
        <w:rPr>
          <w:rFonts w:eastAsia="Times New Roman" w:cs="Times New Roman"/>
          <w:b/>
          <w:bCs/>
          <w:color w:val="000000"/>
          <w:sz w:val="24"/>
          <w:szCs w:val="24"/>
        </w:rPr>
        <w:t>VI.  DISCUSSION</w:t>
      </w:r>
    </w:p>
    <w:p>
      <w:pPr>
        <w:pStyle w:val="Normal"/>
        <w:spacing w:lineRule="atLeast" w:line="280" w:before="80" w:after="40"/>
        <w:rPr>
          <w:rFonts w:ascii="Times New Roman" w:hAnsi="Times New Roman" w:cs="Times New Roman"/>
        </w:rPr>
      </w:pPr>
      <w:r>
        <w:rPr>
          <w:rFonts w:eastAsia="Times New Roman" w:cs="Times New Roman"/>
          <w:i/>
          <w:iCs/>
          <w:color w:val="000000"/>
          <w:sz w:val="20"/>
          <w:szCs w:val="20"/>
        </w:rPr>
        <w:t>A.  Sensitivity Analysis Interpretation</w:t>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The sensitivity analysis addresses a common concern with hybrid intelligent MPPT controllers: that reported gains come from over-fitting to specific simulation conditions. Three regimes appear. For α &lt; 0.20 the LSTM is weighted too lightly to overcome plain P&amp;O’s reactive latency, and gains stay marginal (0.8–2.5 pp). In the band α ∈ [0.20, 0.55] the controller sits in a stable plateau. The LSTM component lifts performance and the P&amp;O component keeps over-reliance on imperfect predictions in check, giving 6.4 pp on clear days and 23.3 pp on monsoon days (Table III). For α &gt; 0.60 prediction errors increasingly dominate and efficiency falls. In practice the controller withstands a ±50% symmetric variation in α around the optimum (plateau half-width 0.175 on a 0.35 optimum; full plateau Δα = 0.35 from 0.20 to 0.55).</w:t>
      </w:r>
    </w:p>
    <w:p>
      <w:pPr>
        <w:pStyle w:val="Normal"/>
        <w:spacing w:lineRule="atLeast" w:line="280" w:before="80" w:after="40"/>
        <w:rPr>
          <w:rFonts w:ascii="Times New Roman" w:hAnsi="Times New Roman" w:cs="Times New Roman"/>
        </w:rPr>
      </w:pPr>
      <w:r>
        <w:rPr>
          <w:rFonts w:eastAsia="Times New Roman" w:cs="Times New Roman"/>
          <w:i/>
          <w:iCs/>
          <w:color w:val="000000"/>
          <w:sz w:val="20"/>
          <w:szCs w:val="20"/>
        </w:rPr>
        <w:t>B.  Cost-Benefit Analysis</w:t>
      </w:r>
    </w:p>
    <w:p>
      <w:pPr>
        <w:pStyle w:val="Normal"/>
        <w:spacing w:lineRule="atLeast" w:line="280" w:before="0" w:after="100"/>
        <w:jc w:val="both"/>
        <w:rPr>
          <w:rFonts w:ascii="Times New Roman" w:hAnsi="Times New Roman" w:cs="Times New Roman"/>
        </w:rPr>
      </w:pPr>
      <w:r>
        <w:t>Fig. 19 presents the component cost breakdown. The estimated controller component cost is approximately 1,750 BDT (USD 16), comprising ESP32-S3 (380 BDT), STM32F103 (120 BDT), INA219 (80 BDT), BH1750 (120 BDT), buck converter passives (350 BDT), PCB and housing (280 BDT), assembly (250 BDT), and miscellaneous connectors (170 BDT). This represents an 87% reduction versus IDCOL-compatible commercial MPPT controllers (13,500 BDT), consistent with published cost analyses of stand-alone solar home systems in developing countries [35].</w:t>
      </w:r>
    </w:p>
    <w:p>
      <w:pPr>
        <w:pStyle w:val="Normal"/>
        <w:spacing w:lineRule="atLeast" w:line="280" w:before="0" w:after="100"/>
        <w:jc w:val="both"/>
        <w:rPr>
          <w:rFonts w:ascii="Times New Roman" w:hAnsi="Times New Roman" w:cs="Times New Roman"/>
        </w:rPr>
        <w:keepNext w:val="1"/>
        <w:keepLines w:val="1"/>
      </w:pPr>
      <w:r>
        <w:drawing>
          <wp:inline xmlns:a="http://schemas.openxmlformats.org/drawingml/2006/main">
            <wp:extent cx="3187700" cy="1418424"/>
            <wp:docPr id="32" name="Picture 32"/>
            <wp:cNvGraphicFramePr>
              <a:graphicFrameLocks noChangeAspect="1"/>
            </wp:cNvGraphicFramePr>
            <a:graphic>
              <a:graphicData uri="http://schemas.openxmlformats.org/drawingml/2006/picture">
                <pic:pic>
                  <pic:nvPicPr>
                    <pic:cNvPr id="0" name="fig16_bom.png"/>
                    <pic:cNvPicPr/>
                  </pic:nvPicPr>
                  <pic:blipFill>
                    <a:blip r:embed="rId46"/>
                    <a:stretch>
                      <a:fillRect/>
                    </a:stretch>
                  </pic:blipFill>
                  <pic:spPr>
                    <a:xfrm>
                      <a:off x="0" y="0"/>
                      <a:ext cx="3187700" cy="1418424"/>
                    </a:xfrm>
                    <a:prstGeom prst="rect"/>
                  </pic:spPr>
                </pic:pic>
              </a:graphicData>
            </a:graphic>
          </wp:inline>
        </w:drawing>
      </w:r>
    </w:p>
    <w:p>
      <w:pPr>
        <w:pStyle w:val="Normal"/>
        <w:spacing w:lineRule="atLeast" w:line="280" w:before="0" w:after="100"/>
        <w:jc w:val="both"/>
        <w:rPr>
          <w:rFonts w:ascii="Times New Roman" w:hAnsi="Times New Roman" w:cs="Times New Roman"/>
        </w:rPr>
      </w:pPr>
      <w:r>
        <w:t>Fig. 20.  BOM breakdown and cost comparison. Total 1,750 BDT — 87% below IDCOL-compatible commercial MPPT (Dhaka retail, Q1 2026).</w:t>
      </w:r>
    </w:p>
    <w:p>
      <w:pPr>
        <w:pStyle w:val="Normal"/>
        <w:spacing w:lineRule="atLeast" w:line="280" w:before="80" w:after="40"/>
        <w:rPr>
          <w:rFonts w:ascii="Times New Roman" w:hAnsi="Times New Roman" w:cs="Times New Roman"/>
        </w:rPr>
      </w:pPr>
      <w:r>
        <w:rPr>
          <w:rFonts w:eastAsia="Times New Roman" w:cs="Times New Roman"/>
          <w:i/>
          <w:iCs/>
          <w:color w:val="000000"/>
          <w:sz w:val="20"/>
          <w:szCs w:val="20"/>
        </w:rPr>
        <w:t>C.  Limitations and Future Work</w:t>
      </w:r>
    </w:p>
    <w:p>
      <w:pPr>
        <w:pStyle w:val="Normal"/>
        <w:spacing w:lineRule="atLeast" w:line="280" w:before="0" w:after="100"/>
        <w:jc w:val="both"/>
        <w:rPr>
          <w:rFonts w:ascii="Times New Roman" w:hAnsi="Times New Roman" w:cs="Times New Roman"/>
        </w:rPr>
      </w:pPr>
      <w:r>
        <w:rPr/>
        <w:t>Limitations of this study include the brief field campaign (4 usable days), single-location validation (Sylhet only), sensor-grade (BH1750) rather than pyranometer-grade irradiance measurements, the restriction of all analysis to a single climatic zone (Sylhet) meaning generalisation to Bangladesh’s other solar zones (northwest, central, coastal) requires similar field campaigns in each region, and the absence of full hardware-in-the-loop validation of the controller firmware with real irradiance profiles. Direct efficiency comparison against fuzzy-logic, ANFIS, and PSO-based MPPT implementations under identical conditions is deferred to future hardware-in-the-loop work, as no open implementation for the target microcontroller class was available; the comparisons reported here (plain P&amp;O, VS-P&amp;O, INC) share identical simulator conditions. In addition, the execution-time measurement of Section V covers the Helios side only; the STM32F103C8T6 receive, parse and PWM-update latency and the physical end-to-end latency across the UART link remain to be instrumented.</w:t>
      </w:r>
    </w:p>
    <w:p>
      <w:pPr>
        <w:pStyle w:val="Normal"/>
        <w:rPr/>
      </w:pPr>
      <w:r>
        <w:rPr/>
        <w:t>Several directions for future work arise from this study. First, extended field deployment (≥3 months) with a calibrated reference cell should be undertaken, enabling both LSTM retraining on measured field irradiance (Path A) and full hardware-in-the-loop MPPT validation under natural irradiance (Path B). Second, on-device retraining was demonstrated on the ESP32-S3 N16R8 (8 MB PSRAM, 8.4 MB free after model load) by fine-tuning the final Dense layer of the 32-unit LSTM (4,385 parameters, 17 kB) on a 30-day 720-sample ring buffer for 5 epochs at 1e-4 (Adam). The live probe (N=400, 240 MHz, PSRAM qio_opi) achieved 766 ms for the 5-epoch update and improved MAE from 54.68 to 52.10 W/m2 (4.7% improvement, 2.58 W/m2) on the Year-2 hold-out, as shown in Fig. 19. This confirms the architecture can acquire, buffer, and retrain locally without cloud dependency. Third, deployment across multiple IDCOL SHS installations spanning Bangladesh’s four solar climatic zones would address the single-location limitation. Fourth, the BH1750 irradiance sensor should be upgraded to a thermopile pyranometer for absolute accuracy, and the sensor saturation issue (affecting 2.6% of daytime readings) should be eliminated through an extended measurement range. Fifth, the closed-loop latency chain from irradiance sample to PWM edge will be measured end to end with the Artemis (STM32F103C8T6) board instrumented, closing the remaining gap in Table V.</w:t>
      </w:r>
    </w:p>
    <w:p>
      <w:pPr>
        <w:jc w:val="center"/>
      </w:pPr>
      <w:r>
        <w:drawing>
          <wp:inline xmlns:a="http://schemas.openxmlformats.org/drawingml/2006/main">
            <wp:extent cx="2709545" cy="1685780"/>
            <wp:docPr id="37" name="Picture 37"/>
            <wp:cNvGraphicFramePr>
              <a:graphicFrameLocks noChangeAspect="1"/>
            </wp:cNvGraphicFramePr>
            <a:graphic>
              <a:graphicData uri="http://schemas.openxmlformats.org/drawingml/2006/picture">
                <pic:pic>
                  <pic:nvPicPr>
                    <pic:cNvPr id="0" name="retraining_demo.png"/>
                    <pic:cNvPicPr/>
                  </pic:nvPicPr>
                  <pic:blipFill>
                    <a:blip r:embed="rId68"/>
                    <a:stretch>
                      <a:fillRect/>
                    </a:stretch>
                  </pic:blipFill>
                  <pic:spPr>
                    <a:xfrm>
                      <a:off x="0" y="0"/>
                      <a:ext cx="2709545" cy="1685780"/>
                    </a:xfrm>
                    <a:prstGeom prst="rect"/>
                  </pic:spPr>
                </pic:pic>
              </a:graphicData>
            </a:graphic>
          </wp:inline>
        </w:drawing>
      </w:r>
    </w:p>
    <w:p>
      <w:pPr>
        <w:jc w:val="center"/>
      </w:pPr>
      <w:r>
        <w:t>Fig. 21. On-device retraining on ESP32-S3 N16R8 (8 MB PSRAM): 30-day 720-sample ring buffer, 5 epochs at 1e-4, last-layer only (33 params). MAE 54.68 to 52.10 W/m2 (4.7% improvement) on Year-2 hold-out. Model 17 kB, ring buffer 2.9 kB, 766 ms total.</w:t>
      </w:r>
    </w:p>
    <w:p>
      <w:pPr>
        <w:pStyle w:val="Heading2"/>
        <w:rPr/>
      </w:pPr>
      <w:r>
        <w:rPr/>
        <w:t>D.  Partial Shading Considerations</w:t>
      </w:r>
    </w:p>
    <w:p>
      <w:pPr>
        <w:pStyle w:val="Normal"/>
        <w:rPr/>
      </w:pPr>
      <w:r>
        <w:rPr/>
        <w:t>Partial shading is a separate problem for MPPT in SHS deployments: uneven illumination across a PV module creates multiple local P–V maxima that can trap plain P&amp;O at a sub-optimal point [6],[36]. Shading losses in mono-Si modules can reach 35–50% under 50% coverage, and bypass-diode activation creates voltage plateaus that further degrade tracking accuracy [36]. Machine-learning trackers [18], hybrid optimisation [37], and nature-inspired variants [36] mitigate shading losses more effectively; reinforcement-learning agents [19] have been applied to MPPT under variable irradiance, but their computational demands rule them out for low-cost SHS controllers. The Helios-Artemis design could handle partial shading by using the ESP32-S3 for periodic global-scan sweeps during low-irradiance periods while Artemis keeps P&amp;O tracking in normal operation, a hybrid strategy that uses the dual-MCU split.</w:t>
      </w:r>
    </w:p>
    <w:p>
      <w:pPr>
        <w:pStyle w:val="Normal"/>
        <w:spacing w:lineRule="atLeast" w:line="280" w:before="200" w:after="60"/>
        <w:rPr>
          <w:rFonts w:ascii="Times New Roman" w:hAnsi="Times New Roman" w:cs="Times New Roman"/>
        </w:rPr>
      </w:pPr>
      <w:r>
        <w:rPr>
          <w:rFonts w:eastAsia="Times New Roman" w:cs="Times New Roman"/>
          <w:b/>
          <w:bCs/>
          <w:color w:val="000000"/>
          <w:sz w:val="24"/>
          <w:szCs w:val="24"/>
        </w:rPr>
        <w:t>VII.  CONCLUSION</w:t>
      </w:r>
      <w:bookmarkStart w:id="0" w:name="_GoBack"/>
      <w:bookmarkEnd w:id="0"/>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This paper presented Helios-Artemis, a dual-MCU LSTM-assisted MPPT controller for cost-effective, cloud-independent deployment in off-grid PV installations in Sylhet, Bangladesh. The architecture decouples LSTM-based irradiance forecasting (Helios, ESP32-S3) from real-time P&amp;O control (Artemis, STM32F103), communicating via 100 ms UART. A 4-unit gain scheduler adaptively blends the predictive and reactive voltage references using cloud-transient-aware directional weighting. The synthetic irradiance model (Markov+OU, parameterised from NASA POWER and SREDA data) was validated against 42 hours of field logger data collected in Sylhet (Jul 10–13), with ramp-rate dispersion consistent with the brief monsoon field window (σ=39.7 vs 17.0 W/m²/min).</w:t>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Monte Carlo simulation over 30 stochastic July days gives mean tracking efficiency η = 94.0% (σ = 0.6%) for the proposed LSTM-P&amp;O controller, consistent with 93–96% across independent re-derivations, a 23.3-percentage-point improvement over plain P&amp;O (70.7%) and 8.8 pp over VS-P&amp;O (85.2%) under monsoon irradiance variability. The LSTM predictor reaches R² = 0.835 with daytime MAE = 54.7 W/m² on an independent synthetic Year-2 test set. The parametric sensitivity analysis shows the performance gains hold across α ∈ [0.20, 0.55], which addresses concern about parameter over-fitting. The estimated controller component cost of ~1,750 BDT (USD 16) sits 87% below commercial IDCOL-compatible MPPT controllers. Pattern-validated simulation indicates the proposed controller should deliver substantial monsoon-season benefit for IDCOL SHS installations. On a measured monsoon day, the tracker held 90.2% efficiency in the highest-variability windows against 67.8% for fixed-step P&amp;O, confirming the transient-loss mechanism on real irradiance (Fig. 13).</w:t>
      </w:r>
    </w:p>
    <w:p>
      <w:pPr>
        <w:pStyle w:val="Normal"/>
        <w:spacing w:lineRule="atLeast" w:line="280" w:before="0" w:after="100"/>
        <w:jc w:val="both"/>
        <w:rPr>
          <w:rFonts w:ascii="Times New Roman" w:hAnsi="Times New Roman" w:cs="Times New Roman"/>
        </w:rPr>
      </w:pPr>
      <w:r>
        <w:rPr>
          <w:rFonts w:eastAsia="Times New Roman" w:cs="Times New Roman"/>
          <w:color w:val="000000"/>
          <w:sz w:val="20"/>
          <w:szCs w:val="20"/>
        </w:rPr>
        <w:t>Limitations of this study include the brief field campaign (4 usable days), single-location validation, sensor-grade (BH1750) rather than pyranometer-grade irradiance measurements, and the absence of full hardware-in-the-loop validation. Future work should target extended deployment (≥3 months) with a calibrated reference cell, enabling both LSTM retraining on measured data and hardware validation under natural irradiance. On-device retraining was demonstrated via last-layer fine-tuning on the ESP32-S3 (see Section VI.C and Fig. 19), confirming the dual-MCU design supports local adaptation.</w:t>
      </w:r>
    </w:p>
    <w:p>
      <w:pPr>
        <w:pStyle w:val="Normal"/>
        <w:keepNext/>
        <w:spacing w:lineRule="atLeast" w:line="280" w:before="80" w:after="40"/>
        <w:rPr>
          <w:rFonts w:ascii="Times New Roman" w:hAnsi="Times New Roman" w:cs="Times New Roman"/>
        </w:rPr>
      </w:pPr>
      <w:r>
        <w:rPr>
          <w:rFonts w:ascii="Times New Roman" w:hAnsi="Times New Roman" w:eastAsia="Times New Roman" w:cs="Times New Roman"/>
          <w:color w:val="000000"/>
          <w:sz w:val="20"/>
          <w:szCs w:val="20"/>
          <w:b/>
          <w:bCs/>
        </w:rPr>
        <w:t>Funding Information</w:t>
      </w:r>
    </w:p>
    <w:p>
      <w:pPr>
        <w:pStyle w:val="Normal"/>
        <w:spacing w:lineRule="atLeast" w:line="280" w:before="0" w:after="100"/>
        <w:jc w:val="both"/>
        <w:rPr>
          <w:rFonts w:ascii="Times New Roman" w:hAnsi="Times New Roman" w:cs="Times New Roman"/>
        </w:rPr>
      </w:pPr>
      <w:r>
        <w:rPr>
          <w:rFonts w:ascii="Times New Roman" w:hAnsi="Times New Roman" w:eastAsia="Times New Roman" w:cs="Times New Roman"/>
          <w:color w:val="000000"/>
          <w:sz w:val="20"/>
          <w:szCs w:val="20"/>
        </w:rPr>
        <w:t>This research received no external funding.</w:t>
      </w:r>
    </w:p>
    <w:p>
      <w:pPr>
        <w:pStyle w:val="Normal"/>
        <w:keepNext/>
        <w:spacing w:lineRule="atLeast" w:line="280" w:before="80" w:after="40"/>
        <w:rPr>
          <w:rFonts w:ascii="Times New Roman" w:hAnsi="Times New Roman" w:cs="Times New Roman"/>
        </w:rPr>
      </w:pPr>
      <w:r>
        <w:rPr>
          <w:rFonts w:ascii="Times New Roman" w:hAnsi="Times New Roman" w:eastAsia="Times New Roman" w:cs="Times New Roman"/>
          <w:color w:val="000000"/>
          <w:sz w:val="20"/>
          <w:szCs w:val="20"/>
          <w:b/>
          <w:bCs/>
        </w:rPr>
        <w:t>Conflict of Interest Statement</w:t>
      </w:r>
    </w:p>
    <w:p>
      <w:pPr>
        <w:pStyle w:val="Normal"/>
        <w:spacing w:lineRule="atLeast" w:line="280" w:before="0" w:after="100"/>
        <w:jc w:val="both"/>
        <w:rPr>
          <w:rFonts w:ascii="Times New Roman" w:hAnsi="Times New Roman" w:cs="Times New Roman"/>
        </w:rPr>
      </w:pPr>
      <w:r>
        <w:rPr>
          <w:rFonts w:ascii="Times New Roman" w:hAnsi="Times New Roman" w:eastAsia="Times New Roman" w:cs="Times New Roman"/>
          <w:color w:val="000000"/>
          <w:sz w:val="20"/>
          <w:szCs w:val="20"/>
        </w:rPr>
        <w:t>The authors declare no conflict of interest.</w:t>
      </w:r>
    </w:p>
    <w:p>
      <w:pPr>
        <w:pStyle w:val="Normal"/>
        <w:keepNext/>
        <w:spacing w:lineRule="atLeast" w:line="280" w:before="80" w:after="40"/>
        <w:rPr>
          <w:rFonts w:ascii="Times New Roman" w:hAnsi="Times New Roman" w:cs="Times New Roman"/>
        </w:rPr>
      </w:pPr>
      <w:r>
        <w:rPr>
          <w:rFonts w:ascii="Times New Roman" w:hAnsi="Times New Roman" w:eastAsia="Times New Roman" w:cs="Times New Roman"/>
          <w:color w:val="000000"/>
          <w:sz w:val="20"/>
          <w:szCs w:val="20"/>
          <w:b/>
          <w:bCs/>
        </w:rPr>
        <w:t>Author Contributions Statement</w:t>
      </w:r>
    </w:p>
    <w:p>
      <w:pPr>
        <w:pStyle w:val="Normal"/>
        <w:spacing w:lineRule="atLeast" w:line="280" w:before="0" w:after="100"/>
        <w:jc w:val="both"/>
        <w:rPr>
          <w:rFonts w:ascii="Times New Roman" w:hAnsi="Times New Roman" w:cs="Times New Roman"/>
        </w:rPr>
      </w:pPr>
      <w:r>
        <w:rPr>
          <w:rFonts w:ascii="Times New Roman" w:hAnsi="Times New Roman" w:eastAsia="Times New Roman" w:cs="Times New Roman"/>
          <w:color w:val="000000"/>
          <w:sz w:val="20"/>
          <w:szCs w:val="20"/>
        </w:rPr>
        <w:t>Conceptualisation, H.T.S.; methodology, H.T.S.; software, H.T.S.; validation, H.T.S.; formal analysis, H.T.S.; investigation, H.T.S.; resources, H.T.S.; data curation, H.T.S.; hardware validation and field deployment, O.C.; writing—original draft preparation, H.T.S.; writing—review and editing, H.T.S.; supervision, H.T.S.; project administration, H.T.S.</w:t>
      </w:r>
    </w:p>
    <w:p>
      <w:pPr>
        <w:pStyle w:val="Normal"/>
        <w:keepNext/>
        <w:spacing w:lineRule="atLeast" w:line="280" w:before="80" w:after="40"/>
        <w:rPr>
          <w:rFonts w:ascii="Times New Roman" w:hAnsi="Times New Roman" w:cs="Times New Roman"/>
        </w:rPr>
      </w:pPr>
      <w:r>
        <w:rPr>
          <w:rFonts w:ascii="Times New Roman" w:hAnsi="Times New Roman" w:eastAsia="Times New Roman" w:cs="Times New Roman"/>
          <w:color w:val="000000"/>
          <w:sz w:val="20"/>
          <w:szCs w:val="20"/>
          <w:b/>
          <w:bCs/>
        </w:rPr>
        <w:t>Data Availability Statement</w:t>
      </w:r>
    </w:p>
    <w:p>
      <w:pPr>
        <w:pStyle w:val="Normal"/>
        <w:spacing w:lineRule="atLeast" w:line="280" w:before="0" w:after="100"/>
        <w:jc w:val="both"/>
        <w:rPr>
          <w:rFonts w:ascii="Times New Roman" w:hAnsi="Times New Roman" w:cs="Times New Roman"/>
        </w:rPr>
      </w:pPr>
      <w:r>
        <w:rPr>
          <w:rFonts w:ascii="Times New Roman" w:hAnsi="Times New Roman" w:eastAsia="Times New Roman" w:cs="Times New Roman"/>
          <w:color w:val="000000"/>
          <w:sz w:val="20"/>
          <w:szCs w:val="20"/>
        </w:rPr>
        <w:t>This study combines simulation with a short field-logger validation campaign. The synthetic irradiance dataset was generated using a parametric Markov-chain + Ornstein-Uhlenbeck model parameterised from NASA POWER and SREDA publicly available data; the model’s short-timescale dynamics were validated against 42 h of BH1750 field measurements collected in Sylhet (Jul 10–13, 2026). Simulation code, field data, and figure generation scripts are available from https://github.com/touhidsiddiqueeraj-bit/artemis-helios. Also available by scanning the QR Code.</w:t>
      </w:r>
    </w:p>
    <w:p>
      <w:pPr>
        <w:pStyle w:val="Normal"/>
        <w:spacing w:lineRule="atLeast" w:line="280" w:before="0" w:after="100"/>
        <w:jc w:val="both"/>
        <w:rPr>
          <w:rFonts w:ascii="Times New Roman" w:hAnsi="Times New Roman" w:cs="Times New Roman"/>
          <w:color w:val="000000"/>
        </w:rPr>
        <w:keepNext w:val="1"/>
        <w:keepLines w:val="1"/>
      </w:pPr>
      <w:r>
        <w:rPr>
          <w:rFonts w:cs="Times New Roman"/>
          <w:color w:val="000000"/>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2296160" cy="2296160"/>
            <wp:effectExtent l="0" t="0" r="0" b="0"/>
            <wp:wrapTopAndBottom/>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pic:cNvPicPr>
                      <a:picLocks noChangeAspect="1" noChangeArrowheads="1"/>
                    </pic:cNvPicPr>
                  </pic:nvPicPr>
                  <pic:blipFill>
                    <a:blip r:embed="rId17"/>
                    <a:stretch>
                      <a:fillRect/>
                    </a:stretch>
                  </pic:blipFill>
                  <pic:spPr bwMode="auto">
                    <a:xfrm>
                      <a:off x="0" y="0"/>
                      <a:ext cx="2296160" cy="2296160"/>
                    </a:xfrm>
                    <a:prstGeom prst="rect">
                      <a:avLst/>
                    </a:prstGeom>
                    <a:noFill/>
                  </pic:spPr>
                </pic:pic>
              </a:graphicData>
            </a:graphic>
          </wp:anchor>
        </w:drawing>
      </w:r>
    </w:p>
    <w:p>
      <w:pPr>
        <w:pStyle w:val="Normal"/>
        <w:spacing w:lineRule="atLeast" w:line="280" w:before="0" w:after="100"/>
        <w:jc w:val="both"/>
        <w:rPr>
          <w:rFonts w:ascii="Times New Roman" w:hAnsi="Times New Roman" w:cs="Times New Roman"/>
        </w:rPr>
      </w:pPr>
      <w:r>
        <w:t>Fig. 22.  QR  Code for Github Repo</w:t>
      </w:r>
    </w:p>
    <w:p>
      <w:pPr>
        <w:pStyle w:val="Heading1"/>
        <w:rPr/>
      </w:pPr>
      <w:r>
        <w:rPr/>
        <w:t>ACKNOWLEDGEMENTS</w:t>
      </w:r>
    </w:p>
    <w:p>
      <w:pPr>
        <w:pStyle w:val="Normal"/>
        <w:rPr/>
      </w:pPr>
      <w:r>
        <w:rPr/>
        <w:t>The authors thank the Infrastructure Development Company Limited (IDCOL) for providing contextual data on SHS deployment specifications. The field data collection campaign was conducted with logistical support from the Department of Electrical and Electronic Engineering, Leading University, Sylhet.</w:t>
      </w:r>
    </w:p>
    <w:p>
      <w:pPr>
        <w:pStyle w:val="Normal"/>
        <w:spacing w:lineRule="atLeast" w:line="280" w:before="160" w:after="60"/>
        <w:rPr>
          <w:rFonts w:ascii="Times New Roman" w:hAnsi="Times New Roman" w:cs="Times New Roman"/>
        </w:rPr>
      </w:pPr>
      <w:r>
        <w:rPr>
          <w:rFonts w:eastAsia="Times New Roman" w:cs="Times New Roman"/>
          <w:b/>
          <w:bCs/>
          <w:color w:val="000000"/>
          <w:sz w:val="24"/>
          <w:szCs w:val="24"/>
        </w:rPr>
        <w:t>REFERENCES</w:t>
      </w:r>
    </w:p>
    <w:p>
      <w:pPr>
        <w:pStyle w:val="Normal"/>
        <w:rPr/>
      </w:pPr>
      <w:r>
        <w:rPr/>
        <w:t>[1] J. U. Ahmed, N. Talukder, and A. Ahmed, ‘Infrastructure Development Company Limited solar home system program: a sustainable solution for energizing rural Bangladesh,’ South Asian Journal of Business and Management Cases, vol. 9, no. 2, pp. 219–236, 2020.</w:t>
      </w:r>
    </w:p>
    <w:p>
      <w:pPr>
        <w:pStyle w:val="Normal"/>
        <w:rPr/>
      </w:pPr>
      <w:r>
        <w:rPr/>
        <w:t>[2] M. A. G. de Brito, L. Galotto, L. P. Sampaio, G. de Azevedo e Melo, and C. A. Canesin, ‘Evaluation of the main MPPT techniques for photovoltaic applications,’ IEEE Trans. Ind. Electron., vol. 60, no. 3, pp. 1156–1167, Mar. 2013.</w:t>
      </w:r>
    </w:p>
    <w:p>
      <w:pPr>
        <w:pStyle w:val="Normal"/>
        <w:rPr/>
      </w:pPr>
      <w:r>
        <w:rPr/>
        <w:t>[3] A. R. Reisi, M. H. Moradi, and S. Jamasb, ‘Classification and comparison of maximum power point tracking techniques for photovoltaic system: A review,’ Renew. Sustain. Energy Rev., vol. 19, pp. 433–443, Mar. 2013.</w:t>
      </w:r>
    </w:p>
    <w:p>
      <w:pPr>
        <w:pStyle w:val="Normal"/>
        <w:rPr/>
      </w:pPr>
      <w:r>
        <w:rPr/>
        <w:t>[4] B. Subudhi and R. Pradhan, ‘A comparative study on maximum power point tracking techniques for photovoltaic power systems,’ IEEE Trans. Sustain. Energy, vol. 4, no. 1, pp. 89–98, Jan. 2013.</w:t>
      </w:r>
    </w:p>
    <w:p>
      <w:pPr>
        <w:pStyle w:val="Normal"/>
        <w:spacing w:lineRule="atLeast" w:line="260" w:before="0" w:after="60"/>
        <w:ind w:hanging="360" w:start="360"/>
        <w:jc w:val="both"/>
        <w:rPr>
          <w:rFonts w:ascii="Times New Roman" w:hAnsi="Times New Roman" w:cs="Times New Roman"/>
        </w:rPr>
      </w:pPr>
      <w:r>
        <w:rPr/>
        <w:t>[5] N. Femia, G. Petrone, G. Spagnuolo, and M. Vitelli, "Optimization of perturb and observe MPPT method," IEEE Trans. Power Electron., vol. 20, no. 4, pp. 963–973, Jul. 2005.</w:t>
      </w:r>
    </w:p>
    <w:p>
      <w:pPr>
        <w:pStyle w:val="Normal"/>
        <w:rPr/>
      </w:pPr>
      <w:r>
        <w:rPr/>
        <w:t>[6] R. Alik and A. Jusoh, ‘An enhanced P&amp;O checking algorithm MPPT for high tracking efficiency of partially shaded PV module,’ Sol. Energy, vol. 163, pp. 570–580, Mar. 2018.</w:t>
      </w:r>
    </w:p>
    <w:p>
      <w:pPr>
        <w:pStyle w:val="Normal"/>
        <w:spacing w:lineRule="atLeast" w:line="260" w:before="0" w:after="60"/>
        <w:ind w:hanging="360" w:start="360"/>
        <w:jc w:val="both"/>
        <w:rPr>
          <w:rFonts w:ascii="Times New Roman" w:hAnsi="Times New Roman" w:cs="Times New Roman"/>
        </w:rPr>
      </w:pPr>
      <w:r>
        <w:rPr/>
        <w:t>[7] D. Sera et al., "On the Perturb-and-Observe and Incremental Conductance MPPT Methods for PV Systems," IEEE J. Photovolt., vol. 3, no. 3, pp. 1070–1078, Jul. 2013.</w:t>
      </w:r>
    </w:p>
    <w:p>
      <w:pPr>
        <w:pStyle w:val="Normal"/>
        <w:rPr/>
      </w:pPr>
      <w:r>
        <w:rPr/>
        <w:t>[8] S. Pengcheng and Q. Jiawei, ‘Research on maximum power point tracking based on LSTM neural network,’ in 2021 4th Int. Conf. Adv. Electron. Mater. Comput. Softw. Eng. (AEMCSE), IEEE, 2021, pp. 866–869.</w:t>
      </w:r>
    </w:p>
    <w:p>
      <w:pPr>
        <w:pStyle w:val="Normal"/>
        <w:spacing w:lineRule="atLeast" w:line="260" w:before="0" w:after="60"/>
        <w:ind w:hanging="360" w:start="360"/>
        <w:jc w:val="both"/>
        <w:rPr>
          <w:rFonts w:ascii="Times New Roman" w:hAnsi="Times New Roman" w:cs="Times New Roman"/>
        </w:rPr>
      </w:pPr>
      <w:r>
        <w:rPr/>
        <w:t>[9] K. A. D. C. P. Bandara, R. M. K. M. Rathnayake, R. M. A. K. Rathnayake, et al., ‘LSTM-based MPPT algorithm for efficient energy harvesting of a solar PV system under different operating conditions,’ Electronics, vol. 13, no. 24, art. 4875, 2024.</w:t>
      </w:r>
    </w:p>
    <w:p>
      <w:pPr>
        <w:pStyle w:val="Normal"/>
        <w:spacing w:lineRule="atLeast" w:line="260" w:before="0" w:after="60"/>
        <w:ind w:hanging="360" w:start="360"/>
        <w:jc w:val="both"/>
        <w:rPr>
          <w:rFonts w:ascii="Times New Roman" w:hAnsi="Times New Roman" w:cs="Times New Roman"/>
        </w:rPr>
      </w:pPr>
      <w:r>
        <w:rPr/>
        <w:t>[10] N. E. Michael, S. Hasan, A. Al-Durra, and M. Mishra, ‘Short-term solar irradiance forecasting based on a novel Bayesian optimized deep long short-term memory neural network,’ Applied Energy, vol. 324, art. 119727, 2022.</w:t>
      </w:r>
    </w:p>
    <w:p>
      <w:pPr>
        <w:pStyle w:val="Normal"/>
        <w:rPr/>
      </w:pPr>
      <w:r>
        <w:rPr/>
        <w:t>[11] T. Aziz and S. Chowdhury, ‘Performance evaluation of off-grid solar photovoltaic installations in Bangladesh,’ Cleaner Environmental Systems, vol. 2, art. 100003, 2021.</w:t>
      </w:r>
    </w:p>
    <w:p>
      <w:pPr>
        <w:pStyle w:val="Normal"/>
        <w:rPr/>
      </w:pPr>
      <w:r>
        <w:rPr/>
        <w:t>[12] S. Boubaker, ‘Predictive maximum power point tracking techniques for photovoltaic systems: a review,’ Discover Energy, vol. 3, art. 14, 2023.</w:t>
      </w:r>
    </w:p>
    <w:p>
      <w:pPr>
        <w:pStyle w:val="Normal"/>
        <w:rPr/>
      </w:pPr>
      <w:r>
        <w:rPr/>
        <w:t>[13] Q. A. Aldulaimi and I. Çevik, ‘A comparative analysis of ANFIS-based MPPT for photovoltaic systems under various operating conditions,’ Electronics, vol. 14, no. 13, art. 2649, 2025.</w:t>
      </w:r>
    </w:p>
    <w:p>
      <w:pPr>
        <w:pStyle w:val="Normal"/>
        <w:spacing w:lineRule="atLeast" w:line="260" w:before="0" w:after="60"/>
        <w:ind w:hanging="360" w:start="360"/>
        <w:jc w:val="both"/>
        <w:rPr>
          <w:rFonts w:ascii="Times New Roman" w:hAnsi="Times New Roman" w:cs="Times New Roman"/>
        </w:rPr>
      </w:pPr>
      <w:r>
        <w:rPr/>
        <w:t>[14] D. Mazumdar, P. K. Biswas, and C. Sain, "Harnessing deep learning for enhanced MPPT in solar PV systems: an LSTM approach using real-world data," Eng. Proc. (MDPI), vol. 5, no. 4, art. no. 42, Nov. 2024. doi: 10.3390/engproc2024005042.</w:t>
      </w:r>
    </w:p>
    <w:p>
      <w:pPr>
        <w:pStyle w:val="Normal"/>
        <w:rPr/>
      </w:pPr>
      <w:r>
        <w:rPr/>
        <w:t>[15] A. Agga, A. Abbou, M. Labbadi, Y. El Houm, and I. H. O. Ali, ‘CNN-LSTM: an efficient hybrid deep learning architecture for predicting short-term photovoltaic power production,’ Electric Power Systems Research, vol. 208, art. 107908, 2022.</w:t>
      </w:r>
    </w:p>
    <w:p>
      <w:pPr>
        <w:pStyle w:val="Normal"/>
        <w:spacing w:lineRule="atLeast" w:line="260" w:before="0" w:after="60"/>
        <w:ind w:hanging="360" w:start="360"/>
        <w:jc w:val="both"/>
        <w:rPr>
          <w:rFonts w:ascii="Times New Roman" w:hAnsi="Times New Roman" w:cs="Times New Roman"/>
        </w:rPr>
      </w:pPr>
      <w:r>
        <w:rPr/>
        <w:t>[16] N. I. Sarkar, ‘A review of maximum power point tracking techniques for solar energy conversion systems,’ Renewables, vol. 3, no. 1, art. 8, 2016.</w:t>
      </w:r>
    </w:p>
    <w:p>
      <w:pPr>
        <w:pStyle w:val="Normal"/>
        <w:rPr/>
      </w:pPr>
      <w:r>
        <w:rPr/>
        <w:t>[17] P. Kumari and D. Toshniwal, ‘Deep learning models for solar irradiance forecasting: a comprehensive review,’ Journal of Cleaner Production, vol. 318, art. 128566, 2021.</w:t>
      </w:r>
    </w:p>
    <w:p>
      <w:pPr>
        <w:pStyle w:val="Normal"/>
        <w:spacing w:lineRule="atLeast" w:line="260" w:before="0" w:after="60"/>
        <w:ind w:hanging="360" w:start="360"/>
        <w:jc w:val="both"/>
        <w:rPr>
          <w:rFonts w:ascii="Times New Roman" w:hAnsi="Times New Roman" w:cs="Times New Roman"/>
        </w:rPr>
      </w:pPr>
      <w:r>
        <w:rPr/>
        <w:t>[18] T. Hiyama and K. Kitabayashi, "Neural network based estimation of maximum power generation from PV module," IEEE Trans. Energy Convers., vol. 12, no. 3, pp. 241–247, 1997.</w:t>
      </w:r>
    </w:p>
    <w:p>
      <w:pPr>
        <w:pStyle w:val="Normal"/>
        <w:rPr/>
      </w:pPr>
      <w:r>
        <w:rPr/>
        <w:t>[19] P. Kofinas, S. Doltsinis, A. I. Dounis, and G. A. Vouros, ‘A reinforcement learning approach for MPPT control method of photovoltaic sources,’ Renewable Energy, vol. 108, pp. 461–473, 2017.</w:t>
      </w:r>
    </w:p>
    <w:p>
      <w:pPr>
        <w:pStyle w:val="Normal"/>
        <w:spacing w:lineRule="atLeast" w:line="260" w:before="0" w:after="60"/>
        <w:ind w:hanging="360" w:start="360"/>
        <w:jc w:val="both"/>
        <w:rPr>
          <w:rFonts w:ascii="Times New Roman" w:hAnsi="Times New Roman" w:cs="Times New Roman"/>
        </w:rPr>
      </w:pPr>
      <w:r>
        <w:rPr/>
        <w:t>[20] NASA POWER Project, "Prediction of Worldwide Energy Resources," NASA Langley Research Center, 2024. [Online]. Available: https://power.larc.nasa.gov</w:t>
      </w:r>
    </w:p>
    <w:p>
      <w:pPr>
        <w:pStyle w:val="Normal"/>
        <w:spacing w:lineRule="atLeast" w:line="260" w:before="0" w:after="60"/>
        <w:ind w:hanging="360" w:start="360"/>
        <w:jc w:val="both"/>
        <w:rPr>
          <w:rFonts w:ascii="Times New Roman" w:hAnsi="Times New Roman" w:cs="Times New Roman"/>
        </w:rPr>
      </w:pPr>
      <w:r>
        <w:rPr/>
        <w:t>[21] SREDA/World Bank, Bangladesh Solar and Wind Resource Mapping. Dhaka, Bangladesh: SREDA, 2019.</w:t>
      </w:r>
    </w:p>
    <w:p>
      <w:pPr>
        <w:pStyle w:val="Normal"/>
        <w:spacing w:lineRule="atLeast" w:line="260" w:before="0" w:after="60"/>
        <w:ind w:hanging="360" w:start="360"/>
        <w:jc w:val="both"/>
        <w:rPr>
          <w:rFonts w:ascii="Times New Roman" w:hAnsi="Times New Roman" w:cs="Times New Roman"/>
        </w:rPr>
      </w:pPr>
      <w:r>
        <w:rPr/>
        <w:t>[22] M. A. Hossion, ‘Analysis of 1-year energy data of a 5 kW and a 122 kW rooftop photovoltaic installation in Dhaka,’ Energy Harvesting and Systems, vol. 11, no. 1, art. 20230089, 2024.</w:t>
      </w:r>
    </w:p>
    <w:p>
      <w:pPr>
        <w:pStyle w:val="Normal"/>
        <w:rPr/>
      </w:pPr>
      <w:r>
        <w:rPr/>
        <w:t>[23] A. Cabraal, W. A. Ward, V. S. Bogach, and A. Jain, Living in the Light: The Bangladesh Solar Home Systems Story, World Bank Group, Washington, DC, 2021.</w:t>
      </w:r>
    </w:p>
    <w:p>
      <w:pPr>
        <w:pStyle w:val="Normal"/>
        <w:rPr/>
      </w:pPr>
      <w:r>
        <w:rPr/>
        <w:t>[24] S. A. Sarker, S. Wang, K. M. M. Adnan, et al., ‘Economic viability and socio-environmental impacts of solar home systems for off-grid rural electrification in Bangladesh,’ Energies, vol. 13, no. 3, art. 679, 2020.</w:t>
      </w:r>
    </w:p>
    <w:p>
      <w:pPr>
        <w:pStyle w:val="Normal"/>
        <w:rPr/>
      </w:pPr>
      <w:r>
        <w:rPr/>
        <w:t>[25] S. Chakrabarty and T. Islam, ‘Financial viability and eco-efficiency of the solar home systems (SHS) in Bangladesh,’ Energy, vol. 36, no. 8, pp. 4821–4827, 2011.</w:t>
      </w:r>
    </w:p>
    <w:p>
      <w:pPr>
        <w:pStyle w:val="Normal"/>
        <w:rPr/>
      </w:pPr>
      <w:r>
        <w:rPr/>
        <w:t>[26] S. A. Chowdhury, M. Mourshed, S. M. R. Kabir, et al., ‘Technical appraisal of solar home systems in Bangladesh: a field investigation,’ Renewable Energy, vol. 36, no. 2, pp. 772–778, 2011.</w:t>
      </w:r>
    </w:p>
    <w:p>
      <w:pPr>
        <w:pStyle w:val="Normal"/>
        <w:rPr/>
      </w:pPr>
      <w:r>
        <w:rPr/>
        <w:t>[27] I. Khan, ‘Impacts of energy decentralization viewed through the lens of the energy cultures framework: solar home systems in the developing economies,’ Renewable and Sustainable Energy Reviews, vol. 119, art. 109576, 2020.</w:t>
      </w:r>
    </w:p>
    <w:p>
      <w:pPr>
        <w:pStyle w:val="Normal"/>
        <w:rPr/>
      </w:pPr>
      <w:r>
        <w:rPr/>
        <w:t>[28] M. A. Saim, M. T. Ahammed, and I. Khan, ‘Technical barriers and user challenges toward sustainable energy solutions in remote rural areas of Bangladesh,’ Energy Reports, vol. 13, pp. 3745–3759, 2025.</w:t>
      </w:r>
    </w:p>
    <w:p>
      <w:pPr>
        <w:pStyle w:val="Normal"/>
        <w:rPr/>
      </w:pPr>
      <w:r>
        <w:rPr/>
        <w:t>[29] S. B. Amin, M. I. Chowdhury, S. M. A. Ehsan, and S. M. Z. Iqbal, ‘Solar energy and natural disasters: exploring household coping mechanisms, capacity, and resilience in Bangladesh,’ Energy Research and Social Science, vol. 79, art. 102190, 2021.</w:t>
      </w:r>
    </w:p>
    <w:p>
      <w:pPr>
        <w:pStyle w:val="Normal"/>
        <w:rPr/>
      </w:pPr>
      <w:r>
        <w:rPr/>
        <w:t>[30] A. Diallo and R. Moussa, ‘The effects of solar home system on welfare in off-grid areas: evidence from Côte d’Ivoire,’ Energy, vol. 194, art. 116835, 2020.</w:t>
      </w:r>
    </w:p>
    <w:p>
      <w:pPr>
        <w:pStyle w:val="Normal"/>
        <w:rPr/>
      </w:pPr>
      <w:r>
        <w:rPr/>
        <w:t>[31] G. M. Masters, Renewable and Efficient Electric Power Systems, 2nd ed. Hoboken, NJ, USA: Wiley, 2013.</w:t>
      </w:r>
    </w:p>
    <w:p>
      <w:pPr>
        <w:pStyle w:val="Normal"/>
        <w:spacing w:lineRule="atLeast" w:line="260" w:before="0" w:after="60"/>
        <w:ind w:hanging="360" w:start="360"/>
        <w:jc w:val="both"/>
        <w:rPr>
          <w:rFonts w:ascii="Times New Roman" w:hAnsi="Times New Roman" w:cs="Times New Roman"/>
        </w:rPr>
      </w:pPr>
      <w:r>
        <w:rPr/>
        <w:t>[32] B. Lave and J. Kleissl, "Solar variability of four sites across the state of Colorado," Renew. Energy, vol. 35, no. 12, pp. 2867–2873, Dec. 2010.</w:t>
      </w:r>
    </w:p>
    <w:p>
      <w:pPr>
        <w:pStyle w:val="Normal"/>
        <w:spacing w:lineRule="atLeast" w:line="260" w:before="0" w:after="60"/>
        <w:ind w:hanging="360" w:start="360"/>
        <w:jc w:val="both"/>
        <w:rPr>
          <w:rFonts w:ascii="Times New Roman" w:hAnsi="Times New Roman" w:cs="Times New Roman"/>
        </w:rPr>
      </w:pPr>
      <w:r>
        <w:rPr/>
        <w:t>[33] K. S. Tey and S. Mekhilef, "Modified incremental conductance MPPT algorithm to mitigate inaccurate responses under fast-changing irradiation," Sol. Energy, vol. 101, pp. 333–342, 2014.</w:t>
      </w:r>
    </w:p>
    <w:p>
      <w:pPr>
        <w:pStyle w:val="Normal"/>
        <w:spacing w:lineRule="atLeast" w:line="260" w:before="0" w:after="60"/>
        <w:ind w:hanging="360" w:start="360"/>
        <w:jc w:val="both"/>
        <w:rPr>
          <w:rFonts w:ascii="Times New Roman" w:hAnsi="Times New Roman" w:cs="Times New Roman"/>
        </w:rPr>
      </w:pPr>
      <w:r>
        <w:rPr/>
        <w:t>[34] T. Esram and P. L. Chapman, "Comparison of photovoltaic array MPPT techniques," IEEE Trans. Energy Convers., vol. 22, no. 2, pp. 439–449, Jun. 2007.</w:t>
      </w:r>
    </w:p>
    <w:p>
      <w:pPr>
        <w:pStyle w:val="Normal"/>
        <w:rPr/>
      </w:pPr>
      <w:r>
        <w:rPr/>
        <w:t>[35] C. A. Hossain, N. Chowdhury, M. Longo, and W. Yaici, ‘System and cost analysis of stand-alone solar home system applied to a developing country,’ Sustainability, vol. 11, no. 5, art. 1403, 2019.</w:t>
      </w:r>
    </w:p>
    <w:p>
      <w:pPr>
        <w:pStyle w:val="Normal"/>
        <w:rPr/>
      </w:pPr>
      <w:r>
        <w:rPr/>
        <w:t>[36] M. J. Alshareef, ‘An effective falcon optimization algorithm based MPPT under partial shaded photovoltaic systems,’ IEEE Access, vol. 10, pp. 131345–131360, 2022.</w:t>
      </w:r>
    </w:p>
    <w:p>
      <w:pPr>
        <w:pStyle w:val="Normal"/>
        <w:rPr/>
      </w:pPr>
      <w:r>
        <w:rPr/>
        <w:t>[37] H. A. Sher, A. F. Murtaza, A. Noman, K. E. Addoweesh, K. Al-Haddad, and M. Chiaberge, ‘A new sensorless hybrid MPPT algorithm based on fractional short-circuit current measurement and P&amp;O MPPT,’ IEEE Trans. Sustain. Energy, vol. 6, no. 4, pp. 1426–1434, Oct. 2015.</w:t>
      </w:r>
    </w:p>
    <w:p>
      <w:pPr>
        <w:pStyle w:val="Heading1"/>
        <w:rPr/>
      </w:pPr>
      <w:r>
        <w:rPr/>
        <w:t>AUTHOR BIOGRAPHIES</w:t>
      </w:r>
    </w:p>
    <w:tbl>
      <w:tblPr>
        <w:tblW w:w="10466" w:type="dxa"/>
        <w:tblLayout w:type="fixed"/>
        <w:tblBorders>
          <w:top w:val="single"/>
          <w:left w:val="single"/>
          <w:bottom w:val="single"/>
          <w:right w:val="single"/>
          <w:insideH w:val="single"/>
          <w:insideV w:val="single"/>
        </w:tblBorders>
      </w:tblPr>
      <w:tblGrid>
        <w:gridCol w:w="1600"/>
        <w:gridCol w:w="8866"/>
      </w:tblGrid>
      <w:tr>
        <w:tc>
          <w:tcPr>
            <w:tcW w:w="1600" w:type="dxa"/>
            <w:vAlign w:val="center"/>
          </w:tcPr>
          <w:p>
            <w:r>
              <w:drawing>
                <wp:inline xmlns:a="http://schemas.openxmlformats.org/drawingml/2006/main">
                  <wp:extent cx="914400" cy="1372686"/>
                  <wp:docPr id="29" name="Picture 29"/>
                  <wp:cNvGraphicFramePr>
                    <a:graphicFrameLocks noChangeAspect="1"/>
                  </wp:cNvGraphicFramePr>
                  <a:graphic>
                    <a:graphicData uri="http://schemas.openxmlformats.org/drawingml/2006/picture">
                      <pic:pic>
                        <pic:nvPicPr>
                          <pic:cNvPr id="0" name="bio_hts.png"/>
                          <pic:cNvPicPr/>
                        </pic:nvPicPr>
                        <pic:blipFill>
                          <a:blip r:embed="rId41"/>
                          <a:stretch>
                            <a:fillRect/>
                          </a:stretch>
                        </pic:blipFill>
                        <pic:spPr>
                          <a:xfrm>
                            <a:off x="0" y="0"/>
                            <a:ext cx="914400" cy="1372686"/>
                          </a:xfrm>
                          <a:prstGeom prst="rect"/>
                        </pic:spPr>
                      </pic:pic>
                    </a:graphicData>
                  </a:graphic>
                </wp:inline>
              </w:drawing>
            </w:r>
          </w:p>
        </w:tc>
        <w:tc>
          <w:tcPr>
            <w:tcW w:w="8866" w:type="dxa"/>
            <w:vAlign w:val="center"/>
          </w:tcPr>
        </w:tc>
      </w:tr>
    </w:tbl>
    <w:p>
      <w:pPr>
        <w:pStyle w:val="Normal"/>
        <w:spacing w:lineRule="atLeast" w:line="280" w:before="0" w:after="100"/>
        <w:jc w:val="both"/>
        <w:rPr>
          <w:rFonts w:ascii="Times New Roman" w:hAnsi="Times New Roman" w:cs="Times New Roman"/>
        </w:rPr>
      </w:pPr>
      <w:r>
        <w:t xml:space="preserve">Hussain Touhid Siddiquee is currently working as a Researcher and Embedded Systems Engineer affiliated with the Department of Electrical and Electronic Engineering (EEE) at Leading University, Sylhet, Bangladesh, where he completed his B.Sc. in Electrical and Electronic Engineering. His research and technical interests include embedded systems, machine learning pipelines, battery health and failure prediction, solar energy systems, and full-stack software development. He contributes to academic research initiatives and hardware–software integration projects, and is building a publication record targeting venues such as IEEE Access and WIECON-ECE ahead of his graduate studies. Professional profiles: Google Scholar: </w:t>
      </w:r>
      <w:hyperlink r:id="rId47">
        <w:r>
          <w:rPr>
            <w:color w:val="0563C1"/>
            <w:u w:val="single"/>
          </w:rPr>
          <w:t>profile</w:t>
        </w:r>
      </w:hyperlink>
      <w:r>
        <w:t xml:space="preserve"> | Publons: </w:t>
      </w:r>
      <w:hyperlink r:id="rId66">
        <w:r>
          <w:rPr>
            <w:color w:val="0563C1"/>
            <w:u w:val="single"/>
          </w:rPr>
          <w:t>profile</w:t>
        </w:r>
      </w:hyperlink>
      <w:r>
        <w:t xml:space="preserve"> | ORCID: </w:t>
      </w:r>
      <w:hyperlink r:id="rId48">
        <w:r>
          <w:rPr>
            <w:color w:val="0563C1"/>
            <w:u w:val="single"/>
          </w:rPr>
          <w:t>0009-0002-8804-6195</w:t>
        </w:r>
      </w:hyperlink>
    </w:p>
    <w:tbl>
      <w:tblPr>
        <w:tblW w:w="10466" w:type="dxa"/>
        <w:tblLayout w:type="fixed"/>
        <w:tblBorders>
          <w:top w:val="single"/>
          <w:left w:val="single"/>
          <w:bottom w:val="single"/>
          <w:right w:val="single"/>
          <w:insideH w:val="single"/>
          <w:insideV w:val="single"/>
        </w:tblBorders>
      </w:tblPr>
      <w:tblGrid>
        <w:gridCol w:w="1600"/>
        <w:gridCol w:w="8866"/>
      </w:tblGrid>
      <w:tr>
        <w:tc>
          <w:tcPr>
            <w:tcW w:w="1600" w:type="dxa"/>
            <w:vAlign w:val="center"/>
          </w:tcPr>
          <w:p>
            <w:r>
              <w:drawing>
                <wp:inline xmlns:a="http://schemas.openxmlformats.org/drawingml/2006/main">
                  <wp:extent cx="914400" cy="1372193"/>
                  <wp:docPr id="30" name="Picture 30"/>
                  <wp:cNvGraphicFramePr>
                    <a:graphicFrameLocks noChangeAspect="1"/>
                  </wp:cNvGraphicFramePr>
                  <a:graphic>
                    <a:graphicData uri="http://schemas.openxmlformats.org/drawingml/2006/picture">
                      <pic:pic>
                        <pic:nvPicPr>
                          <pic:cNvPr id="0" name="bio_oc.png"/>
                          <pic:cNvPicPr/>
                        </pic:nvPicPr>
                        <pic:blipFill>
                          <a:blip r:embed="rId42"/>
                          <a:stretch>
                            <a:fillRect/>
                          </a:stretch>
                        </pic:blipFill>
                        <pic:spPr>
                          <a:xfrm>
                            <a:off x="0" y="0"/>
                            <a:ext cx="914400" cy="1372193"/>
                          </a:xfrm>
                          <a:prstGeom prst="rect"/>
                        </pic:spPr>
                      </pic:pic>
                    </a:graphicData>
                  </a:graphic>
                </wp:inline>
              </w:drawing>
            </w:r>
          </w:p>
        </w:tc>
        <w:tc>
          <w:tcPr>
            <w:tcW w:w="8866" w:type="dxa"/>
            <w:vAlign w:val="center"/>
          </w:tcPr>
        </w:tc>
      </w:tr>
    </w:tbl>
    <w:p>
      <w:pPr>
        <w:pStyle w:val="Normal"/>
        <w:spacing w:lineRule="atLeast" w:line="280" w:before="0" w:after="100"/>
        <w:jc w:val="both"/>
        <w:rPr>
          <w:rFonts w:ascii="Times New Roman" w:hAnsi="Times New Roman" w:cs="Times New Roman"/>
        </w:rPr>
      </w:pPr>
      <w:r>
        <w:t xml:space="preserve">Orpon Chanda works as a Lab Assistant in the Department of Electrical and Electronic Engineering (EEE) at Leading University, Sylhet, Bangladesh, where he is pursuing his B.Sc. in Electrical and Electronic Engineering (Weekend Program). His research and technical interests include embedded systems, Internet of Things (IoT), robotics, sensor integration, and intelligent automation systems. He contributes to laboratory management, hardware validation, and departmental research initiatives. Professional profiles: Google Scholar: </w:t>
      </w:r>
      <w:hyperlink r:id="rId49">
        <w:r>
          <w:rPr>
            <w:color w:val="0563C1"/>
            <w:u w:val="single"/>
          </w:rPr>
          <w:t>profile</w:t>
        </w:r>
      </w:hyperlink>
      <w:r>
        <w:t xml:space="preserve"> | Publons: </w:t>
      </w:r>
      <w:hyperlink r:id="rId50">
        <w:r>
          <w:rPr>
            <w:color w:val="0563C1"/>
            <w:u w:val="single"/>
          </w:rPr>
          <w:t>profile</w:t>
        </w:r>
      </w:hyperlink>
      <w:r>
        <w:t xml:space="preserve"> | ORCID: </w:t>
      </w:r>
      <w:hyperlink r:id="rId51">
        <w:r>
          <w:rPr>
            <w:color w:val="0563C1"/>
            <w:u w:val="single"/>
          </w:rPr>
          <w:t>0009-0004-3062-4989</w:t>
        </w:r>
      </w:hyperlink>
    </w:p>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720" w:right="720" w:gutter="0" w:header="720" w:top="1417" w:footer="612" w:bottom="907"/>
      <w:pgNumType w:fmt="decimal"/>
      <w:cols w:num="2" w:space="426"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Pr>
        <w:sz w:val="16"/>
        <w:szCs w:val="16"/>
      </w:rPr>
      <w:t>10</w:t>
    </w:r>
    <w:r>
      <w:rPr>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Pr>
        <w:sz w:val="16"/>
        <w:szCs w:val="16"/>
      </w:rPr>
      <w:t>10</w:t>
    </w:r>
    <w:r>
      <w:rPr>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5B6"/>
      </w:pBdr>
      <w:jc w:val="center"/>
      <w:rPr/>
    </w:pPr>
    <w:r>
      <w:rPr>
        <w:i/>
        <w:iCs/>
        <w:color w:val="546E7A"/>
        <w:sz w:val="16"/>
        <w:szCs w:val="16"/>
      </w:rPr>
      <w:t>Helios-Artemis: Dual-MCU Predictive MPPT — Siddiquee, Leading University Sylhet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5B6"/>
      </w:pBdr>
      <w:jc w:val="center"/>
      <w:rPr/>
    </w:pPr>
    <w:r>
      <w:rPr>
        <w:i/>
        <w:iCs/>
        <w:color w:val="546E7A"/>
        <w:sz w:val="16"/>
        <w:szCs w:val="16"/>
      </w:rPr>
      <w:t>Helios-Artemis: Dual-MCU Predictive MPPT — Siddiquee, Leading University Sylhet</w:t>
    </w:r>
  </w:p>
</w:hdr>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qFormat/>
    <w:pPr>
      <w:widowControl/>
      <w:suppressAutoHyphens w:val="true"/>
      <w:bidi w:val="0"/>
      <w:spacing w:before="240" w:after="120"/>
      <w:jc w:val="start"/>
      <w:outlineLvl w:val="0"/>
    </w:pPr>
    <w:rPr>
      <w:rFonts w:ascii="Times New Roman" w:hAnsi="Times New Roman" w:eastAsia="Times New Roman" w:cs="Times New Roman"/>
      <w:b/>
      <w:bCs/>
      <w:color w:val="1A1A2E"/>
      <w:kern w:val="0"/>
      <w:sz w:val="22"/>
      <w:szCs w:val="22"/>
      <w:lang w:val="en-US" w:eastAsia="en-US" w:bidi="ar-SA"/>
    </w:rPr>
  </w:style>
  <w:style w:type="paragraph" w:styleId="Heading2">
    <w:name w:val="heading 2"/>
    <w:qFormat/>
    <w:pPr>
      <w:widowControl/>
      <w:suppressAutoHyphens w:val="true"/>
      <w:bidi w:val="0"/>
      <w:spacing w:before="160" w:after="80"/>
      <w:jc w:val="start"/>
      <w:outlineLvl w:val="1"/>
    </w:pPr>
    <w:rPr>
      <w:rFonts w:ascii="Times New Roman" w:hAnsi="Times New Roman" w:eastAsia="Times New Roman" w:cs="Times New Roman"/>
      <w:b/>
      <w:bCs/>
      <w:color w:val="1A1A2E"/>
      <w:kern w:val="0"/>
      <w:sz w:val="20"/>
      <w:szCs w:val="20"/>
      <w:lang w:val="en-US" w:eastAsia="en-US" w:bidi="ar-SA"/>
    </w:rPr>
  </w:style>
  <w:style w:type="paragraph" w:styleId="Heading3">
    <w:name w:val="heading 3"/>
    <w:qFormat/>
    <w:pPr>
      <w:widowControl/>
      <w:suppressAutoHyphens w:val="true"/>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qFormat/>
    <w:pPr>
      <w:widowControl/>
      <w:suppressAutoHyphens w:val="true"/>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qFormat/>
    <w:pPr>
      <w:widowControl/>
      <w:suppressAutoHyphens w:val="true"/>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NormalWeb">
    <w:name w:val="Normal (Web)"/>
    <w:basedOn w:val="Normal"/>
    <w:uiPriority w:val="99"/>
    <w:semiHidden/>
    <w:unhideWhenUsed/>
    <w:qFormat/>
    <w:rsid w:val="00223d99"/>
    <w:pPr>
      <w:spacing w:beforeAutospacing="1" w:afterAutospacing="1"/>
    </w:pPr>
    <w:rPr>
      <w:sz w:val="24"/>
      <w:szCs w:val="24"/>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13.png"/><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image" Target="media/image14.png"/><Relationship Id="rId15" Type="http://schemas.openxmlformats.org/officeDocument/2006/relationships/image" Target="media/image11.png"/><Relationship Id="rId16" Type="http://schemas.openxmlformats.org/officeDocument/2006/relationships/image" Target="media/image12.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hyperlink" Target="https://scholar.google.com/citations?user=O8UVIQUAAAAJ&amp;hl=en" TargetMode="External"/><Relationship Id="rId48" Type="http://schemas.openxmlformats.org/officeDocument/2006/relationships/hyperlink" Target="https://orcid.org/0009-0002-8804-6195" TargetMode="External"/><Relationship Id="rId49" Type="http://schemas.openxmlformats.org/officeDocument/2006/relationships/hyperlink" Target="https://scholar.google.com/citations?user=EYoY9JIAAAAJ" TargetMode="External"/><Relationship Id="rId50" Type="http://schemas.openxmlformats.org/officeDocument/2006/relationships/hyperlink" Target="https://www.webofscience.com/wos/author/record/QWC-0602-2026" TargetMode="External"/><Relationship Id="rId51" Type="http://schemas.openxmlformats.org/officeDocument/2006/relationships/hyperlink" Target="https://orcid.org/0009-0004-3062-4989" TargetMode="External"/><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hyperlink" Target="https://www.webofscience.com/wos/author/record/QWB-6957-2026" TargetMode="External"/><Relationship Id="rId67" Type="http://schemas.openxmlformats.org/officeDocument/2006/relationships/image" Target="media/image48.png"/><Relationship Id="rId68" Type="http://schemas.openxmlformats.org/officeDocument/2006/relationships/image" Target="media/image49.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LibreOffice/26.2.5.2$Linux_X86_64 LibreOffice_project/30643f3b95f81f04449dc87ba649cc313a42270e</Application>
  <AppVersion>15.0000</AppVersion>
  <Pages>10</Pages>
  <Words>6076</Words>
  <Characters>36125</Characters>
  <CharactersWithSpaces>41937</CharactersWithSpaces>
  <Paragraphs>225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2026-03-11T14:08:00Z</dcterms:created>
  <dc:creator>Un-named</dc:creator>
  <dc:description/>
  <dc:language>en-US</dc:language>
  <cp:lastModifiedBy/>
  <dcterms:modified xsi:type="dcterms:W3CDTF">2026-08-14T17:50:31Z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