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1"/>
        </w:pBdr>
        <w:spacing w:after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Helios-Artemis: Highlights and CRediT Authorship Contribution Statement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Highlights</w:t>
      </w:r>
    </w:p>
    <w:p>
      <w:r>
        <w:rPr>
          <w:rFonts w:ascii="Arial" w:cs="Arial" w:eastAsia="Arial" w:hAnsi="Arial"/>
          <w:color w:val="595959"/>
          <w:sz w:val="20"/>
          <w:szCs w:val="20"/>
        </w:rPr>
        <w:t xml:space="preserve">(5 bullet points, max 85 characters each, as required by Elsevier/IEEE submission guidelines)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Dual-MCU LSTM-P&amp;O MPPT raises monsoon tracking efficiency from 70.7% to 94.0%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On-device autonomous LSTM retraining — cloud-independent, 14-day cycles, zero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Parametric sensitivity analysis confirms stable gain plateau across α ∈ [0.20, 0.55]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Estimated build cost ~1,500 BDT; 89% below commercial MPPT with commercial MPPT controllers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Battery fully charges from 45% SoC within 13-hour monsoon solar window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CRediT Author Contribution Statement</w:t>
      </w:r>
    </w:p>
    <w:p>
      <w:r>
        <w:rPr>
          <w:rFonts w:ascii="Arial" w:cs="Arial" w:eastAsia="Arial" w:hAnsi="Arial"/>
          <w:color w:val="595959"/>
          <w:sz w:val="20"/>
          <w:szCs w:val="20"/>
        </w:rPr>
        <w:t xml:space="preserve">The CRediT (Contributor Roles Taxonomy) statement below follows the standard 14-role taxonomy as required by Elsevier, MDPI, Wiley, and many IEEE journals.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Hussain Touhid Siddiquee: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Conceptualisation: </w:t>
      </w:r>
      <w:r>
        <w:rPr>
          <w:rFonts w:ascii="Arial" w:cs="Arial" w:eastAsia="Arial" w:hAnsi="Arial"/>
          <w:sz w:val="22"/>
          <w:szCs w:val="22"/>
        </w:rPr>
        <w:t xml:space="preserve">Originated the Helios-Artemis dual-MCU architecture concept; identified the IDCOL monsoon MPPT yield gap as the primary research problem; formulated the cloud-independent autonomous retraining pipeline concept.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Methodology: </w:t>
      </w:r>
      <w:r>
        <w:rPr>
          <w:rFonts w:ascii="Arial" w:cs="Arial" w:eastAsia="Arial" w:hAnsi="Arial"/>
          <w:sz w:val="22"/>
          <w:szCs w:val="22"/>
        </w:rPr>
        <w:t>Designed the full simulation methodology including the four-state Markov-chain irradiance model, Monte Carlo validation framework (N = 30 trials per scenario), LSTM ablation study (16/32/64 units), and parametric sensitivity sweep of α ∈ [0.05, 0.75].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Software: </w:t>
      </w:r>
      <w:r>
        <w:rPr>
          <w:rFonts w:ascii="Arial" w:cs="Arial" w:eastAsia="Arial" w:hAnsi="Arial"/>
          <w:sz w:val="22"/>
          <w:szCs w:val="22"/>
        </w:rPr>
        <w:t xml:space="preserve">Implemented all simulation code in Python: synthetic irradiance generator, LSTM training/evaluation pipeline, P&amp;O / VS-P&amp;O / INC / PSO / GWO baseline controllers, buck converter model, CC/CV state machine, cost-benefit and battery life-cycle models.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Executed all simulation runs and Monte Carlo trials; validated buck converter efficiency model against component-level loss breakdown (Fig. 14); verified LSTM generalisation on the independent Year-2 test set (structurally distinct random seed).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 Analysis: </w:t>
      </w:r>
      <w:r>
        <w:rPr>
          <w:rFonts w:ascii="Arial" w:cs="Arial" w:eastAsia="Arial" w:hAnsi="Arial"/>
          <w:sz w:val="22"/>
          <w:szCs w:val="22"/>
        </w:rPr>
        <w:t xml:space="preserve">Performed sensitivity analysis across α ∈ [0.05, 0.75]; conducted ablation evaluation across LSTM architectures; executed error-distribution analysis (Fig. 8) and stability analysis under UART delay and sensor noise injection (Fig. 9).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Investigation: </w:t>
      </w:r>
      <w:r>
        <w:rPr>
          <w:rFonts w:ascii="Arial" w:cs="Arial" w:eastAsia="Arial" w:hAnsi="Arial"/>
          <w:sz w:val="22"/>
          <w:szCs w:val="22"/>
        </w:rPr>
        <w:t xml:space="preserve">Conducted literature review encompassing conventional MPPT, machine learning MPPT, and sensitivity analysis in hybrid intelligent controllers; benchmarked results against published LSTM GHI forecasting studies (Abdel-Basset et al., Liu et al., Mazumdar et al.).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Curation: </w:t>
      </w:r>
      <w:r>
        <w:rPr>
          <w:rFonts w:ascii="Arial" w:cs="Arial" w:eastAsia="Arial" w:hAnsi="Arial"/>
          <w:sz w:val="22"/>
          <w:szCs w:val="22"/>
        </w:rPr>
        <w:t xml:space="preserve">Generated and curated the synthetic irradiance dataset (Year 1: 365 days, seed = 137×day+500; Year 2: 365 days, seed = 251×day+9999) parameterised from NASA POWER and SREDA Sylhet data; prepared CSV irradiance profiles for archival.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Writing — Original Draft: </w:t>
      </w:r>
      <w:r>
        <w:rPr>
          <w:rFonts w:ascii="Arial" w:cs="Arial" w:eastAsia="Arial" w:hAnsi="Arial"/>
          <w:sz w:val="22"/>
          <w:szCs w:val="22"/>
        </w:rPr>
        <w:t xml:space="preserve">Authored all sections of the manuscript including introduction, literature review, system architecture, simulation methodology, results, discussion, conclusion, and supplementary captions.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Writing — Review and Editing: </w:t>
      </w:r>
      <w:r>
        <w:rPr>
          <w:rFonts w:ascii="Arial" w:cs="Arial" w:eastAsia="Arial" w:hAnsi="Arial"/>
          <w:sz w:val="22"/>
          <w:szCs w:val="22"/>
        </w:rPr>
        <w:t xml:space="preserve">Performed all subsequent manuscript revisions through v12; incorporated structural and technical corrections; prepared all figures and tables.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Visualisation: </w:t>
      </w:r>
      <w:r>
        <w:rPr>
          <w:rFonts w:ascii="Arial" w:cs="Arial" w:eastAsia="Arial" w:hAnsi="Arial"/>
          <w:sz w:val="22"/>
          <w:szCs w:val="22"/>
        </w:rPr>
        <w:t xml:space="preserve">Created all 15 figures and 5 tables appearing in the manuscript, including system architecture diagrams, efficiency comparison plots, sensitivity analysis figures, and economic analyses.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Administration: </w:t>
      </w:r>
      <w:r>
        <w:rPr>
          <w:rFonts w:ascii="Arial" w:cs="Arial" w:eastAsia="Arial" w:hAnsi="Arial"/>
          <w:sz w:val="22"/>
          <w:szCs w:val="22"/>
        </w:rPr>
        <w:t xml:space="preserve">Managed all aspects of the research project from concept through manuscript submission.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Funding Acquisition: </w:t>
      </w:r>
      <w:r>
        <w:rPr>
          <w:rFonts w:ascii="Arial" w:cs="Arial" w:eastAsia="Arial" w:hAnsi="Arial"/>
          <w:sz w:val="22"/>
          <w:szCs w:val="22"/>
        </w:rPr>
        <w:t xml:space="preserve">Not applicable — this research received no external funding.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Resources: </w:t>
      </w:r>
      <w:r>
        <w:rPr>
          <w:rFonts w:ascii="Arial" w:cs="Arial" w:eastAsia="Arial" w:hAnsi="Arial"/>
          <w:sz w:val="22"/>
          <w:szCs w:val="22"/>
        </w:rPr>
        <w:t xml:space="preserve">Not applicable — no laboratory equipment or external datasets beyond publicly available NASA POWER and SREDA data were used.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Supervision: </w:t>
      </w:r>
      <w:r>
        <w:rPr>
          <w:rFonts w:ascii="Arial" w:cs="Arial" w:eastAsia="Arial" w:hAnsi="Arial"/>
          <w:sz w:val="22"/>
          <w:szCs w:val="22"/>
        </w:rPr>
        <w:t xml:space="preserve">Not applicable at this stage — supervisor details are to be confirmed.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If a supervisor is added as a co-author prior to submission, their CRediT roles (typically Supervision, Funding Acquisition, Writing — Review and Editing) should be appended to this statement.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2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2026-03-07T23:29:22.703Z</dcterms:created>
  <dcterms:modified xsi:type="dcterms:W3CDTF">2026-03-07T23:29:22.703Z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