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395" w:rsidRDefault="00A77395">
      <w:pPr>
        <w:spacing w:after="80"/>
      </w:pPr>
    </w:p>
    <w:p w:rsidR="00A77395" w:rsidRDefault="00A77395">
      <w:pPr>
        <w:spacing w:after="80"/>
      </w:pPr>
    </w:p>
    <w:p w:rsidR="00A77395" w:rsidRDefault="00A77395">
      <w:pPr>
        <w:spacing w:after="80"/>
      </w:pPr>
    </w:p>
    <w:p w:rsidR="00A77395" w:rsidRDefault="00A77395">
      <w:pPr>
        <w:spacing w:after="80"/>
      </w:pPr>
    </w:p>
    <w:p w:rsidR="00A77395" w:rsidRDefault="00A036E9">
      <w:pPr>
        <w:spacing w:after="120"/>
        <w:jc w:val="center"/>
      </w:pPr>
      <w:r>
        <w:rPr>
          <w:b/>
          <w:bCs/>
          <w:color w:val="2B5FAD"/>
          <w:sz w:val="52"/>
          <w:szCs w:val="52"/>
        </w:rPr>
        <w:t>HELIOS-ARTEMIS</w:t>
      </w:r>
    </w:p>
    <w:p w:rsidR="00A77395" w:rsidRDefault="00A77395">
      <w:pPr>
        <w:spacing w:after="240"/>
        <w:jc w:val="center"/>
      </w:pPr>
    </w:p>
    <w:p w:rsidR="00A77395" w:rsidRDefault="00A77395">
      <w:pPr>
        <w:pBdr>
          <w:bottom w:val="single" w:sz="8" w:space="4" w:color="C9973A"/>
        </w:pBdr>
        <w:spacing w:after="240"/>
        <w:jc w:val="center"/>
      </w:pPr>
    </w:p>
    <w:p w:rsidR="00A77395" w:rsidRDefault="00A77395">
      <w:pPr>
        <w:spacing w:after="80"/>
      </w:pPr>
    </w:p>
    <w:p w:rsidR="00A77395" w:rsidRDefault="00A77395">
      <w:pPr>
        <w:spacing w:after="80"/>
      </w:pPr>
    </w:p>
    <w:p w:rsidR="00A77395" w:rsidRDefault="00A036E9">
      <w:pPr>
        <w:spacing w:after="100"/>
        <w:jc w:val="center"/>
      </w:pPr>
      <w:r>
        <w:rPr>
          <w:b/>
          <w:bCs/>
          <w:sz w:val="26"/>
          <w:szCs w:val="26"/>
        </w:rPr>
        <w:t xml:space="preserve">Hussain </w:t>
      </w:r>
      <w:proofErr w:type="spellStart"/>
      <w:r>
        <w:rPr>
          <w:b/>
          <w:bCs/>
          <w:sz w:val="26"/>
          <w:szCs w:val="26"/>
        </w:rPr>
        <w:t>Touhid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Siddiquee</w:t>
      </w:r>
      <w:proofErr w:type="spellEnd"/>
    </w:p>
    <w:p w:rsidR="00A77395" w:rsidRDefault="00A036E9">
      <w:pPr>
        <w:spacing w:after="80"/>
        <w:jc w:val="center"/>
      </w:pPr>
      <w:r>
        <w:rPr>
          <w:sz w:val="23"/>
          <w:szCs w:val="23"/>
        </w:rPr>
        <w:t>Dept. of Electrical &amp; Electronic Engineering</w:t>
      </w:r>
    </w:p>
    <w:p w:rsidR="00A77395" w:rsidRDefault="00A036E9">
      <w:pPr>
        <w:spacing w:after="80"/>
        <w:jc w:val="center"/>
      </w:pPr>
      <w:r>
        <w:rPr>
          <w:sz w:val="23"/>
          <w:szCs w:val="23"/>
        </w:rPr>
        <w:t>Leading University, Sylhet, Bangladesh</w:t>
      </w:r>
    </w:p>
    <w:p w:rsidR="00A77395" w:rsidRDefault="00A036E9">
      <w:pPr>
        <w:spacing w:after="80"/>
        <w:jc w:val="center"/>
      </w:pPr>
      <w:r>
        <w:rPr>
          <w:color w:val="666666"/>
          <w:sz w:val="23"/>
          <w:szCs w:val="23"/>
        </w:rPr>
        <w:t>2026</w:t>
      </w:r>
    </w:p>
    <w:p w:rsidR="00A77395" w:rsidRDefault="00A036E9">
      <w:r>
        <w:br w:type="page"/>
      </w:r>
    </w:p>
    <w:p w:rsidR="00A77395" w:rsidRDefault="00A036E9" w:rsidP="004A678B">
      <w:pPr>
        <w:pStyle w:val="Heading1"/>
        <w:numPr>
          <w:ilvl w:val="0"/>
          <w:numId w:val="4"/>
        </w:numPr>
        <w:pBdr>
          <w:bottom w:val="single" w:sz="8" w:space="4" w:color="C9973A"/>
        </w:pBdr>
        <w:spacing w:before="0"/>
      </w:pPr>
      <w:r>
        <w:lastRenderedPageBreak/>
        <w:t>The One-Paragraph Pitch</w:t>
      </w:r>
    </w:p>
    <w:p w:rsidR="004A678B" w:rsidRDefault="004A678B" w:rsidP="004A678B">
      <w:pPr>
        <w:pStyle w:val="Heading1"/>
        <w:pBdr>
          <w:bottom w:val="single" w:sz="8" w:space="4" w:color="C9973A"/>
        </w:pBdr>
        <w:spacing w:before="0"/>
        <w:rPr>
          <w:sz w:val="22"/>
          <w:szCs w:val="22"/>
        </w:rPr>
      </w:pPr>
      <w:r w:rsidRPr="004A678B">
        <w:rPr>
          <w:b w:val="0"/>
          <w:color w:val="auto"/>
          <w:sz w:val="20"/>
          <w:szCs w:val="22"/>
        </w:rPr>
        <w:t xml:space="preserve">The IDCOL </w:t>
      </w:r>
      <w:proofErr w:type="spellStart"/>
      <w:r w:rsidRPr="004A678B">
        <w:rPr>
          <w:b w:val="0"/>
          <w:color w:val="auto"/>
          <w:sz w:val="20"/>
          <w:szCs w:val="22"/>
        </w:rPr>
        <w:t>programme</w:t>
      </w:r>
      <w:proofErr w:type="spellEnd"/>
      <w:r w:rsidRPr="004A678B">
        <w:rPr>
          <w:b w:val="0"/>
          <w:color w:val="auto"/>
          <w:sz w:val="20"/>
          <w:szCs w:val="22"/>
        </w:rPr>
        <w:t xml:space="preserve"> has deployed solar home systems to 6 million+ rural Bangladeshi households, but conventional Perturb-and-Observe (P&amp;O) MPPT efficiency collapses from ~86% to 70.7% during Sylhet monsoon transients — a 15 pp loss. Helios-Artemis fixes this using a dual-MCU predictive controller: the ESP32-S3 (Helios) runs a 32-unit LSTM to forecast irradiance and pre-position the voltage reference, while the STM32F103 (Artemis) handles real-time 50 kHz power switching. The two communicate over UART every 100 </w:t>
      </w:r>
      <w:proofErr w:type="spellStart"/>
      <w:r w:rsidRPr="004A678B">
        <w:rPr>
          <w:b w:val="0"/>
          <w:color w:val="auto"/>
          <w:sz w:val="20"/>
          <w:szCs w:val="22"/>
        </w:rPr>
        <w:t>ms.</w:t>
      </w:r>
      <w:proofErr w:type="spellEnd"/>
      <w:r w:rsidRPr="004A678B">
        <w:rPr>
          <w:b w:val="0"/>
          <w:color w:val="auto"/>
          <w:sz w:val="20"/>
          <w:szCs w:val="22"/>
        </w:rPr>
        <w:t xml:space="preserve"> Simulation shows MPPT efficiency improving to 94.0±0.6% — a +23.3 pp gain — at a controller cost of ~1,500 BDT (USD 14), which is 89% below commercial alternatives. No internet or cloud required.</w:t>
      </w:r>
    </w:p>
    <w:p w:rsidR="004A678B" w:rsidRDefault="004A678B" w:rsidP="004A678B">
      <w:pPr>
        <w:pStyle w:val="Heading1"/>
        <w:pBdr>
          <w:bottom w:val="single" w:sz="8" w:space="4" w:color="C9973A"/>
        </w:pBdr>
        <w:spacing w:before="0"/>
      </w:pPr>
    </w:p>
    <w:p w:rsidR="00A77395" w:rsidRDefault="00A036E9">
      <w:pPr>
        <w:pStyle w:val="Heading1"/>
        <w:pBdr>
          <w:bottom w:val="single" w:sz="8" w:space="4" w:color="C9973A"/>
        </w:pBdr>
        <w:spacing w:before="0"/>
      </w:pPr>
      <w:r>
        <w:t>2. Core Concepts</w:t>
      </w:r>
    </w:p>
    <w:p w:rsidR="00A77395" w:rsidRDefault="00A036E9">
      <w:pPr>
        <w:pStyle w:val="Heading2"/>
      </w:pPr>
      <w:r>
        <w:t>2.1  What is MPPT?</w:t>
      </w:r>
    </w:p>
    <w:p w:rsidR="00A77395" w:rsidRDefault="00A036E9">
      <w:pPr>
        <w:spacing w:after="120"/>
      </w:pPr>
      <w:r>
        <w:t>A solar panel's output power varies with irradiance and temperature. At any given moment there is exactly one operating voltage — the Maximum Power Point — where power output is highest. MPPT tracking means continuously steering the converter to stay at that point.</w:t>
      </w:r>
    </w:p>
    <w:p w:rsidR="00A77395" w:rsidRDefault="00A036E9">
      <w:pPr>
        <w:pStyle w:val="ListParagraph"/>
        <w:numPr>
          <w:ilvl w:val="0"/>
          <w:numId w:val="3"/>
        </w:numPr>
        <w:spacing w:after="80"/>
      </w:pPr>
      <w:r>
        <w:t>At perfect tracking: controller extracts 100% of available power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 xml:space="preserve">Efficiency = </w:t>
      </w:r>
      <w:proofErr w:type="spellStart"/>
      <w:r>
        <w:t>P_actual</w:t>
      </w:r>
      <w:proofErr w:type="spellEnd"/>
      <w:r>
        <w:t xml:space="preserve"> ÷ P_MPP × 100%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The MPP shifts whenever clouds pass or temperature changes</w:t>
      </w:r>
    </w:p>
    <w:p w:rsidR="00A77395" w:rsidRDefault="00A77395">
      <w:pPr>
        <w:spacing w:after="80"/>
      </w:pPr>
    </w:p>
    <w:p w:rsidR="00A77395" w:rsidRDefault="00A036E9">
      <w:pPr>
        <w:pStyle w:val="Heading2"/>
      </w:pPr>
      <w:r>
        <w:t>2.2  Why Does P&amp;O Fail in Monsoon?</w:t>
      </w:r>
    </w:p>
    <w:p w:rsidR="00A77395" w:rsidRDefault="00A036E9">
      <w:pPr>
        <w:spacing w:after="120"/>
      </w:pPr>
      <w:r>
        <w:t>Perturb-and-Observe is the standard low-cost MPPT algorithm. Every cycle it nudges the voltage slightly and checks if power went up or down. The problem: it is reactive.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P&amp;O can only respond after irradiance has already changed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Under rapid cloud transients, it chases the wrong direction entirely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Result: efficiency drops from ~86% (clear sky) to 70.7% (Sylhet monsoon)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Variable-step P&amp;O (VS-P&amp;O) helps but doesn't fix the root problem — it's still reactive</w:t>
      </w:r>
    </w:p>
    <w:p w:rsidR="00A77395" w:rsidRDefault="00A77395">
      <w:pPr>
        <w:spacing w:after="80"/>
      </w:pPr>
    </w:p>
    <w:p w:rsidR="00A77395" w:rsidRDefault="00A036E9">
      <w:pPr>
        <w:pStyle w:val="Heading2"/>
      </w:pPr>
      <w:r>
        <w:t>2.3  What is LSTM and Why Use It Here?</w:t>
      </w:r>
    </w:p>
    <w:p w:rsidR="00A77395" w:rsidRDefault="00A036E9">
      <w:pPr>
        <w:spacing w:after="120"/>
      </w:pPr>
      <w:r>
        <w:t>Long Short-Term Memory is a type of neural network designed for sequential data. Unlike a basic model, it remembers patterns across time — exactly what you need for cloud forecasting.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 xml:space="preserve">Cloud patterns are </w:t>
      </w:r>
      <w:proofErr w:type="spellStart"/>
      <w:r>
        <w:t>autocorrelated</w:t>
      </w:r>
      <w:proofErr w:type="spellEnd"/>
      <w:r>
        <w:t>: a cloud 20 minutes away leaves a trail in recent irradiance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LSTM can predict irradiance 30 minutes ahead based on the past 24 hours of data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This lets Helios pre-position the voltage reference before the transient hits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Result: proactive control instead of reactive control</w:t>
      </w:r>
    </w:p>
    <w:p w:rsidR="00A77395" w:rsidRDefault="00A77395">
      <w:pPr>
        <w:spacing w:after="80"/>
      </w:pPr>
    </w:p>
    <w:p w:rsidR="00A77395" w:rsidRDefault="00A036E9">
      <w:pPr>
        <w:pStyle w:val="Heading2"/>
      </w:pPr>
      <w:r>
        <w:lastRenderedPageBreak/>
        <w:t>2.4  The Alpha Blend — How LSTM and P&amp;O Work Together</w:t>
      </w:r>
    </w:p>
    <w:p w:rsidR="00A77395" w:rsidRDefault="00A036E9">
      <w:pPr>
        <w:spacing w:after="120"/>
      </w:pPr>
      <w:r>
        <w:t>Rather than replacing P&amp;O with LSTM, the system blends them:</w:t>
      </w:r>
    </w:p>
    <w:p w:rsidR="00A77395" w:rsidRDefault="00A036E9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</w:rPr>
        <w:t>V_ref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= (1 − α) × V_P&amp;O  +  α × </w:t>
      </w:r>
      <w:proofErr w:type="spellStart"/>
      <w:r>
        <w:rPr>
          <w:rFonts w:ascii="Courier New" w:eastAsia="Courier New" w:hAnsi="Courier New" w:cs="Courier New"/>
          <w:b/>
          <w:bCs/>
        </w:rPr>
        <w:t>V_LSTM_prediction</w:t>
      </w:r>
      <w:proofErr w:type="spellEnd"/>
    </w:p>
    <w:p w:rsidR="00A77395" w:rsidRDefault="00A036E9">
      <w:pPr>
        <w:spacing w:after="120"/>
      </w:pPr>
      <w:r>
        <w:t>α controls how much you trust the LSTM. The table below shows what different values mean:</w:t>
      </w:r>
    </w:p>
    <w:p w:rsidR="00A77395" w:rsidRDefault="00A77395">
      <w:pPr>
        <w:spacing w:after="8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4559"/>
        <w:gridCol w:w="3301"/>
      </w:tblGrid>
      <w:tr w:rsidR="00A77395">
        <w:trPr>
          <w:tblHeader/>
        </w:trPr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α Range</w:t>
            </w:r>
          </w:p>
        </w:tc>
        <w:tc>
          <w:tcPr>
            <w:tcW w:w="4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What Happens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Result</w:t>
            </w:r>
          </w:p>
        </w:tc>
      </w:tr>
      <w:tr w:rsidR="00A77395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α &lt; 0.20</w:t>
            </w:r>
          </w:p>
        </w:tc>
        <w:tc>
          <w:tcPr>
            <w:tcW w:w="4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LSTM barely influences control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Near plain P&amp;O performance</w:t>
            </w:r>
          </w:p>
        </w:tc>
      </w:tr>
      <w:tr w:rsidR="00A77395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:rsidR="00A77395" w:rsidRDefault="00A036E9">
            <w:r>
              <w:rPr>
                <w:b/>
                <w:bCs/>
                <w:sz w:val="21"/>
                <w:szCs w:val="21"/>
              </w:rPr>
              <w:t>α = 0.20 to 0.55</w:t>
            </w:r>
          </w:p>
        </w:tc>
        <w:tc>
          <w:tcPr>
            <w:tcW w:w="4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OPTIMAL ZONE — LSTM helps, P&amp;O prevents over-reliance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+5–6 pp clear days, +23–24 pp monsoon</w:t>
            </w:r>
          </w:p>
        </w:tc>
      </w:tr>
      <w:tr w:rsidR="00A77395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α &gt; 0.60</w:t>
            </w:r>
          </w:p>
        </w:tc>
        <w:tc>
          <w:tcPr>
            <w:tcW w:w="4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LSTM dominates; its errors drag efficiency down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Performance degrades</w:t>
            </w:r>
          </w:p>
        </w:tc>
      </w:tr>
    </w:tbl>
    <w:p w:rsidR="00A77395" w:rsidRDefault="00A77395">
      <w:pPr>
        <w:spacing w:after="80"/>
      </w:pPr>
    </w:p>
    <w:p w:rsidR="00A77395" w:rsidRDefault="00A036E9">
      <w:pPr>
        <w:spacing w:after="120"/>
      </w:pPr>
      <w:r>
        <w:t xml:space="preserve">The optimal value is α = 0.35. The stable plateau spans Δα = 0.35, meaning the system tolerates ±50% variation — it is not </w:t>
      </w:r>
      <w:proofErr w:type="spellStart"/>
      <w:r>
        <w:t>overfit</w:t>
      </w:r>
      <w:proofErr w:type="spellEnd"/>
      <w:r>
        <w:t xml:space="preserve"> to a single value.</w:t>
      </w:r>
    </w:p>
    <w:p w:rsidR="00A77395" w:rsidRDefault="00A77395">
      <w:pPr>
        <w:spacing w:after="80"/>
      </w:pPr>
    </w:p>
    <w:p w:rsidR="00A77395" w:rsidRDefault="00A036E9">
      <w:pPr>
        <w:pStyle w:val="Heading2"/>
      </w:pPr>
      <w:r>
        <w:t>2.5  Why Simulate Instead of Building Hardware?</w:t>
      </w:r>
    </w:p>
    <w:p w:rsidR="00A77395" w:rsidRDefault="00A036E9">
      <w:pPr>
        <w:spacing w:after="120"/>
      </w:pPr>
      <w:r>
        <w:t>The study is entirely simulation-based — a deliberate sequencing choice, not a shortcut: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Hardware fabrication in Sylhet requires procurement, PCB fabrication, and field site access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Simulation allows full parametric exploration: 30-day Monte Carlo, α sensitivity sweep, architecture ablation — impossible to replicate cheaply in hardware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 xml:space="preserve">The simulation is </w:t>
      </w:r>
      <w:proofErr w:type="spellStart"/>
      <w:r>
        <w:t>parameterised</w:t>
      </w:r>
      <w:proofErr w:type="spellEnd"/>
      <w:r>
        <w:t xml:space="preserve"> from NASA POWER and SREDA real climatological data for Sylhet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Hardware prototype fabrication is the confirmed next phase, target Q3 2026</w:t>
      </w:r>
    </w:p>
    <w:p w:rsidR="00A77395" w:rsidRDefault="00A036E9">
      <w:r>
        <w:br w:type="page"/>
      </w:r>
    </w:p>
    <w:p w:rsidR="00A77395" w:rsidRDefault="00A036E9">
      <w:pPr>
        <w:pStyle w:val="Heading1"/>
        <w:pBdr>
          <w:bottom w:val="single" w:sz="8" w:space="4" w:color="C9973A"/>
        </w:pBdr>
        <w:spacing w:before="0"/>
      </w:pPr>
      <w:r>
        <w:lastRenderedPageBreak/>
        <w:t>3. System Architecture</w:t>
      </w:r>
    </w:p>
    <w:p w:rsidR="00A77395" w:rsidRDefault="00A036E9">
      <w:pPr>
        <w:pStyle w:val="Heading2"/>
      </w:pPr>
      <w:r>
        <w:t>3.1  Big Picture: Two MCUs, One Controller</w:t>
      </w:r>
    </w:p>
    <w:p w:rsidR="00A77395" w:rsidRDefault="00A036E9">
      <w:pPr>
        <w:spacing w:after="120"/>
      </w:pPr>
      <w:r>
        <w:t>The key architectural insight is decoupling intelligence from real-time control. LSTM inference takes milliseconds — if this ran on the same MCU as the switching control, it would cause jitter in the 50 kHz loop.</w:t>
      </w:r>
    </w:p>
    <w:p w:rsidR="00A77395" w:rsidRDefault="00A77395">
      <w:pPr>
        <w:spacing w:after="80"/>
      </w:pPr>
    </w:p>
    <w:tbl>
      <w:tblPr>
        <w:tblW w:w="936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395">
        <w:tc>
          <w:tcPr>
            <w:tcW w:w="9360" w:type="dxa"/>
            <w:tcBorders>
              <w:top w:val="single" w:sz="6" w:space="0" w:color="2B5FAD"/>
              <w:left w:val="single" w:sz="6" w:space="0" w:color="2B5FAD"/>
              <w:bottom w:val="single" w:sz="2" w:space="0" w:color="CCCCCC"/>
              <w:right w:val="single" w:sz="2" w:space="0" w:color="CCCCCC"/>
            </w:tcBorders>
            <w:shd w:val="clear" w:color="auto" w:fill="FFF8E7"/>
          </w:tcPr>
          <w:p w:rsidR="00A77395" w:rsidRDefault="00A036E9">
            <w:pPr>
              <w:spacing w:after="80"/>
            </w:pPr>
            <w:r>
              <w:rPr>
                <w:b/>
                <w:bCs/>
                <w:color w:val="2B5FAD"/>
              </w:rPr>
              <w:t>Architecture Rule</w:t>
            </w:r>
          </w:p>
          <w:p w:rsidR="00A77395" w:rsidRDefault="00A036E9">
            <w:pPr>
              <w:spacing w:after="80"/>
            </w:pPr>
            <w:r>
              <w:rPr>
                <w:b/>
                <w:bCs/>
                <w:color w:val="000000"/>
              </w:rPr>
              <w:t xml:space="preserve">Helios (ESP32-S3)  →  Brain: </w:t>
            </w:r>
            <w:r>
              <w:t>LSTM inference, irradiance sensing, SD logging, browser retraining</w:t>
            </w:r>
          </w:p>
          <w:p w:rsidR="00A77395" w:rsidRDefault="00A036E9">
            <w:pPr>
              <w:spacing w:after="80"/>
            </w:pPr>
            <w:r>
              <w:rPr>
                <w:b/>
                <w:bCs/>
                <w:color w:val="000000"/>
              </w:rPr>
              <w:t xml:space="preserve">Artemis (STM32F103)  →  Muscle: </w:t>
            </w:r>
            <w:r>
              <w:t>50 kHz PWM switching, P&amp;O MPPT, battery charging (CC/CV)</w:t>
            </w:r>
          </w:p>
          <w:p w:rsidR="00A77395" w:rsidRDefault="00A036E9">
            <w:r>
              <w:rPr>
                <w:b/>
                <w:bCs/>
                <w:color w:val="000000"/>
              </w:rPr>
              <w:t xml:space="preserve">UART link  →  Bridge: </w:t>
            </w:r>
            <w:r>
              <w:t xml:space="preserve">100 </w:t>
            </w:r>
            <w:proofErr w:type="spellStart"/>
            <w:r>
              <w:t>ms</w:t>
            </w:r>
            <w:proofErr w:type="spellEnd"/>
            <w:r>
              <w:t xml:space="preserve"> interval; Helios sends predicted V_MPP; Artemis applies the blend formula</w:t>
            </w:r>
          </w:p>
        </w:tc>
      </w:tr>
    </w:tbl>
    <w:p w:rsidR="00A77395" w:rsidRDefault="00A77395">
      <w:pPr>
        <w:spacing w:after="80"/>
      </w:pPr>
    </w:p>
    <w:p w:rsidR="00A77395" w:rsidRDefault="00A036E9">
      <w:pPr>
        <w:pStyle w:val="Heading2"/>
      </w:pPr>
      <w:r>
        <w:t>3.2  Helios (ESP32-S3) — Component Details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99"/>
        <w:gridCol w:w="3561"/>
        <w:gridCol w:w="3600"/>
      </w:tblGrid>
      <w:tr w:rsidR="00A77395">
        <w:trPr>
          <w:tblHeader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Spec / Value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Why It Matters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MCU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ESP32-S3, 240 MHz dual-core, 512 kB SRAM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Enough headroom for TF.js inference + Wi-Fi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Light sensor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TSL2591 high-dynamic-range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Measures irradiance as the LSTM input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Camera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OV2640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Cloud detection input for additional LSTM features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Storage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SD card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Logs 24 h of irradiance data for on-device retraining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Inference time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 xml:space="preserve">&lt;12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(Int8: 4.7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 xml:space="preserve">Fits inside 100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UART window with plenty of margin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Retraining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TF.js in local browser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Zero internet; user connects to local Wi-Fi hotspot</w:t>
            </w:r>
          </w:p>
        </w:tc>
      </w:tr>
    </w:tbl>
    <w:p w:rsidR="00A77395" w:rsidRDefault="00A77395">
      <w:pPr>
        <w:spacing w:after="80"/>
      </w:pPr>
    </w:p>
    <w:p w:rsidR="00A77395" w:rsidRDefault="00A036E9">
      <w:pPr>
        <w:pStyle w:val="Heading2"/>
      </w:pPr>
      <w:r>
        <w:t>3.3  Artemis (STM32F103) — Component Details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99"/>
        <w:gridCol w:w="3561"/>
        <w:gridCol w:w="3600"/>
      </w:tblGrid>
      <w:tr w:rsidR="00A77395">
        <w:trPr>
          <w:tblHeader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Spec / Value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Why It Matters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MCU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STM32F103 Cortex-M3, 72 MHz, 20 kB SRAM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Deterministic real-time control, no OS jitter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PWM frequency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50 kHz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 xml:space="preserve">High </w:t>
            </w:r>
            <w:proofErr w:type="spellStart"/>
            <w:r>
              <w:rPr>
                <w:sz w:val="21"/>
                <w:szCs w:val="21"/>
              </w:rPr>
              <w:t>freq</w:t>
            </w:r>
            <w:proofErr w:type="spellEnd"/>
            <w:r>
              <w:rPr>
                <w:sz w:val="21"/>
                <w:szCs w:val="21"/>
              </w:rPr>
              <w:t xml:space="preserve"> → smaller LC filter, less output ripple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MOSFET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 xml:space="preserve">IRFZ44N (VDS=60V, RDS(on)=28 </w:t>
            </w:r>
            <w:proofErr w:type="spellStart"/>
            <w:r>
              <w:rPr>
                <w:sz w:val="21"/>
                <w:szCs w:val="21"/>
              </w:rPr>
              <w:t>mΩ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Main switching device; upgrade to IRFB4110 in prototype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lastRenderedPageBreak/>
              <w:t>Gate driver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TC4420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Drives MOSFET gate with sufficient current at 50 kHz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LC filter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 xml:space="preserve">100 </w:t>
            </w:r>
            <w:proofErr w:type="spellStart"/>
            <w:r>
              <w:rPr>
                <w:sz w:val="21"/>
                <w:szCs w:val="21"/>
              </w:rPr>
              <w:t>μH</w:t>
            </w:r>
            <w:proofErr w:type="spellEnd"/>
            <w:r>
              <w:rPr>
                <w:sz w:val="21"/>
                <w:szCs w:val="21"/>
              </w:rPr>
              <w:t xml:space="preserve"> inductor + 470 </w:t>
            </w:r>
            <w:proofErr w:type="spellStart"/>
            <w:r>
              <w:rPr>
                <w:sz w:val="21"/>
                <w:szCs w:val="21"/>
              </w:rPr>
              <w:t>μF</w:t>
            </w:r>
            <w:proofErr w:type="spellEnd"/>
            <w:r>
              <w:rPr>
                <w:sz w:val="21"/>
                <w:szCs w:val="21"/>
              </w:rPr>
              <w:t xml:space="preserve"> cap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Buck converter output filter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Current/power monitor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INA219 (12-bit I²C, 0.1 Ω shunt)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Measures battery bus current and voltage</w:t>
            </w:r>
          </w:p>
        </w:tc>
      </w:tr>
    </w:tbl>
    <w:p w:rsidR="00A77395" w:rsidRDefault="00A77395">
      <w:pPr>
        <w:spacing w:after="80"/>
      </w:pPr>
    </w:p>
    <w:p w:rsidR="00A77395" w:rsidRDefault="00A036E9">
      <w:pPr>
        <w:pStyle w:val="Heading2"/>
      </w:pPr>
      <w:r>
        <w:t>3.4  Battery Charging Stages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Bulk: Constant current 6A until battery reaches 14.7V — fastest charging phase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Absorption: Hold at 14.7V; current tapers as battery fills; ends when I &lt; 0.5A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Float: Hold at 13.8V indefinitely — maintains full charge without overcharging</w:t>
      </w:r>
    </w:p>
    <w:p w:rsidR="00A77395" w:rsidRDefault="00A036E9">
      <w:r>
        <w:br w:type="page"/>
      </w:r>
    </w:p>
    <w:p w:rsidR="00A77395" w:rsidRDefault="00A036E9">
      <w:pPr>
        <w:pStyle w:val="Heading1"/>
        <w:pBdr>
          <w:bottom w:val="single" w:sz="8" w:space="4" w:color="C9973A"/>
        </w:pBdr>
        <w:spacing w:before="0"/>
      </w:pPr>
      <w:r>
        <w:lastRenderedPageBreak/>
        <w:t>4. The Irradiance Simulation Model</w:t>
      </w:r>
    </w:p>
    <w:p w:rsidR="00A77395" w:rsidRDefault="00A036E9">
      <w:pPr>
        <w:spacing w:after="120"/>
      </w:pPr>
      <w:r>
        <w:t>There is no 1-second-resolution irradiance dataset for Sylhet, so the study generates synthetic profiles using two coupled stochastic processes, calibrated from real NASA POWER and SREDA data.</w:t>
      </w:r>
    </w:p>
    <w:p w:rsidR="00A77395" w:rsidRDefault="00A77395">
      <w:pPr>
        <w:spacing w:after="80"/>
      </w:pPr>
    </w:p>
    <w:p w:rsidR="00A77395" w:rsidRDefault="00A036E9">
      <w:pPr>
        <w:pStyle w:val="Heading2"/>
      </w:pPr>
      <w:r>
        <w:t>4.1  Two-Process Model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Markov chain: generates cloud state transitions (clear / partly cloudy / overcast) at minute timescales, from NASA POWER monthly GHI statistics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Ornstein-</w:t>
      </w:r>
      <w:proofErr w:type="spellStart"/>
      <w:r>
        <w:t>Uhlenbeck</w:t>
      </w:r>
      <w:proofErr w:type="spellEnd"/>
      <w:r>
        <w:t xml:space="preserve"> (OU): adds sub-second flicker on top of the Markov state. Parameters: τ=1s, σ=25%, calibrated from Lave &amp; </w:t>
      </w:r>
      <w:proofErr w:type="spellStart"/>
      <w:r>
        <w:t>Kleissl</w:t>
      </w:r>
      <w:proofErr w:type="spellEnd"/>
      <w:r>
        <w:t xml:space="preserve"> 2010 cloud-shadow measurements</w:t>
      </w:r>
    </w:p>
    <w:p w:rsidR="00A77395" w:rsidRDefault="00A77395">
      <w:pPr>
        <w:spacing w:after="80"/>
      </w:pPr>
    </w:p>
    <w:p w:rsidR="00A77395" w:rsidRDefault="00A036E9">
      <w:pPr>
        <w:pStyle w:val="Heading2"/>
      </w:pPr>
      <w:r>
        <w:t>4.2  Four Physical Realism Layers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99"/>
        <w:gridCol w:w="4561"/>
        <w:gridCol w:w="2400"/>
      </w:tblGrid>
      <w:tr w:rsidR="00A77395">
        <w:trPr>
          <w:tblHeader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What It Models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A77395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R1 — OU flicker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Sub-second irradiance turbulence from cloud shadows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τ=1s, σ=25%</w:t>
            </w:r>
          </w:p>
        </w:tc>
      </w:tr>
      <w:tr w:rsidR="00A77395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R2 — Aerosol attenuation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Haze and dust reducing peak irradiance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×0.93 (</w:t>
            </w:r>
            <w:proofErr w:type="spellStart"/>
            <w:r>
              <w:rPr>
                <w:sz w:val="21"/>
                <w:szCs w:val="21"/>
              </w:rPr>
              <w:t>Linke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</w:t>
            </w:r>
            <w:r w:rsidR="004A678B">
              <w:rPr>
                <w:sz w:val="21"/>
                <w:szCs w:val="21"/>
              </w:rPr>
              <w:t>urbodity</w:t>
            </w:r>
            <w:proofErr w:type="spellEnd"/>
            <w:r w:rsidR="004A678B">
              <w:rPr>
                <w:sz w:val="21"/>
                <w:szCs w:val="21"/>
              </w:rPr>
              <w:t xml:space="preserve"> factor </w:t>
            </w:r>
            <w:r>
              <w:rPr>
                <w:sz w:val="21"/>
                <w:szCs w:val="21"/>
              </w:rPr>
              <w:t>L≈4.5)</w:t>
            </w:r>
          </w:p>
        </w:tc>
      </w:tr>
      <w:tr w:rsidR="00A77395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R3 — ADC noise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Sensor noise in INA219 current/voltage readings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proofErr w:type="spellStart"/>
            <w:r>
              <w:rPr>
                <w:sz w:val="21"/>
                <w:szCs w:val="21"/>
              </w:rPr>
              <w:t>σ_I</w:t>
            </w:r>
            <w:proofErr w:type="spellEnd"/>
            <w:r>
              <w:rPr>
                <w:sz w:val="21"/>
                <w:szCs w:val="21"/>
              </w:rPr>
              <w:t xml:space="preserve">=2 mA, </w:t>
            </w:r>
            <w:proofErr w:type="spellStart"/>
            <w:r>
              <w:rPr>
                <w:sz w:val="21"/>
                <w:szCs w:val="21"/>
              </w:rPr>
              <w:t>σ_V</w:t>
            </w:r>
            <w:proofErr w:type="spellEnd"/>
            <w:r>
              <w:rPr>
                <w:sz w:val="21"/>
                <w:szCs w:val="21"/>
              </w:rPr>
              <w:t>=10 mV</w:t>
            </w:r>
          </w:p>
        </w:tc>
      </w:tr>
      <w:tr w:rsidR="00A77395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R4 — Panel soiling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Dust reducing short-circuit current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 xml:space="preserve">3% on </w:t>
            </w:r>
            <w:proofErr w:type="spellStart"/>
            <w:r>
              <w:rPr>
                <w:sz w:val="21"/>
                <w:szCs w:val="21"/>
              </w:rPr>
              <w:t>Isc</w:t>
            </w:r>
            <w:proofErr w:type="spellEnd"/>
            <w:r>
              <w:rPr>
                <w:sz w:val="21"/>
                <w:szCs w:val="21"/>
              </w:rPr>
              <w:t>, monthly cleaning</w:t>
            </w:r>
          </w:p>
        </w:tc>
      </w:tr>
    </w:tbl>
    <w:p w:rsidR="00A77395" w:rsidRDefault="00A77395">
      <w:pPr>
        <w:spacing w:after="80"/>
      </w:pPr>
    </w:p>
    <w:p w:rsidR="00A77395" w:rsidRDefault="00A036E9">
      <w:pPr>
        <w:spacing w:after="120"/>
      </w:pPr>
      <w:r>
        <w:t>Peak modelled GHI for Sylhet July: 744 W/m² (aerosol-capped, vs 880 W/m² clear sky). The OU flicker makes the monsoon baseline harder than real field conditions — meaning the +23.3 pp improvement claim is conservative.</w:t>
      </w:r>
    </w:p>
    <w:p w:rsidR="00A77395" w:rsidRDefault="00A77395">
      <w:pPr>
        <w:spacing w:after="80"/>
      </w:pPr>
    </w:p>
    <w:p w:rsidR="00A77395" w:rsidRDefault="00A036E9">
      <w:pPr>
        <w:pStyle w:val="Heading2"/>
      </w:pPr>
      <w:r>
        <w:t>4.3  Sylhet Monthly Irradiance Parameters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1372"/>
        <w:gridCol w:w="1372"/>
        <w:gridCol w:w="1371"/>
        <w:gridCol w:w="1372"/>
        <w:gridCol w:w="1373"/>
      </w:tblGrid>
      <w:tr w:rsidR="00A77395">
        <w:trPr>
          <w:tblHeader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Jan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Apr</w:t>
            </w:r>
          </w:p>
        </w:tc>
        <w:tc>
          <w:tcPr>
            <w:tcW w:w="13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Jul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Sep</w:t>
            </w:r>
          </w:p>
        </w:tc>
        <w:tc>
          <w:tcPr>
            <w:tcW w:w="13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Dec</w:t>
            </w:r>
          </w:p>
        </w:tc>
      </w:tr>
      <w:tr w:rsidR="00A77395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Peak GHI (W/m²)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820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880</w:t>
            </w:r>
          </w:p>
        </w:tc>
        <w:tc>
          <w:tcPr>
            <w:tcW w:w="13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580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650</w:t>
            </w:r>
          </w:p>
        </w:tc>
        <w:tc>
          <w:tcPr>
            <w:tcW w:w="13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800</w:t>
            </w:r>
          </w:p>
        </w:tc>
      </w:tr>
      <w:tr w:rsidR="00A77395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Cloud Variability Index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0.15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0.30</w:t>
            </w:r>
          </w:p>
        </w:tc>
        <w:tc>
          <w:tcPr>
            <w:tcW w:w="13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:rsidR="00A77395" w:rsidRDefault="00A036E9">
            <w:r>
              <w:rPr>
                <w:b/>
                <w:bCs/>
                <w:sz w:val="21"/>
                <w:szCs w:val="21"/>
              </w:rPr>
              <w:t>0.85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0.65</w:t>
            </w:r>
          </w:p>
        </w:tc>
        <w:tc>
          <w:tcPr>
            <w:tcW w:w="13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0.15</w:t>
            </w:r>
          </w:p>
        </w:tc>
      </w:tr>
      <w:tr w:rsidR="00A77395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Sunrise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06:18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05:36</w:t>
            </w:r>
          </w:p>
        </w:tc>
        <w:tc>
          <w:tcPr>
            <w:tcW w:w="13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05:18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05:48</w:t>
            </w:r>
          </w:p>
        </w:tc>
        <w:tc>
          <w:tcPr>
            <w:tcW w:w="13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06:24</w:t>
            </w:r>
          </w:p>
        </w:tc>
      </w:tr>
      <w:tr w:rsidR="00A77395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Sunset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17:24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18:36</w:t>
            </w:r>
          </w:p>
        </w:tc>
        <w:tc>
          <w:tcPr>
            <w:tcW w:w="13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19:06</w:t>
            </w:r>
          </w:p>
        </w:tc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18:12</w:t>
            </w:r>
          </w:p>
        </w:tc>
        <w:tc>
          <w:tcPr>
            <w:tcW w:w="13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17:06</w:t>
            </w:r>
          </w:p>
        </w:tc>
      </w:tr>
    </w:tbl>
    <w:p w:rsidR="00A77395" w:rsidRDefault="00A036E9">
      <w:pPr>
        <w:spacing w:after="120"/>
      </w:pPr>
      <w:r>
        <w:t>July CVI=0.85 is the worst case — one of the most challenging irradiance environments globally.</w:t>
      </w:r>
    </w:p>
    <w:p w:rsidR="00A77395" w:rsidRDefault="00A036E9">
      <w:r>
        <w:br w:type="page"/>
      </w:r>
    </w:p>
    <w:p w:rsidR="00A77395" w:rsidRDefault="00A036E9">
      <w:pPr>
        <w:pStyle w:val="Heading1"/>
        <w:pBdr>
          <w:bottom w:val="single" w:sz="8" w:space="4" w:color="C9973A"/>
        </w:pBdr>
        <w:spacing w:before="0"/>
      </w:pPr>
      <w:r>
        <w:lastRenderedPageBreak/>
        <w:t>5. Key Results — Numbers to Know</w:t>
      </w:r>
    </w:p>
    <w:p w:rsidR="00A77395" w:rsidRDefault="00A036E9">
      <w:pPr>
        <w:pStyle w:val="Heading2"/>
      </w:pPr>
      <w:r>
        <w:t>5.1  LSTM Predictor Performance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99"/>
        <w:gridCol w:w="2160"/>
        <w:gridCol w:w="4401"/>
      </w:tblGrid>
      <w:tr w:rsidR="00A77395">
        <w:trPr>
          <w:tblHeader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  <w:tc>
          <w:tcPr>
            <w:tcW w:w="4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What It Means</w:t>
            </w:r>
          </w:p>
        </w:tc>
      </w:tr>
      <w:tr w:rsidR="00A77395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R²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:rsidR="00A77395" w:rsidRDefault="00A036E9">
            <w:r>
              <w:rPr>
                <w:b/>
                <w:bCs/>
                <w:sz w:val="21"/>
                <w:szCs w:val="21"/>
              </w:rPr>
              <w:t>0.917</w:t>
            </w:r>
          </w:p>
        </w:tc>
        <w:tc>
          <w:tcPr>
            <w:tcW w:w="4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Explains 91.7% of variance on fully independent Year-2 test set</w:t>
            </w:r>
          </w:p>
        </w:tc>
      </w:tr>
      <w:tr w:rsidR="00A77395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Daytime MAE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50.7 W/m²</w:t>
            </w:r>
          </w:p>
        </w:tc>
        <w:tc>
          <w:tcPr>
            <w:tcW w:w="4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Average error during daylight hours</w:t>
            </w:r>
          </w:p>
        </w:tc>
      </w:tr>
      <w:tr w:rsidR="00A77395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RMSE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63.6 W/m²</w:t>
            </w:r>
          </w:p>
        </w:tc>
        <w:tc>
          <w:tcPr>
            <w:tcW w:w="4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Root mean square error</w:t>
            </w:r>
          </w:p>
        </w:tc>
      </w:tr>
      <w:tr w:rsidR="00A77395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Residual bias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+2.3 W/m²</w:t>
            </w:r>
          </w:p>
        </w:tc>
        <w:tc>
          <w:tcPr>
            <w:tcW w:w="4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Slight over-prediction — good, prevents under-positioning</w:t>
            </w:r>
          </w:p>
        </w:tc>
      </w:tr>
      <w:tr w:rsidR="00A77395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Inference time (float)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 xml:space="preserve">&lt;12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</w:p>
        </w:tc>
        <w:tc>
          <w:tcPr>
            <w:tcW w:w="4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 xml:space="preserve">Well within 100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UART window</w:t>
            </w:r>
          </w:p>
        </w:tc>
      </w:tr>
      <w:tr w:rsidR="00A77395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Inference time (Int8)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 xml:space="preserve">4.7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</w:p>
        </w:tc>
        <w:tc>
          <w:tcPr>
            <w:tcW w:w="4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proofErr w:type="spellStart"/>
            <w:r>
              <w:rPr>
                <w:sz w:val="21"/>
                <w:szCs w:val="21"/>
              </w:rPr>
              <w:t>Quantised</w:t>
            </w:r>
            <w:proofErr w:type="spellEnd"/>
            <w:r>
              <w:rPr>
                <w:sz w:val="21"/>
                <w:szCs w:val="21"/>
              </w:rPr>
              <w:t xml:space="preserve"> version, ΔR²=−0.009 (tiny tradeoff)</w:t>
            </w:r>
          </w:p>
        </w:tc>
      </w:tr>
    </w:tbl>
    <w:p w:rsidR="00A77395" w:rsidRDefault="00A77395">
      <w:pPr>
        <w:spacing w:after="80"/>
      </w:pPr>
    </w:p>
    <w:p w:rsidR="00A77395" w:rsidRDefault="00A036E9">
      <w:pPr>
        <w:pStyle w:val="Heading2"/>
      </w:pPr>
      <w:r>
        <w:t>5.2  MPPT Efficiency vs All Algorithms (Monte Carlo N=200)</w:t>
      </w:r>
    </w:p>
    <w:tbl>
      <w:tblPr>
        <w:tblW w:w="87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99"/>
        <w:gridCol w:w="1401"/>
        <w:gridCol w:w="1400"/>
        <w:gridCol w:w="1399"/>
        <w:gridCol w:w="1760"/>
        <w:gridCol w:w="1201"/>
      </w:tblGrid>
      <w:tr w:rsidR="00A77395">
        <w:trPr>
          <w:tblHeader/>
        </w:trPr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Scenario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Plain P&amp;O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VS-P&amp;O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Inc. Cond.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Helios-Artemis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Gain</w:t>
            </w:r>
          </w:p>
        </w:tc>
      </w:tr>
      <w:tr w:rsidR="00A77395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Clear sky (Jan)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86.8±1.7%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90.5±1.5%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89.2±1.7%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93.2±1.1%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+6.4 pp</w:t>
            </w:r>
          </w:p>
        </w:tc>
      </w:tr>
      <w:tr w:rsidR="00A77395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:rsidR="00A77395" w:rsidRDefault="00A036E9">
            <w:r>
              <w:rPr>
                <w:b/>
                <w:bCs/>
                <w:sz w:val="21"/>
                <w:szCs w:val="21"/>
              </w:rPr>
              <w:t>Monsoon (Jul)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70.9±3.8%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78.3±3.4%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75.2±3.8%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95.1±2.1%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+24.2 pp</w:t>
            </w:r>
          </w:p>
        </w:tc>
      </w:tr>
      <w:tr w:rsidR="00A77395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Partial shade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85.6±2.4%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89.0±2.0%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87.5±2.1%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93.3±1.6%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+7.7 pp</w:t>
            </w:r>
          </w:p>
        </w:tc>
      </w:tr>
      <w:tr w:rsidR="00A77395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Annual mean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85.8±1.5%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89.1±1.2%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87.7±1.3%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91.3±1.0%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+5.5 pp</w:t>
            </w:r>
          </w:p>
        </w:tc>
      </w:tr>
    </w:tbl>
    <w:p w:rsidR="00A77395" w:rsidRDefault="00A77395">
      <w:pPr>
        <w:spacing w:after="80"/>
      </w:pPr>
    </w:p>
    <w:tbl>
      <w:tblPr>
        <w:tblW w:w="936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395">
        <w:tc>
          <w:tcPr>
            <w:tcW w:w="9360" w:type="dxa"/>
            <w:tcBorders>
              <w:top w:val="single" w:sz="6" w:space="0" w:color="2B5FAD"/>
              <w:left w:val="single" w:sz="6" w:space="0" w:color="2B5FAD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:rsidR="00A77395" w:rsidRDefault="00A036E9">
            <w:pPr>
              <w:spacing w:after="80"/>
            </w:pPr>
            <w:r>
              <w:rPr>
                <w:b/>
                <w:bCs/>
                <w:color w:val="2B5FAD"/>
              </w:rPr>
              <w:t>Monte Carlo Summary (July, 30 independent days)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>Mean η = 94.0%     |     σ = 0.6%     |     95% CI: [92.9%, 94.9%]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>All 30 simulation days fell within the 90–95% efficiency band.</w:t>
            </w:r>
          </w:p>
        </w:tc>
      </w:tr>
    </w:tbl>
    <w:p w:rsidR="00A77395" w:rsidRDefault="00A77395">
      <w:pPr>
        <w:spacing w:after="80"/>
      </w:pPr>
    </w:p>
    <w:p w:rsidR="00A77395" w:rsidRDefault="00A036E9">
      <w:pPr>
        <w:pStyle w:val="Heading2"/>
      </w:pPr>
      <w:r>
        <w:t>5.3  Full-Day Simulation Highlights (July, Seed 23)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 xml:space="preserve">Battery </w:t>
      </w:r>
      <w:proofErr w:type="spellStart"/>
      <w:r>
        <w:t>SoC</w:t>
      </w:r>
      <w:proofErr w:type="spellEnd"/>
      <w:r>
        <w:t>: 45% → 100% within the 13-hour Sylhet July solar window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 xml:space="preserve">Peak junction temperature: 62°C simulated (35°C ambient, </w:t>
      </w:r>
      <w:proofErr w:type="spellStart"/>
      <w:r>
        <w:t>Rth_JA</w:t>
      </w:r>
      <w:proofErr w:type="spellEnd"/>
      <w:r>
        <w:t xml:space="preserve"> ≈ 13.5°C/W)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Battery voltage range: 12.41 V → 13.61 V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P&amp;O cold-start convergence: ~18 steps to reach 94% efficiency</w:t>
      </w:r>
    </w:p>
    <w:p w:rsidR="00A77395" w:rsidRDefault="00A77395">
      <w:pPr>
        <w:spacing w:after="80"/>
      </w:pPr>
    </w:p>
    <w:p w:rsidR="00A77395" w:rsidRDefault="00A036E9">
      <w:pPr>
        <w:pStyle w:val="Heading2"/>
      </w:pPr>
      <w:r>
        <w:lastRenderedPageBreak/>
        <w:t>5.4  LSTM Architecture Ablation</w:t>
      </w:r>
    </w:p>
    <w:tbl>
      <w:tblPr>
        <w:tblW w:w="928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99"/>
        <w:gridCol w:w="900"/>
        <w:gridCol w:w="1361"/>
        <w:gridCol w:w="1359"/>
        <w:gridCol w:w="2961"/>
      </w:tblGrid>
      <w:tr w:rsidR="00A77395">
        <w:trPr>
          <w:tblHeader/>
        </w:trPr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Architecture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R²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MAE (W/m²)</w:t>
            </w:r>
          </w:p>
        </w:tc>
        <w:tc>
          <w:tcPr>
            <w:tcW w:w="1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RMSE (W/m²)</w:t>
            </w:r>
          </w:p>
        </w:tc>
        <w:tc>
          <w:tcPr>
            <w:tcW w:w="2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A77395"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16 units, 1 layer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0.858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67.1</w:t>
            </w:r>
          </w:p>
        </w:tc>
        <w:tc>
          <w:tcPr>
            <w:tcW w:w="1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83.3</w:t>
            </w:r>
          </w:p>
        </w:tc>
        <w:tc>
          <w:tcPr>
            <w:tcW w:w="2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Too weak</w:t>
            </w:r>
          </w:p>
        </w:tc>
      </w:tr>
      <w:tr w:rsidR="00A77395"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:rsidR="00A77395" w:rsidRDefault="00A036E9">
            <w:r>
              <w:rPr>
                <w:b/>
                <w:bCs/>
                <w:sz w:val="21"/>
                <w:szCs w:val="21"/>
              </w:rPr>
              <w:t>32 units, 1 layer (SELECTED)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0.917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50.7</w:t>
            </w:r>
          </w:p>
        </w:tc>
        <w:tc>
          <w:tcPr>
            <w:tcW w:w="1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63.6</w:t>
            </w:r>
          </w:p>
        </w:tc>
        <w:tc>
          <w:tcPr>
            <w:tcW w:w="2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 xml:space="preserve">Optimal: &lt;12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inference</w:t>
            </w:r>
          </w:p>
        </w:tc>
      </w:tr>
      <w:tr w:rsidR="00A77395"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64 units, 1 layer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0.934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45.0</w:t>
            </w:r>
          </w:p>
        </w:tc>
        <w:tc>
          <w:tcPr>
            <w:tcW w:w="1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56.6</w:t>
            </w:r>
          </w:p>
        </w:tc>
        <w:tc>
          <w:tcPr>
            <w:tcW w:w="2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 xml:space="preserve">~37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inference — too slow</w:t>
            </w:r>
          </w:p>
        </w:tc>
      </w:tr>
    </w:tbl>
    <w:p w:rsidR="00A77395" w:rsidRDefault="00A036E9">
      <w:r>
        <w:br w:type="page"/>
      </w:r>
    </w:p>
    <w:p w:rsidR="00A77395" w:rsidRDefault="00A036E9">
      <w:pPr>
        <w:pStyle w:val="Heading1"/>
        <w:pBdr>
          <w:bottom w:val="single" w:sz="8" w:space="4" w:color="C9973A"/>
        </w:pBdr>
        <w:spacing w:before="0"/>
      </w:pPr>
      <w:r>
        <w:lastRenderedPageBreak/>
        <w:t>6. Validation Against Field Data</w:t>
      </w:r>
    </w:p>
    <w:p w:rsidR="00A77395" w:rsidRDefault="00A036E9">
      <w:pPr>
        <w:pStyle w:val="Heading2"/>
      </w:pPr>
      <w:r>
        <w:t>6.1  Hossain et al. (2021) IDCOL Field Baselines</w:t>
      </w:r>
    </w:p>
    <w:p w:rsidR="00A77395" w:rsidRDefault="00A036E9">
      <w:pPr>
        <w:spacing w:after="120"/>
      </w:pPr>
      <w:r>
        <w:t>The primary external validation compares simulated plain P&amp;O performance against Hossain et al.'s field measurements from real IDCOL SHS controllers across rural Bangladesh.</w:t>
      </w:r>
    </w:p>
    <w:p w:rsidR="00A77395" w:rsidRDefault="00A77395">
      <w:pPr>
        <w:spacing w:after="8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77395"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Condition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Simulated P&amp;O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Hossain Field Range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Match?</w:t>
            </w:r>
          </w:p>
        </w:tc>
      </w:tr>
      <w:tr w:rsidR="00A77395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Clear sky (Jan)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86.8%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79–85%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Within 1.8 pp ✓</w:t>
            </w:r>
          </w:p>
        </w:tc>
      </w:tr>
      <w:tr w:rsidR="00A77395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Monsoon (Jul)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70.7%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79–85% (lower bound)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8.3 pp below lower bound</w:t>
            </w:r>
          </w:p>
        </w:tc>
      </w:tr>
    </w:tbl>
    <w:p w:rsidR="00A77395" w:rsidRDefault="00A77395">
      <w:pPr>
        <w:spacing w:after="80"/>
      </w:pPr>
    </w:p>
    <w:p w:rsidR="00A77395" w:rsidRDefault="00A036E9">
      <w:pPr>
        <w:pStyle w:val="Heading2"/>
      </w:pPr>
      <w:r>
        <w:t>6.2  Why the Monsoon Gap Is Not a Problem</w:t>
      </w:r>
    </w:p>
    <w:tbl>
      <w:tblPr>
        <w:tblW w:w="936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395">
        <w:tc>
          <w:tcPr>
            <w:tcW w:w="9360" w:type="dxa"/>
            <w:tcBorders>
              <w:top w:val="single" w:sz="6" w:space="0" w:color="2B5FAD"/>
              <w:left w:val="single" w:sz="6" w:space="0" w:color="2B5FAD"/>
              <w:bottom w:val="single" w:sz="2" w:space="0" w:color="CCCCCC"/>
              <w:right w:val="single" w:sz="2" w:space="0" w:color="CCCCCC"/>
            </w:tcBorders>
            <w:shd w:val="clear" w:color="auto" w:fill="FFF8E7"/>
          </w:tcPr>
          <w:p w:rsidR="00A77395" w:rsidRDefault="00A036E9">
            <w:pPr>
              <w:spacing w:after="80"/>
            </w:pPr>
            <w:r>
              <w:rPr>
                <w:b/>
                <w:bCs/>
                <w:color w:val="2B5FAD"/>
              </w:rPr>
              <w:t>Key Argument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 xml:space="preserve">The Sylhet </w:t>
            </w:r>
            <w:proofErr w:type="spellStart"/>
            <w:r>
              <w:rPr>
                <w:sz w:val="21"/>
                <w:szCs w:val="21"/>
              </w:rPr>
              <w:t>Markov+OU</w:t>
            </w:r>
            <w:proofErr w:type="spellEnd"/>
            <w:r>
              <w:rPr>
                <w:sz w:val="21"/>
                <w:szCs w:val="21"/>
              </w:rPr>
              <w:t xml:space="preserve"> model uses sub-second OU flicker (σ=25%) which is more severe than the monthly-averaged variability in Hossain et al.'s field baseline. Our simulation baseline is harder than real field conditions. This makes our 70.7% P&amp;O baseline conservative — and therefore makes our +23.3 pp improvement claim equally conservative.</w:t>
            </w:r>
          </w:p>
          <w:p w:rsidR="00A77395" w:rsidRDefault="00A77395">
            <w:pPr>
              <w:spacing w:after="60"/>
            </w:pP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>If anything, real hardware would show even better gains because real conditions are less severe than the simulation.</w:t>
            </w:r>
          </w:p>
        </w:tc>
      </w:tr>
    </w:tbl>
    <w:p w:rsidR="00A77395" w:rsidRDefault="00A77395">
      <w:pPr>
        <w:spacing w:after="80"/>
      </w:pPr>
    </w:p>
    <w:p w:rsidR="00A77395" w:rsidRDefault="00A036E9">
      <w:pPr>
        <w:pStyle w:val="Heading2"/>
      </w:pPr>
      <w:r>
        <w:t>6.3  Why R²=0.917 Is Good Despite Being Lower Than Other Papers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Liu et al. (R²=0.973): China — arid climate, much lower cloud variability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Abdel-Basset et al. (R²=0.961): Egypt — desert climate, minimal monsoon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proofErr w:type="spellStart"/>
      <w:r>
        <w:t>Mazumdar</w:t>
      </w:r>
      <w:proofErr w:type="spellEnd"/>
      <w:r>
        <w:t xml:space="preserve"> et al. confirmed: lower R² in monsoon climates reflects climate difficulty, not model weakness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Our 0.917 is on a fully independent Year-2 test set with a distinct random seed — no data leakage</w:t>
      </w:r>
    </w:p>
    <w:p w:rsidR="00A77395" w:rsidRDefault="00A036E9">
      <w:r>
        <w:br w:type="page"/>
      </w:r>
    </w:p>
    <w:p w:rsidR="00A77395" w:rsidRDefault="00A036E9">
      <w:pPr>
        <w:pStyle w:val="Heading1"/>
        <w:pBdr>
          <w:bottom w:val="single" w:sz="8" w:space="4" w:color="C9973A"/>
        </w:pBdr>
        <w:spacing w:before="0"/>
      </w:pPr>
      <w:r>
        <w:lastRenderedPageBreak/>
        <w:t>7. Cost, Deployment &amp; Limitations</w:t>
      </w:r>
    </w:p>
    <w:p w:rsidR="00A77395" w:rsidRDefault="00A036E9">
      <w:pPr>
        <w:pStyle w:val="Heading2"/>
      </w:pPr>
      <w:r>
        <w:t>7.1  Bill of Materials (~1,500 BDT Total)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679"/>
        <w:gridCol w:w="3681"/>
      </w:tblGrid>
      <w:tr w:rsidR="00A77395">
        <w:trPr>
          <w:tblHeader/>
        </w:trPr>
        <w:tc>
          <w:tcPr>
            <w:tcW w:w="5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3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Cost (BDT)</w:t>
            </w:r>
          </w:p>
        </w:tc>
      </w:tr>
      <w:tr w:rsidR="00A77395">
        <w:tc>
          <w:tcPr>
            <w:tcW w:w="5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ESP32-S3</w:t>
            </w:r>
          </w:p>
        </w:tc>
        <w:tc>
          <w:tcPr>
            <w:tcW w:w="3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380</w:t>
            </w:r>
          </w:p>
        </w:tc>
      </w:tr>
      <w:tr w:rsidR="00A77395">
        <w:tc>
          <w:tcPr>
            <w:tcW w:w="5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STM32F103</w:t>
            </w:r>
          </w:p>
        </w:tc>
        <w:tc>
          <w:tcPr>
            <w:tcW w:w="3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120</w:t>
            </w:r>
          </w:p>
        </w:tc>
      </w:tr>
      <w:tr w:rsidR="00A77395">
        <w:tc>
          <w:tcPr>
            <w:tcW w:w="5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INA219 power monitor</w:t>
            </w:r>
          </w:p>
        </w:tc>
        <w:tc>
          <w:tcPr>
            <w:tcW w:w="3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80</w:t>
            </w:r>
          </w:p>
        </w:tc>
      </w:tr>
      <w:tr w:rsidR="00A77395">
        <w:tc>
          <w:tcPr>
            <w:tcW w:w="5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TSL2591 light sensor</w:t>
            </w:r>
          </w:p>
        </w:tc>
        <w:tc>
          <w:tcPr>
            <w:tcW w:w="3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120</w:t>
            </w:r>
          </w:p>
        </w:tc>
      </w:tr>
      <w:tr w:rsidR="00A77395">
        <w:tc>
          <w:tcPr>
            <w:tcW w:w="5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Buck converter passives (L, C, MOSFET)</w:t>
            </w:r>
          </w:p>
        </w:tc>
        <w:tc>
          <w:tcPr>
            <w:tcW w:w="3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350</w:t>
            </w:r>
          </w:p>
        </w:tc>
      </w:tr>
      <w:tr w:rsidR="00A77395">
        <w:tc>
          <w:tcPr>
            <w:tcW w:w="5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PCB and housing</w:t>
            </w:r>
          </w:p>
        </w:tc>
        <w:tc>
          <w:tcPr>
            <w:tcW w:w="3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280</w:t>
            </w:r>
          </w:p>
        </w:tc>
      </w:tr>
      <w:tr w:rsidR="00A77395">
        <w:tc>
          <w:tcPr>
            <w:tcW w:w="5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Connectors and misc.</w:t>
            </w:r>
          </w:p>
        </w:tc>
        <w:tc>
          <w:tcPr>
            <w:tcW w:w="3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170</w:t>
            </w:r>
          </w:p>
        </w:tc>
      </w:tr>
      <w:tr w:rsidR="00A77395">
        <w:tc>
          <w:tcPr>
            <w:tcW w:w="5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:rsidR="00A77395" w:rsidRDefault="00A036E9"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3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:rsidR="00A77395" w:rsidRDefault="00A036E9">
            <w:r>
              <w:rPr>
                <w:b/>
                <w:bCs/>
                <w:sz w:val="21"/>
                <w:szCs w:val="21"/>
              </w:rPr>
              <w:t>~1,500 BDT (USD 14)</w:t>
            </w:r>
          </w:p>
        </w:tc>
      </w:tr>
    </w:tbl>
    <w:p w:rsidR="00A77395" w:rsidRDefault="00A77395">
      <w:pPr>
        <w:spacing w:after="80"/>
      </w:pPr>
    </w:p>
    <w:p w:rsidR="00A77395" w:rsidRDefault="00A036E9">
      <w:pPr>
        <w:spacing w:after="120"/>
      </w:pPr>
      <w:r>
        <w:t>Commercial IDCOL-compatible MPPT controller: ~13,500 BDT. Cost reduction: 89%.</w:t>
      </w:r>
    </w:p>
    <w:p w:rsidR="00A77395" w:rsidRDefault="00A77395">
      <w:pPr>
        <w:spacing w:after="80"/>
      </w:pPr>
    </w:p>
    <w:p w:rsidR="00A77395" w:rsidRDefault="00A036E9">
      <w:pPr>
        <w:pStyle w:val="Heading2"/>
      </w:pPr>
      <w:r>
        <w:t>7.2  Economic Payback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 xml:space="preserve">Annual yield gain per 50 </w:t>
      </w:r>
      <w:proofErr w:type="spellStart"/>
      <w:r>
        <w:t>Wp</w:t>
      </w:r>
      <w:proofErr w:type="spellEnd"/>
      <w:r>
        <w:t xml:space="preserve"> panel: +4.8 kWh (91.3% vs 85.8% annual efficiency)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Additional energy value per year: +289 BDT (at 60 BDT/kWh avoided cost)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Payback period vs plain P&amp;O baseline: ~5.2 years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ESP32-S3 and STM32F103 rated lifetime: 10+ years → payback well within operational life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Conservative estimate: does not include battery longevity improvement from more stable charging</w:t>
      </w:r>
    </w:p>
    <w:p w:rsidR="00A77395" w:rsidRDefault="00A77395">
      <w:pPr>
        <w:spacing w:after="80"/>
      </w:pPr>
    </w:p>
    <w:p w:rsidR="00A77395" w:rsidRDefault="00A036E9">
      <w:pPr>
        <w:pStyle w:val="Heading2"/>
      </w:pPr>
      <w:r>
        <w:t>7.3  How Cloud-Free Retraining Works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ESP32-S3 creates a local Wi-Fi access point — no internet router needed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User connects phone or laptop to this hotspot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Browser-based interface runs TF.js training on 24 h of SD-card data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Weights are exported back to the ESP32-S3 flash after training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No data ever leaves the local device-to-browser link</w:t>
      </w:r>
    </w:p>
    <w:p w:rsidR="00A77395" w:rsidRDefault="00A036E9">
      <w:pPr>
        <w:pStyle w:val="ListParagraph"/>
        <w:numPr>
          <w:ilvl w:val="0"/>
          <w:numId w:val="1"/>
        </w:numPr>
        <w:spacing w:after="80"/>
      </w:pPr>
      <w:r>
        <w:t>Silent 14-day on-device retraining cycles continue automatically after initial setup</w:t>
      </w:r>
    </w:p>
    <w:p w:rsidR="00D3370C" w:rsidRDefault="00D3370C">
      <w:pPr>
        <w:pStyle w:val="ListParagraph"/>
        <w:numPr>
          <w:ilvl w:val="0"/>
          <w:numId w:val="1"/>
        </w:numPr>
        <w:spacing w:after="80"/>
      </w:pPr>
    </w:p>
    <w:p w:rsidR="00A77395" w:rsidRDefault="00A77395">
      <w:pPr>
        <w:spacing w:after="80"/>
      </w:pPr>
    </w:p>
    <w:p w:rsidR="00A77395" w:rsidRDefault="00A036E9">
      <w:pPr>
        <w:pStyle w:val="Heading2"/>
      </w:pPr>
      <w:r>
        <w:lastRenderedPageBreak/>
        <w:t>7.4  Honest Limitations</w:t>
      </w:r>
    </w:p>
    <w:tbl>
      <w:tblPr>
        <w:tblW w:w="936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395">
        <w:tc>
          <w:tcPr>
            <w:tcW w:w="9360" w:type="dxa"/>
            <w:tcBorders>
              <w:top w:val="single" w:sz="6" w:space="0" w:color="2B5FAD"/>
              <w:left w:val="single" w:sz="6" w:space="0" w:color="2B5FAD"/>
              <w:bottom w:val="single" w:sz="2" w:space="0" w:color="CCCCCC"/>
              <w:right w:val="single" w:sz="2" w:space="0" w:color="CCCCCC"/>
            </w:tcBorders>
            <w:shd w:val="clear" w:color="auto" w:fill="FDECEA"/>
          </w:tcPr>
          <w:p w:rsidR="00A77395" w:rsidRDefault="00A036E9">
            <w:pPr>
              <w:spacing w:after="80"/>
            </w:pPr>
            <w:r>
              <w:rPr>
                <w:b/>
                <w:bCs/>
                <w:color w:val="2B5FAD"/>
              </w:rPr>
              <w:t>What the Study Cannot Claim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>• All efficiency numbers come from simulation — no empirical hardware measurements were taken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>• Simulation-to-hardware fidelity for the LSTM blend has not been confirmed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>• Next step: hardware prototype fabrication and field deployment in Sylhet, Q3 2026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>• IRFZ44N will be upgraded to IRFB4110 (−86% conduction loss) in the hardware prototype</w:t>
            </w:r>
          </w:p>
        </w:tc>
      </w:tr>
    </w:tbl>
    <w:p w:rsidR="00A77395" w:rsidRDefault="00A036E9">
      <w:r>
        <w:br w:type="page"/>
      </w:r>
    </w:p>
    <w:p w:rsidR="00A77395" w:rsidRDefault="00A036E9">
      <w:pPr>
        <w:pStyle w:val="Heading1"/>
        <w:pBdr>
          <w:bottom w:val="single" w:sz="8" w:space="4" w:color="C9973A"/>
        </w:pBdr>
        <w:spacing w:before="0"/>
      </w:pPr>
      <w:r>
        <w:lastRenderedPageBreak/>
        <w:t>8. Anticipated Questions</w:t>
      </w:r>
    </w:p>
    <w:p w:rsidR="00A77395" w:rsidRDefault="00A036E9">
      <w:pPr>
        <w:pStyle w:val="Heading2"/>
      </w:pPr>
      <w:r>
        <w:t>Methodology Questions</w:t>
      </w:r>
    </w:p>
    <w:p w:rsidR="00A77395" w:rsidRDefault="00A77395">
      <w:pPr>
        <w:spacing w:after="80"/>
      </w:pPr>
    </w:p>
    <w:tbl>
      <w:tblPr>
        <w:tblW w:w="936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395">
        <w:tc>
          <w:tcPr>
            <w:tcW w:w="9360" w:type="dxa"/>
            <w:tcBorders>
              <w:top w:val="single" w:sz="6" w:space="0" w:color="2B5FAD"/>
              <w:left w:val="single" w:sz="6" w:space="0" w:color="2B5FAD"/>
              <w:bottom w:val="single" w:sz="2" w:space="0" w:color="CCCCCC"/>
              <w:right w:val="single" w:sz="2" w:space="0" w:color="CCCCCC"/>
            </w:tcBorders>
            <w:shd w:val="clear" w:color="auto" w:fill="D6E4F7"/>
          </w:tcPr>
          <w:p w:rsidR="00A77395" w:rsidRDefault="00A036E9">
            <w:pPr>
              <w:spacing w:after="80"/>
            </w:pPr>
            <w:r>
              <w:rPr>
                <w:b/>
                <w:bCs/>
                <w:color w:val="2B5FAD"/>
              </w:rPr>
              <w:t>Q: Why simulation instead of hardware validation?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 xml:space="preserve">Deliberate sequencing. Hardware fabrication in Sylhet requires procurement, PCB fab, and field site access — all time-consuming. Simulation-first allowed full parametric exploration (30-day Monte Carlo, α sweep, architecture ablation) that would be prohibitively expensive in hardware. The model is </w:t>
            </w:r>
            <w:proofErr w:type="spellStart"/>
            <w:r>
              <w:rPr>
                <w:sz w:val="21"/>
                <w:szCs w:val="21"/>
              </w:rPr>
              <w:t>parameterised</w:t>
            </w:r>
            <w:proofErr w:type="spellEnd"/>
            <w:r>
              <w:rPr>
                <w:sz w:val="21"/>
                <w:szCs w:val="21"/>
              </w:rPr>
              <w:t xml:space="preserve"> from NASA POWER and SREDA real data. Hardware is the confirmed immediate next phase, target Q3 2026.</w:t>
            </w:r>
          </w:p>
        </w:tc>
      </w:tr>
    </w:tbl>
    <w:p w:rsidR="00A77395" w:rsidRDefault="00A77395">
      <w:pPr>
        <w:spacing w:after="80"/>
      </w:pPr>
    </w:p>
    <w:tbl>
      <w:tblPr>
        <w:tblW w:w="936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395">
        <w:tc>
          <w:tcPr>
            <w:tcW w:w="9360" w:type="dxa"/>
            <w:tcBorders>
              <w:top w:val="single" w:sz="6" w:space="0" w:color="2B5FAD"/>
              <w:left w:val="single" w:sz="6" w:space="0" w:color="2B5FAD"/>
              <w:bottom w:val="single" w:sz="2" w:space="0" w:color="CCCCCC"/>
              <w:right w:val="single" w:sz="2" w:space="0" w:color="CCCCCC"/>
            </w:tcBorders>
            <w:shd w:val="clear" w:color="auto" w:fill="FFF8E7"/>
          </w:tcPr>
          <w:p w:rsidR="00A77395" w:rsidRDefault="00A036E9">
            <w:pPr>
              <w:spacing w:after="80"/>
            </w:pPr>
            <w:r>
              <w:rPr>
                <w:b/>
                <w:bCs/>
                <w:color w:val="2B5FAD"/>
              </w:rPr>
              <w:t>Q: How do you validate the irradiance model with no real sensor data?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 xml:space="preserve">Indirect validation: simulated plain P&amp;O efficiency (86.8% clear-sky) matches the Hossain et al. IDCOL field upper bound (79–85%) within 1.8 pp — confirming the clear-sky GHI model is physically reasonable. The OU parameters (τ=1s, σ=25%) are calibrated from Lave &amp; </w:t>
            </w:r>
            <w:proofErr w:type="spellStart"/>
            <w:r>
              <w:rPr>
                <w:sz w:val="21"/>
                <w:szCs w:val="21"/>
              </w:rPr>
              <w:t>Kleissl</w:t>
            </w:r>
            <w:proofErr w:type="spellEnd"/>
            <w:r>
              <w:rPr>
                <w:sz w:val="21"/>
                <w:szCs w:val="21"/>
              </w:rPr>
              <w:t xml:space="preserve"> 2010, a peer-reviewed cloud-shadow study. Full sensor-data validation happens in the Q3 2026 hardware trial.</w:t>
            </w:r>
          </w:p>
        </w:tc>
      </w:tr>
    </w:tbl>
    <w:p w:rsidR="00A77395" w:rsidRDefault="00A77395">
      <w:pPr>
        <w:spacing w:after="80"/>
      </w:pPr>
    </w:p>
    <w:tbl>
      <w:tblPr>
        <w:tblW w:w="936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395">
        <w:tc>
          <w:tcPr>
            <w:tcW w:w="9360" w:type="dxa"/>
            <w:tcBorders>
              <w:top w:val="single" w:sz="6" w:space="0" w:color="2B5FAD"/>
              <w:left w:val="single" w:sz="6" w:space="0" w:color="2B5FAD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:rsidR="00A77395" w:rsidRDefault="00A036E9">
            <w:pPr>
              <w:spacing w:after="80"/>
            </w:pPr>
            <w:r>
              <w:rPr>
                <w:b/>
                <w:bCs/>
                <w:color w:val="2B5FAD"/>
              </w:rPr>
              <w:t>Q: Your R²=0.917 is lower than other LSTM MPPT papers. Why?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 xml:space="preserve">Climate difficulty. Liu et al. (0.973, China) and Abdel-Basset et al. (0.961, Egypt) work in arid/temperate climates. Sylhet's monsoon CVI of 0.85 is one of the most challenging globally. </w:t>
            </w:r>
            <w:proofErr w:type="spellStart"/>
            <w:r>
              <w:rPr>
                <w:sz w:val="21"/>
                <w:szCs w:val="21"/>
              </w:rPr>
              <w:t>Mazumdar</w:t>
            </w:r>
            <w:proofErr w:type="spellEnd"/>
            <w:r>
              <w:rPr>
                <w:sz w:val="21"/>
                <w:szCs w:val="21"/>
              </w:rPr>
              <w:t xml:space="preserve"> et al. confirmed that lower R² in monsoon conditions reflects climate difficulty, not model limitation. Our 0.917 on a fully independent Year-2 test set is strong performance for this climate.</w:t>
            </w:r>
          </w:p>
        </w:tc>
      </w:tr>
    </w:tbl>
    <w:p w:rsidR="00A77395" w:rsidRDefault="00A77395">
      <w:pPr>
        <w:spacing w:after="80"/>
      </w:pPr>
    </w:p>
    <w:tbl>
      <w:tblPr>
        <w:tblW w:w="936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395">
        <w:tc>
          <w:tcPr>
            <w:tcW w:w="9360" w:type="dxa"/>
            <w:tcBorders>
              <w:top w:val="single" w:sz="6" w:space="0" w:color="2B5FAD"/>
              <w:left w:val="single" w:sz="6" w:space="0" w:color="2B5FAD"/>
              <w:bottom w:val="single" w:sz="2" w:space="0" w:color="CCCCCC"/>
              <w:right w:val="single" w:sz="2" w:space="0" w:color="CCCCCC"/>
            </w:tcBorders>
            <w:shd w:val="clear" w:color="auto" w:fill="D6E4F7"/>
          </w:tcPr>
          <w:p w:rsidR="00A77395" w:rsidRDefault="00A036E9">
            <w:pPr>
              <w:spacing w:after="80"/>
            </w:pPr>
            <w:r>
              <w:rPr>
                <w:b/>
                <w:bCs/>
                <w:color w:val="2B5FAD"/>
              </w:rPr>
              <w:t>Q: Why not use a larger/better model like a Transformer?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 xml:space="preserve">Hardware constraint: the binding limit is the 12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inference budget on the ESP32-S3, needed to fit within the 100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UART sync interval. The 64-unit LSTM is estimated at 37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— dangerously close to the budget. For the accuracy-vs-latency Pareto frontier on this specific hardware, 32 units is the optimal choice.</w:t>
            </w:r>
          </w:p>
        </w:tc>
      </w:tr>
    </w:tbl>
    <w:p w:rsidR="00A77395" w:rsidRDefault="00A77395">
      <w:pPr>
        <w:spacing w:after="80"/>
      </w:pPr>
    </w:p>
    <w:tbl>
      <w:tblPr>
        <w:tblW w:w="936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395">
        <w:tc>
          <w:tcPr>
            <w:tcW w:w="9360" w:type="dxa"/>
            <w:tcBorders>
              <w:top w:val="single" w:sz="6" w:space="0" w:color="2B5FAD"/>
              <w:left w:val="single" w:sz="6" w:space="0" w:color="2B5FAD"/>
              <w:bottom w:val="single" w:sz="2" w:space="0" w:color="CCCCCC"/>
              <w:right w:val="single" w:sz="2" w:space="0" w:color="CCCCCC"/>
            </w:tcBorders>
            <w:shd w:val="clear" w:color="auto" w:fill="FFF8E7"/>
          </w:tcPr>
          <w:p w:rsidR="00A77395" w:rsidRDefault="00A036E9">
            <w:pPr>
              <w:spacing w:after="80"/>
            </w:pPr>
            <w:r>
              <w:rPr>
                <w:b/>
                <w:bCs/>
                <w:color w:val="2B5FAD"/>
              </w:rPr>
              <w:t>Q: Your 94% efficiency is from simulation. How confident are you it holds in hardware?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 xml:space="preserve">Moderate confidence, acknowledged uncertainty. Three supporting factors: (1) simulation uses conservative parameters — OU flicker more severe than real field; (2) 30-day Monte Carlo gives statistical bounds, not a single lucky run; (3) VS-P&amp;O hardware implementations achieve 88–92% under variable irradiance (per </w:t>
            </w:r>
            <w:proofErr w:type="spellStart"/>
            <w:r>
              <w:rPr>
                <w:sz w:val="21"/>
                <w:szCs w:val="21"/>
              </w:rPr>
              <w:t>Tey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Mekhilef</w:t>
            </w:r>
            <w:proofErr w:type="spellEnd"/>
            <w:r>
              <w:rPr>
                <w:sz w:val="21"/>
                <w:szCs w:val="21"/>
              </w:rPr>
              <w:t xml:space="preserve"> 2014), so 94% with LSTM assist is plausible. The paper explicitly states this limitation.</w:t>
            </w:r>
          </w:p>
        </w:tc>
      </w:tr>
    </w:tbl>
    <w:p w:rsidR="00A77395" w:rsidRDefault="00A77395">
      <w:pPr>
        <w:spacing w:after="80"/>
      </w:pPr>
    </w:p>
    <w:p w:rsidR="00A036E9" w:rsidRDefault="00A036E9">
      <w:pPr>
        <w:spacing w:after="80"/>
      </w:pPr>
    </w:p>
    <w:tbl>
      <w:tblPr>
        <w:tblW w:w="936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395">
        <w:tc>
          <w:tcPr>
            <w:tcW w:w="9360" w:type="dxa"/>
            <w:tcBorders>
              <w:top w:val="single" w:sz="6" w:space="0" w:color="2B5FAD"/>
              <w:left w:val="single" w:sz="6" w:space="0" w:color="2B5FAD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:rsidR="00A77395" w:rsidRDefault="00A036E9">
            <w:pPr>
              <w:spacing w:after="80"/>
            </w:pPr>
            <w:r>
              <w:rPr>
                <w:b/>
                <w:bCs/>
                <w:color w:val="2B5FAD"/>
              </w:rPr>
              <w:lastRenderedPageBreak/>
              <w:t>Q: Why does the α plateau matter? Isn't α=0.35 just tuned to this simulation?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>The plateau (Δα=0.35, from 0.20 to 0.55) resolves the concern that the 94% result is specifically tuned to one value and would collapse with variation. Stable gain across ±50% variation in α means the result is structurally robust — not parameter overfitting. This directly addresses the standard reviewer critique for intelligent MPPT papers.</w:t>
            </w:r>
          </w:p>
        </w:tc>
      </w:tr>
    </w:tbl>
    <w:p w:rsidR="00A77395" w:rsidRDefault="00A77395">
      <w:pPr>
        <w:spacing w:after="80"/>
      </w:pPr>
    </w:p>
    <w:tbl>
      <w:tblPr>
        <w:tblW w:w="936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395">
        <w:tc>
          <w:tcPr>
            <w:tcW w:w="9360" w:type="dxa"/>
            <w:tcBorders>
              <w:top w:val="single" w:sz="6" w:space="0" w:color="2B5FAD"/>
              <w:left w:val="single" w:sz="6" w:space="0" w:color="2B5FAD"/>
              <w:bottom w:val="single" w:sz="2" w:space="0" w:color="CCCCCC"/>
              <w:right w:val="single" w:sz="2" w:space="0" w:color="CCCCCC"/>
            </w:tcBorders>
            <w:shd w:val="clear" w:color="auto" w:fill="D6E4F7"/>
          </w:tcPr>
          <w:p w:rsidR="00A77395" w:rsidRDefault="00A036E9">
            <w:pPr>
              <w:spacing w:after="80"/>
            </w:pPr>
            <w:r>
              <w:rPr>
                <w:b/>
                <w:bCs/>
                <w:color w:val="2B5FAD"/>
              </w:rPr>
              <w:t>Q: Why UART instead of SPI or I²C?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 xml:space="preserve">UART is asynchronous, needs only 2 wires (TX/RX), and bandwidth is not a constraint at 100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intervals (only a few bytes of float data per message). SPI requires chip-select and clock lines; I²C has addressing overhead. UART is also more electrically robust in a 50 kHz switching environment.</w:t>
            </w:r>
          </w:p>
        </w:tc>
      </w:tr>
    </w:tbl>
    <w:p w:rsidR="00A77395" w:rsidRDefault="00A77395">
      <w:pPr>
        <w:spacing w:after="80"/>
      </w:pPr>
    </w:p>
    <w:tbl>
      <w:tblPr>
        <w:tblW w:w="936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395">
        <w:tc>
          <w:tcPr>
            <w:tcW w:w="9360" w:type="dxa"/>
            <w:tcBorders>
              <w:top w:val="single" w:sz="6" w:space="0" w:color="2B5FAD"/>
              <w:left w:val="single" w:sz="6" w:space="0" w:color="2B5FAD"/>
              <w:bottom w:val="single" w:sz="2" w:space="0" w:color="CCCCCC"/>
              <w:right w:val="single" w:sz="2" w:space="0" w:color="CCCCCC"/>
            </w:tcBorders>
            <w:shd w:val="clear" w:color="auto" w:fill="FFF8E7"/>
          </w:tcPr>
          <w:p w:rsidR="00A77395" w:rsidRDefault="00A036E9">
            <w:pPr>
              <w:spacing w:after="80"/>
            </w:pPr>
            <w:r>
              <w:rPr>
                <w:b/>
                <w:bCs/>
                <w:color w:val="2B5FAD"/>
              </w:rPr>
              <w:t>Q: Why not start with the IRFB4110 instead of IRFZ44N?</w:t>
            </w:r>
          </w:p>
          <w:p w:rsidR="00A77395" w:rsidRDefault="00A036E9">
            <w:pPr>
              <w:spacing w:after="60"/>
            </w:pPr>
            <w:r>
              <w:rPr>
                <w:sz w:val="21"/>
                <w:szCs w:val="21"/>
              </w:rPr>
              <w:t xml:space="preserve">Cost and availability. IRFZ44N costs ~40 BDT in Dhaka retail and is universally stocked. Its RDS(on)=28 </w:t>
            </w:r>
            <w:proofErr w:type="spellStart"/>
            <w:r>
              <w:rPr>
                <w:sz w:val="21"/>
                <w:szCs w:val="21"/>
              </w:rPr>
              <w:t>mΩ</w:t>
            </w:r>
            <w:proofErr w:type="spellEnd"/>
            <w:r>
              <w:rPr>
                <w:sz w:val="21"/>
                <w:szCs w:val="21"/>
              </w:rPr>
              <w:t xml:space="preserve"> gives peak conduction loss of ~2.0 W at 8.5 A — manageable with a small heatsink. IRFB4110 (3.7 </w:t>
            </w:r>
            <w:proofErr w:type="spellStart"/>
            <w:r>
              <w:rPr>
                <w:sz w:val="21"/>
                <w:szCs w:val="21"/>
              </w:rPr>
              <w:t>mΩ</w:t>
            </w:r>
            <w:proofErr w:type="spellEnd"/>
            <w:r>
              <w:rPr>
                <w:sz w:val="21"/>
                <w:szCs w:val="21"/>
              </w:rPr>
              <w:t>, −86% loss) will be used in the hardware prototype where thermal performance can be empirically confirmed.</w:t>
            </w:r>
          </w:p>
        </w:tc>
      </w:tr>
    </w:tbl>
    <w:p w:rsidR="00A77395" w:rsidRDefault="00A77395">
      <w:pPr>
        <w:spacing w:after="80"/>
      </w:pPr>
    </w:p>
    <w:p w:rsidR="00A77395" w:rsidRDefault="00A036E9">
      <w:r>
        <w:br w:type="page"/>
      </w:r>
    </w:p>
    <w:p w:rsidR="00A77395" w:rsidRDefault="00A036E9">
      <w:pPr>
        <w:pStyle w:val="Heading1"/>
        <w:pBdr>
          <w:bottom w:val="single" w:sz="8" w:space="4" w:color="C9973A"/>
        </w:pBdr>
        <w:spacing w:before="0"/>
      </w:pPr>
      <w:r>
        <w:lastRenderedPageBreak/>
        <w:t>9. Quick-Reference Numbers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7395">
        <w:trPr>
          <w:tblHeader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Quantity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IDCOL SHS households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6M+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Sylhet monsoon CVI (July)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0.85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Plain P&amp;O efficiency — monsoon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70.7%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Plain P&amp;O efficiency — clear sky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~86%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:rsidR="00A77395" w:rsidRDefault="00A036E9">
            <w:r>
              <w:rPr>
                <w:b/>
                <w:bCs/>
                <w:sz w:val="21"/>
                <w:szCs w:val="21"/>
              </w:rPr>
              <w:t>Helios-Artemis monsoon efficiency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:rsidR="00A77395" w:rsidRDefault="00A036E9">
            <w:r>
              <w:rPr>
                <w:b/>
                <w:bCs/>
                <w:sz w:val="21"/>
                <w:szCs w:val="21"/>
              </w:rPr>
              <w:t>94.0 ± 0.6% (95% CI: 92.9–94.9%)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Improvement vs plain P&amp;O (monsoon)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+23.3 pp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LSTM R² (Year-2 independent test)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0.917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LSTM daytime MAE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50.7 W/m²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LSTM RMSE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63.6 W/m²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LSTM residual bias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+2.3 W/m² (slight positive — no under-positioning)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Inference time (32-unit, float)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 xml:space="preserve">&lt;12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Inference time (32-unit, Int8)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 xml:space="preserve">4.7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Total model parameters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~7,430 (7,329 forecaster + 101 gain scheduler)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Optimal α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0.35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Stable α plateau range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0.20 to 0.55 (Δα = 0.35)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 xml:space="preserve">Blend </w:t>
            </w:r>
            <w:proofErr w:type="spellStart"/>
            <w:r>
              <w:rPr>
                <w:sz w:val="21"/>
                <w:szCs w:val="21"/>
              </w:rPr>
              <w:t>deadband</w:t>
            </w:r>
            <w:proofErr w:type="spellEnd"/>
            <w:r>
              <w:rPr>
                <w:sz w:val="21"/>
                <w:szCs w:val="21"/>
              </w:rPr>
              <w:t xml:space="preserve"> threshold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15% relative irradiance deviation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 xml:space="preserve">Blend </w:t>
            </w:r>
            <w:proofErr w:type="spellStart"/>
            <w:r>
              <w:rPr>
                <w:sz w:val="21"/>
                <w:szCs w:val="21"/>
              </w:rPr>
              <w:t>cooldown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20 P&amp;O steps after each blend event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P&amp;O step size law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proofErr w:type="spellStart"/>
            <w:r>
              <w:rPr>
                <w:sz w:val="21"/>
                <w:szCs w:val="21"/>
              </w:rPr>
              <w:t>dL</w:t>
            </w:r>
            <w:proofErr w:type="spellEnd"/>
            <w:r>
              <w:rPr>
                <w:sz w:val="21"/>
                <w:szCs w:val="21"/>
              </w:rPr>
              <w:t xml:space="preserve"> = clip(0.008×|</w:t>
            </w:r>
            <w:proofErr w:type="spellStart"/>
            <w:r>
              <w:rPr>
                <w:sz w:val="21"/>
                <w:szCs w:val="21"/>
              </w:rPr>
              <w:t>dP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dV</w:t>
            </w:r>
            <w:proofErr w:type="spellEnd"/>
            <w:r>
              <w:rPr>
                <w:sz w:val="21"/>
                <w:szCs w:val="21"/>
              </w:rPr>
              <w:t>|, 0.05, 0.60) V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Cold-start convergence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~18 steps to 94% efficiency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UART interval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 xml:space="preserve">100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PWM frequency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50 kHz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Buck converter LC filter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 xml:space="preserve">100 </w:t>
            </w:r>
            <w:proofErr w:type="spellStart"/>
            <w:r>
              <w:rPr>
                <w:sz w:val="21"/>
                <w:szCs w:val="21"/>
              </w:rPr>
              <w:t>μH</w:t>
            </w:r>
            <w:proofErr w:type="spellEnd"/>
            <w:r>
              <w:rPr>
                <w:sz w:val="21"/>
                <w:szCs w:val="21"/>
              </w:rPr>
              <w:t xml:space="preserve"> + 470 </w:t>
            </w:r>
            <w:proofErr w:type="spellStart"/>
            <w:r>
              <w:rPr>
                <w:sz w:val="21"/>
                <w:szCs w:val="21"/>
              </w:rPr>
              <w:t>μF</w:t>
            </w:r>
            <w:proofErr w:type="spellEnd"/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MOSFET (simulation)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 xml:space="preserve">IRFZ44N, RDS(on)=28 </w:t>
            </w:r>
            <w:proofErr w:type="spellStart"/>
            <w:r>
              <w:rPr>
                <w:sz w:val="21"/>
                <w:szCs w:val="21"/>
              </w:rPr>
              <w:t>mΩ</w:t>
            </w:r>
            <w:proofErr w:type="spellEnd"/>
            <w:r>
              <w:rPr>
                <w:sz w:val="21"/>
                <w:szCs w:val="21"/>
              </w:rPr>
              <w:t>, VDS=60V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MOSFET (hardware upgrade)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 xml:space="preserve">IRFB4110, RDS(on)=3.7 </w:t>
            </w:r>
            <w:proofErr w:type="spellStart"/>
            <w:r>
              <w:rPr>
                <w:sz w:val="21"/>
                <w:szCs w:val="21"/>
              </w:rPr>
              <w:t>mΩ</w:t>
            </w:r>
            <w:proofErr w:type="spellEnd"/>
            <w:r>
              <w:rPr>
                <w:sz w:val="21"/>
                <w:szCs w:val="21"/>
              </w:rPr>
              <w:t xml:space="preserve"> (−86% loss)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Peak conduction loss at 8.5 A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~2.0 W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Peak junction temperature (simulated)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62°C (35°C ambient)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 xml:space="preserve">Battery </w:t>
            </w:r>
            <w:proofErr w:type="spellStart"/>
            <w:r>
              <w:rPr>
                <w:sz w:val="21"/>
                <w:szCs w:val="21"/>
              </w:rPr>
              <w:t>SoC</w:t>
            </w:r>
            <w:proofErr w:type="spellEnd"/>
            <w:r>
              <w:rPr>
                <w:sz w:val="21"/>
                <w:szCs w:val="21"/>
              </w:rPr>
              <w:t xml:space="preserve"> start → end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45% → 100% in 13-hour window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Peak GHI (July, aerosol-capped)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744 W/m²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lastRenderedPageBreak/>
              <w:t>OU flicker parameters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τ=1s, σ=25%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Aerosol attenuation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×0.93 (</w:t>
            </w:r>
            <w:proofErr w:type="spellStart"/>
            <w:r>
              <w:rPr>
                <w:sz w:val="21"/>
                <w:szCs w:val="21"/>
              </w:rPr>
              <w:t>Linke</w:t>
            </w:r>
            <w:proofErr w:type="spellEnd"/>
            <w:r>
              <w:rPr>
                <w:sz w:val="21"/>
                <w:szCs w:val="21"/>
              </w:rPr>
              <w:t xml:space="preserve"> TL≈4.5)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Panel soiling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 xml:space="preserve">3% on </w:t>
            </w:r>
            <w:proofErr w:type="spellStart"/>
            <w:r>
              <w:rPr>
                <w:sz w:val="21"/>
                <w:szCs w:val="21"/>
              </w:rPr>
              <w:t>Isc</w:t>
            </w:r>
            <w:proofErr w:type="spellEnd"/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Monte Carlo days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30 (July) / N=200 (full scenario table)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:rsidR="00A77395" w:rsidRDefault="00A036E9">
            <w:r>
              <w:rPr>
                <w:b/>
                <w:bCs/>
                <w:sz w:val="21"/>
                <w:szCs w:val="21"/>
              </w:rPr>
              <w:t>Controller cost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:rsidR="00A77395" w:rsidRDefault="00A036E9">
            <w:r>
              <w:rPr>
                <w:b/>
                <w:bCs/>
                <w:sz w:val="21"/>
                <w:szCs w:val="21"/>
              </w:rPr>
              <w:t>~1,500 BDT (USD 14)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Commercial alternative cost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~13,500 BDT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Cost reduction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89%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 xml:space="preserve">Annual yield gain per 50 </w:t>
            </w:r>
            <w:proofErr w:type="spellStart"/>
            <w:r>
              <w:rPr>
                <w:sz w:val="21"/>
                <w:szCs w:val="21"/>
              </w:rPr>
              <w:t>Wp</w:t>
            </w:r>
            <w:proofErr w:type="spellEnd"/>
            <w:r>
              <w:rPr>
                <w:sz w:val="21"/>
                <w:szCs w:val="21"/>
              </w:rPr>
              <w:t xml:space="preserve"> panel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+4.8 kWh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Additional energy value/year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+289 BDT (at 60 BDT/kWh)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Payback period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~5.2 years</w:t>
            </w:r>
          </w:p>
        </w:tc>
      </w:tr>
      <w:tr w:rsidR="00A77395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Hardware trial target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Q3 2026, Sylhet field deployment</w:t>
            </w:r>
          </w:p>
        </w:tc>
      </w:tr>
    </w:tbl>
    <w:p w:rsidR="00A77395" w:rsidRDefault="00A036E9">
      <w:r>
        <w:br w:type="page"/>
      </w:r>
    </w:p>
    <w:p w:rsidR="00A77395" w:rsidRDefault="00A036E9">
      <w:pPr>
        <w:pStyle w:val="Heading1"/>
        <w:pBdr>
          <w:bottom w:val="single" w:sz="8" w:space="4" w:color="C9973A"/>
        </w:pBdr>
        <w:spacing w:before="0"/>
      </w:pPr>
      <w:r>
        <w:lastRenderedPageBreak/>
        <w:t>10. Glossary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A77395">
        <w:trPr>
          <w:tblHeader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B5FAD"/>
            <w:vAlign w:val="center"/>
          </w:tcPr>
          <w:p w:rsidR="00A77395" w:rsidRDefault="00A036E9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MPPT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Maximum Power Point Tracking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P&amp;O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Perturb-and-Observe MPPT algorithm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VS-P&amp;O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Variable-Step Perturb-and-Observe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LSTM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Long Short-Term Memory (type of recurrent neural network)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MCU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Microcontroller Unit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SHS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Solar Home System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IDCOL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Infrastructure Development Company Limited (Bangladesh)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CVI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Cloud Variability Index (0=clear sky, 1=fully variable)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GHI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Global Horizontal Irradiance (W/m²)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OU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Ornstein-</w:t>
            </w:r>
            <w:proofErr w:type="spellStart"/>
            <w:r>
              <w:rPr>
                <w:sz w:val="21"/>
                <w:szCs w:val="21"/>
              </w:rPr>
              <w:t>Uhlenbeck</w:t>
            </w:r>
            <w:proofErr w:type="spellEnd"/>
            <w:r>
              <w:rPr>
                <w:sz w:val="21"/>
                <w:szCs w:val="21"/>
              </w:rPr>
              <w:t xml:space="preserve"> (stochastic process for irradiance flicker)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CC/CV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Constant Current / Constant Voltage (battery charging stages)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MAE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Mean Absolute Error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RMSE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Root Mean Square Error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R²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Coefficient of determination (goodness of fit, 0–1)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CI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Confidence Interval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BOM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Bill of Materials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BDT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Bangladeshi Taka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TF.js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TensorFlow.js (browser-based machine learning library)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NASA POWER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NASA Prediction of Worldwide Energy Resources dataset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SREDA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Sustainable and Renewable Energy Development Authority (Bangladesh)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PWM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Pulse Width Modulation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RDS(on)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MOSFET on-resistance (drain-source, when transistor is on)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INA219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Texas Instruments precision current/power monitor IC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TSL2591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High-dynamic-range ambient light sensor IC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α (alpha)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A77395" w:rsidRDefault="00A036E9">
            <w:r>
              <w:rPr>
                <w:sz w:val="21"/>
                <w:szCs w:val="21"/>
              </w:rPr>
              <w:t>LSTM prediction trust weight — blend param</w:t>
            </w:r>
            <w:bookmarkStart w:id="0" w:name="_GoBack"/>
            <w:bookmarkEnd w:id="0"/>
            <w:r>
              <w:rPr>
                <w:sz w:val="21"/>
                <w:szCs w:val="21"/>
              </w:rPr>
              <w:t>eter between 0 and 1</w:t>
            </w:r>
          </w:p>
        </w:tc>
      </w:tr>
      <w:tr w:rsidR="00A77395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pp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:rsidR="00A77395" w:rsidRDefault="00A036E9">
            <w:r>
              <w:rPr>
                <w:sz w:val="21"/>
                <w:szCs w:val="21"/>
              </w:rPr>
              <w:t>Percentage points (unit for efficiency differences)</w:t>
            </w:r>
          </w:p>
        </w:tc>
      </w:tr>
    </w:tbl>
    <w:p w:rsidR="00A036E9" w:rsidRDefault="00A036E9"/>
    <w:sectPr w:rsidR="00A036E9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546FA"/>
    <w:multiLevelType w:val="multilevel"/>
    <w:tmpl w:val="55FAED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C057EFF"/>
    <w:multiLevelType w:val="hybridMultilevel"/>
    <w:tmpl w:val="C10214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4D03CE"/>
    <w:multiLevelType w:val="multilevel"/>
    <w:tmpl w:val="370427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2"/>
  </w:num>
  <w:num w:numId="3">
    <w:abstractNumId w:val="0"/>
    <w:lvlOverride w:ilvl="0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395"/>
    <w:rsid w:val="002A3B83"/>
    <w:rsid w:val="004A678B"/>
    <w:rsid w:val="00A036E9"/>
    <w:rsid w:val="00A77395"/>
    <w:rsid w:val="00B43718"/>
    <w:rsid w:val="00D3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BBDFA"/>
  <w15:docId w15:val="{5E331FD7-B087-48A5-82DA-7D0D1DC7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qFormat/>
    <w:pPr>
      <w:spacing w:before="300" w:after="160"/>
      <w:outlineLvl w:val="0"/>
    </w:pPr>
    <w:rPr>
      <w:rFonts w:ascii="Arial" w:eastAsia="Arial" w:hAnsi="Arial" w:cs="Arial"/>
      <w:b/>
      <w:bCs/>
      <w:color w:val="2B5FAD"/>
    </w:rPr>
  </w:style>
  <w:style w:type="paragraph" w:styleId="Heading2">
    <w:name w:val="heading 2"/>
    <w:basedOn w:val="Heading"/>
    <w:qFormat/>
    <w:pPr>
      <w:spacing w:before="220" w:after="100"/>
      <w:outlineLvl w:val="1"/>
    </w:pPr>
    <w:rPr>
      <w:rFonts w:ascii="Arial" w:eastAsia="Arial" w:hAnsi="Arial" w:cs="Arial"/>
      <w:b/>
      <w:bCs/>
      <w:color w:val="2B5FAD"/>
      <w:sz w:val="24"/>
      <w:szCs w:val="24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2709</Words>
  <Characters>15442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mourymarjana@gmail.com</cp:lastModifiedBy>
  <cp:revision>6</cp:revision>
  <dcterms:created xsi:type="dcterms:W3CDTF">2026-05-18T08:15:00Z</dcterms:created>
  <dcterms:modified xsi:type="dcterms:W3CDTF">2026-05-18T15:38:00Z</dcterms:modified>
  <dc:language>en-US</dc:language>
</cp:coreProperties>
</file>