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Guardrails for the Record Race: What a CsPbI3 Cell Can Honestly Claim (24.9%</w:t>
      </w:r>
      <w:r>
        <w:t xml:space="preserve"> </w:t>
      </w:r>
      <m:oMath>
        <m:r>
          <m:rPr>
            <m:sty m:val="p"/>
          </m:rPr>
          <m:t>→</m:t>
        </m:r>
      </m:oMath>
      <w:r>
        <w:t xml:space="preserve"> </w:t>
      </w:r>
      <w:r>
        <w:t xml:space="preserve">20.8%)</w:t>
      </w:r>
    </w:p>
    <w:p>
      <w:pPr>
        <w:pStyle w:val="Author"/>
      </w:pPr>
      <w:r>
        <w:t xml:space="preserve">Hussain Touhid Siddiquee</w:t>
      </w:r>
      <w:r>
        <w:rPr>
          <w:rStyle w:val="FootnoteReference"/>
        </w:rPr>
        <w:footnoteReference w:id="9"/>
      </w:r>
    </w:p>
    <w:p>
      <w:pPr>
        <w:pStyle w:val="Author"/>
      </w:pPr>
      <w:r>
        <w:t xml:space="preserve">Md. Abdul Malek Fahim</w:t>
      </w:r>
    </w:p>
    <w:bookmarkStart w:id="10" w:name="introduction"/>
    <w:p>
      <w:pPr>
        <w:pStyle w:val="Heading1"/>
      </w:pPr>
      <w:r>
        <w:rPr>
          <w:b/>
        </w:rPr>
        <w:t>Abstract</w:t>
      </w:r>
    </w:p>
    <w:p>
      <w:r>
        <w:t>Simulation records for CsPbI3 solar cells now exceed the certified experimental frontier (22.02%), but the numbers rest on undisclosed assumptions. We screen an ITO/TiO2/CsPbI3/CBTS/Ni cell in SCAPS-1D over a guardrailed box---absorber 0.4--2.2 \mum, N_A 10^{15}--3\times10^{16} cm^{-3}, N_t 10^{12}--10^{15} cm^{-3}, E_g 1.65--1.75 eV with linked affinity, interfaces at or above a 10^{10} cm^{-2} floor (S\ge100 cm/s)---and price every assumption with computed sweeps. The best evaluated guardrailed point reaches 24.95% (Voc 1.321 V, Jsc 21.20 mA/cm^2, FF 89.11%), but it sits at the box edge in thickness and doping and on permissive affinities, so it is an upper bound rather than a forecast; the number we would defend is the routine-defect case, 20.82% (1.0 \mum, N_t=10^{15} cm^{-3}), which drops to 20.42% at R_s=1 \Omegacm^2. Two screens keep the optimism in check: a detailed-balance Voc computed from the model's own absorption (1.371 V at 1.65 eV) clears the champion by 0.05 V but leaves the no-interface band with no margin anywhere, and a paired Morris analysis favours interface quality over bulk defects by 2.03 points (95% CI [0.70, 3.51]) at the defect floor while the same dose--response goes nearly flat at routine defects---so the ranking is regime-dependent, not universal. All definition files, sweep receipts, and raw curves are archived in the public repository for independent reproduction.</w:t>
      </w:r>
    </w:p>
    <w:p>
      <w:pPr>
        <w:pStyle w:val="Heading1"/>
      </w:pPr>
      <w:r>
        <w:t xml:space="preserve">Introduction</w:t>
      </w:r>
    </w:p>
    <w:p>
      <w:pPr>
        <w:pStyle w:val="FirstParagraph"/>
      </w:pPr>
      <w:r>
        <w:t xml:space="preserve">All-inorganic CsPbI3 perovskite solar cells combine the thermal stability lacking in hybrid organic–inorganic perovskites with a bandgap near 1.7 eV that suits both single-junction and tandem top-cell applications </w:t>
      </w:r>
      <w:r>
        <w:t xml:space="preserve">[1], [2]</w:t>
      </w:r>
      <w:r>
        <w:t xml:space="preserve">. After years below 19%, certified laboratory efficiencies have recently passed 22%: 22.02% certified (22.60% laboratory) with a moisture-responsive propyltriethoxysilane crystallisation strategy </w:t>
      </w:r>
      <w:r>
        <w:t xml:space="preserve">[1]</w:t>
      </w:r>
      <w:r>
        <w:t xml:space="preserve">, 22.05% by fluorination-assisted interfacial dipole engineering </w:t>
      </w:r>
      <w:r>
        <w:t xml:space="preserve">[2]</w:t>
      </w:r>
      <w:r>
        <w:t xml:space="preserve">, 21.71% with dual-interface and bulk co-passivation at an open-circuit voltage of 1.27 V </w:t>
      </w:r>
      <w:r>
        <w:t xml:space="preserve">[3]</w:t>
      </w:r>
      <w:r>
        <w:t xml:space="preserve">, and 21.43% certified for inverted architectures </w:t>
      </w:r>
      <w:r>
        <w:t xml:space="preserve">[4]</w:t>
      </w:r>
      <w:r>
        <w:t xml:space="preserve">. Each record was won at the interfaces and in the bulk defect chemistry, which motivates a simulation study that treats those exact levers honestly.</w:t>
      </w:r>
    </w:p>
    <w:p>
      <w:pPr>
        <w:pStyle w:val="BodyText"/>
      </w:pPr>
      <w:r>
        <w:t xml:space="preserve">The one-dimensional solar cell capacitance simulator (SCAPS-1D) is the workhorse for such pre-experimental screening, and the ITO/TiO2/CsPbI3/CBTS (copper barium thiostannate) stack of</w:t>
      </w:r>
      <w:r>
        <w:t xml:space="preserve"> </w:t>
      </w:r>
      <w:r>
        <w:t xml:space="preserve">[5]</w:t>
      </w:r>
      <w:r>
        <w:t xml:space="preserve"> </w:t>
      </w:r>
      <w:r>
        <w:t xml:space="preserve">is the most-prescribed CsPbI3 baseline, progressing from 17.90% over 96 screened transport-layer combinations </w:t>
      </w:r>
      <w:r>
        <w:t xml:space="preserve">[6]</w:t>
      </w:r>
      <w:r>
        <w:t xml:space="preserve"> </w:t>
      </w:r>
      <w:r>
        <w:t xml:space="preserve">to 19.06% after optimisation. Subsequent simulation studies report up to 24.17% on the same stack </w:t>
      </w:r>
      <w:r>
        <w:t xml:space="preserve">[7]</w:t>
      </w:r>
      <w:r>
        <w:t xml:space="preserve"> </w:t>
      </w:r>
      <w:r>
        <w:t xml:space="preserve">and 24.24% on ZnO/PTAA </w:t>
      </w:r>
      <w:r>
        <w:t xml:space="preserve">[8]</w:t>
      </w:r>
      <w:r>
        <w:t xml:space="preserve">, while large machine-learning-coupled screens now exceed 27% on other absorbers </w:t>
      </w:r>
      <w:r>
        <w:t xml:space="preserve">[9], [10]</w:t>
      </w:r>
      <w:r>
        <w:t xml:space="preserve">. Three problems accompany this inflation. First, nearly every study optimises one variable at a time (OVAT), so parameter interactions—notably absorber thickness versus defect-limited diffusion length—are invisible by construction. Second, interface recombination is removed in at least one case (stated explicitly in </w:t>
      </w:r>
      <w:r>
        <w:t xml:space="preserve">[8]</w:t>
      </w:r>
      <w:r>
        <w:t xml:space="preserve">) and defect densities are hard to verify without published parameters, which neither of the two 24%-class studies prints; we note this as unverifiable rather than adjudicated, and say so instead of inferring intent—we report our own data the same critical way, and where we could not reproduce others for lack of published parameters, we say so instead of inferring inflation. Third, scripted sweeps mix unit systems: SCAPS definition files store SI units while script</w:t>
      </w:r>
      <w:r>
        <w:t xml:space="preserve"> </w:t>
      </w:r>
      <w:r>
        <w:t xml:space="preserve">‘set’</w:t>
      </w:r>
      <w:r>
        <w:t xml:space="preserve"> </w:t>
      </w:r>
      <w:r>
        <w:t xml:space="preserve">commands expect practical units, so SI-valued inputs silently inject a</w:t>
      </w:r>
      <w:r>
        <w:t xml:space="preserve"> </w:t>
      </w:r>
      <m:oMath>
        <m:sSup>
          <m:e>
            <m:r>
              <m:t>10</m:t>
            </m:r>
          </m:e>
          <m:sup>
            <m:r>
              <m:t>6</m:t>
            </m:r>
          </m:sup>
        </m:sSup>
        <m:r>
          <m:rPr>
            <m:sty m:val="p"/>
          </m:rPr>
          <m:t>×</m:t>
        </m:r>
      </m:oMath>
      <w:r>
        <w:t xml:space="preserve"> </w:t>
      </w:r>
      <w:r>
        <w:t xml:space="preserve">overdose and fabricate ghost cells (scripting conventions are documented in Appendix A).</w:t>
      </w:r>
    </w:p>
    <w:p>
      <w:pPr>
        <w:pStyle w:val="BodyText"/>
      </w:pPr>
      <w:r>
        <w:t xml:space="preserve">This work contributes (i) a five-factor grid screen (96 runs, 93 converged) plus refinement (33 runs) of the ITO/TiO2/CsPbI3/CBTS/Ni cell under interface-inclusive guardrails, with a joint ETL/HTL-affinity map (36 runs) locating the best evaluated guardrailed point at</w:t>
      </w:r>
      <w:r>
        <w:t xml:space="preserve"> </w:t>
      </w:r>
      <w:r>
        <w:rPr>
          <w:b/>
          <w:bCs/>
        </w:rPr>
        <w:t xml:space="preserve">24.95%</w:t>
      </w:r>
      <w:r>
        <w:t xml:space="preserve"> </w:t>
      </w:r>
      <w:r>
        <w:t xml:space="preserve">(</w:t>
      </w:r>
      <m:oMath>
        <m:sSub>
          <m:e>
            <m:r>
              <m:t>χ</m:t>
            </m:r>
          </m:e>
          <m:sub>
            <m:r>
              <m:rPr>
                <m:sty m:val="p"/>
              </m:rPr>
              <m:t>C</m:t>
            </m:r>
            <m:r>
              <m:rPr>
                <m:sty m:val="p"/>
              </m:rPr>
              <m:t>B</m:t>
            </m:r>
            <m:r>
              <m:rPr>
                <m:sty m:val="p"/>
              </m:rPr>
              <m:t>T</m:t>
            </m:r>
            <m:r>
              <m:rPr>
                <m:sty m:val="p"/>
              </m:rPr>
              <m:t>S</m:t>
            </m:r>
          </m:sub>
        </m:sSub>
        <m:r>
          <m:rPr>
            <m:sty m:val="p"/>
          </m:rPr>
          <m:t>=</m:t>
        </m:r>
        <m:r>
          <m:t>3.9</m:t>
        </m:r>
      </m:oMath>
      <w:r>
        <w:t xml:space="preserve">/</w:t>
      </w:r>
      <m:oMath>
        <m:sSub>
          <m:e>
            <m:r>
              <m:t>χ</m:t>
            </m:r>
          </m:e>
          <m:sub>
            <m:r>
              <m:rPr>
                <m:sty m:val="p"/>
              </m:rPr>
              <m:t>T</m:t>
            </m:r>
            <m:r>
              <m:rPr>
                <m:sty m:val="p"/>
              </m:rPr>
              <m:t>i</m:t>
            </m:r>
            <m:r>
              <m:rPr>
                <m:sty m:val="p"/>
              </m:rPr>
              <m:t>O</m:t>
            </m:r>
            <m:r>
              <m:rPr>
                <m:sty m:val="p"/>
              </m:rPr>
              <m:t>2</m:t>
            </m:r>
          </m:sub>
        </m:sSub>
        <m:r>
          <m:rPr>
            <m:sty m:val="p"/>
          </m:rPr>
          <m:t>=</m:t>
        </m:r>
        <m:r>
          <m:t>3.7</m:t>
        </m:r>
      </m:oMath>
      <w:r>
        <w:t xml:space="preserve"> eV), and an exploratory 104-configuration search over a wider box, which by construction does not bracket the champion (69 of its 95 converged runs fall below the interface floor and none samples</w:t>
      </w:r>
      <w:r>
        <w:t xml:space="preserve"> </w:t>
      </w:r>
      <m:oMath>
        <m:sSub>
          <m:e>
            <m:r>
              <m:t>χ</m:t>
            </m:r>
          </m:e>
          <m:sub>
            <m:r>
              <m:rPr>
                <m:sty m:val="p"/>
              </m:rPr>
              <m:t>T</m:t>
            </m:r>
            <m:r>
              <m:rPr>
                <m:sty m:val="p"/>
              </m:rPr>
              <m:t>i</m:t>
            </m:r>
            <m:r>
              <m:rPr>
                <m:sty m:val="p"/>
              </m:rPr>
              <m:t>O</m:t>
            </m:r>
            <m:r>
              <m:rPr>
                <m:sty m:val="p"/>
              </m:rPr>
              <m:t>2</m:t>
            </m:r>
          </m:sub>
        </m:sSub>
        <m:r>
          <m:rPr>
            <m:sty m:val="p"/>
          </m:rPr>
          <m:t>&lt;</m:t>
        </m:r>
        <m:r>
          <m:t>3.8</m:t>
        </m:r>
      </m:oMath>
      <w:r>
        <w:t xml:space="preserve"> eV), peaking at 23.76% overall and 23.08% among its 25 runs meeting both guardrails; (ii) an interface dose–response computed on our own cell, reported in bulk lifetime</w:t>
      </w:r>
      <w:r>
        <w:t xml:space="preserve"> </w:t>
      </w:r>
      <m:oMath>
        <m:r>
          <m:t>τ</m:t>
        </m:r>
      </m:oMath>
      <w:r>
        <w:t xml:space="preserve"> </w:t>
      </w:r>
      <w:r>
        <w:t xml:space="preserve">and interface velocity</w:t>
      </w:r>
      <w:r>
        <w:t xml:space="preserve"> </w:t>
      </w:r>
      <m:oMath>
        <m:r>
          <m:t>S</m:t>
        </m:r>
      </m:oMath>
      <w:r>
        <w:t xml:space="preserve"> </w:t>
      </w:r>
      <w:r>
        <w:t xml:space="preserve">alongside raw densities; (iii) scripted (not analytic) series- and shunt-resistance accounting, including the routine-defect case; and (iv) a Morris sensitivity screen with a paired-trajectory bootstrap, reported with explicit range-dependence. Every definition file, sweep receipt, and raw curve is archived for independent reproduction.</w:t>
      </w:r>
    </w:p>
    <w:bookmarkEnd w:id="10"/>
    <w:bookmarkStart w:id="16" w:name="literature-a-decade-of-cspbi3-progress"/>
    <w:p>
      <w:pPr>
        <w:pStyle w:val="Heading1"/>
      </w:pPr>
      <w:r>
        <w:t xml:space="preserve">Literature: a decade of CsPbI3 progress</w:t>
      </w:r>
    </w:p>
    <w:p>
      <w:pPr>
        <w:pStyle w:val="FirstParagraph"/>
      </w:pPr>
      <w:r>
        <w:t xml:space="preserve">Black-phase CsPbI3 has been stabilised stepwise since 2016: quantum-dot-induced</w:t>
      </w:r>
      <w:r>
        <w:t xml:space="preserve"> </w:t>
      </w:r>
      <m:oMath>
        <m:r>
          <m:t>α</m:t>
        </m:r>
      </m:oMath>
      <w:r>
        <w:t xml:space="preserve">-phase retention at 10.8% </w:t>
      </w:r>
      <w:r>
        <w:t xml:space="preserve">[11]</w:t>
      </w:r>
      <w:r>
        <w:t xml:space="preserve">, co-evaporated planar cells at 17.0% </w:t>
      </w:r>
      <w:r>
        <w:t xml:space="preserve">[12]</w:t>
      </w:r>
      <w:r>
        <w:t xml:space="preserve">, thermodynamically stable</w:t>
      </w:r>
      <w:r>
        <w:t xml:space="preserve"> </w:t>
      </w:r>
      <m:oMath>
        <m:r>
          <m:t>γ</m:t>
        </m:r>
      </m:oMath>
      <w:r>
        <w:t xml:space="preserve">-films </w:t>
      </w:r>
      <w:r>
        <w:t xml:space="preserve">[13]</w:t>
      </w:r>
      <w:r>
        <w:t xml:space="preserve">, graded-gap 14.4% devices </w:t>
      </w:r>
      <w:r>
        <w:t xml:space="preserve">[14]</w:t>
      </w:r>
      <w:r>
        <w:t xml:space="preserve">, and compositionally engineered 13–14% cells </w:t>
      </w:r>
      <w:r>
        <w:t xml:space="preserve">[15], [16]</w:t>
      </w:r>
      <w:r>
        <w:t xml:space="preserve">, all on TiO2 with Spiro-OMeTAD, PTAA or carbon contacts </w:t>
      </w:r>
      <w:r>
        <w:t xml:space="preserve">[17], [18], [19]</w:t>
      </w:r>
      <w:r>
        <w:t xml:space="preserve">. The 2019 aziridinium result at 18.40% </w:t>
      </w:r>
      <w:r>
        <w:t xml:space="preserve">[20]</w:t>
      </w:r>
      <w:r>
        <w:t xml:space="preserve"> </w:t>
      </w:r>
      <w:r>
        <w:t xml:space="preserve">stood for years until the 2025–2026 interface-engineering wave (Figure </w:t>
      </w:r>
      <w:hyperlink w:anchor="fig:timeline">
        <w:r>
          <w:rPr>
            <w:rStyle w:val="Hyperlink"/>
          </w:rPr>
          <w:t xml:space="preserve">1</w:t>
        </w:r>
      </w:hyperlink>
      <w:r>
        <w:t xml:space="preserve">): fluorinated dipoles (22.05% </w:t>
      </w:r>
      <w:r>
        <w:t xml:space="preserve">[2]</w:t>
      </w:r>
      <w:r>
        <w:t xml:space="preserve">), dual-interface plus bulk co-passivation with Voc 1.27 V (21.71% </w:t>
      </w:r>
      <w:r>
        <w:t xml:space="preserve">[3]</w:t>
      </w:r>
      <w:r>
        <w:t xml:space="preserve">), moisture-responsive crystallisation (22.60% laboratory, 22.02% certified </w:t>
      </w:r>
      <w:r>
        <w:t xml:space="preserve">[1]</w:t>
      </w:r>
      <w:r>
        <w:t xml:space="preserve">), and stitched grain-boundary grooves in inverted cells (21.43% certified </w:t>
      </w:r>
      <w:r>
        <w:t xml:space="preserve">[4]</w:t>
      </w:r>
      <w:r>
        <w:t xml:space="preserve">). The certified frontier is therefore 22.02% (Dai; laboratory best 22.60%; Qiu’s 22.05% is uncertified), and every recent jump came from defect and interface control—the precise levers a simulation study must treat honestly.</w:t>
      </w:r>
    </w:p>
    <w:bookmarkStart w:id="14" w:name="fig:timeline"/>
    <w:p>
      <w:pPr>
        <w:pStyle w:val="CaptionedFigure"/>
      </w:pPr>
      <w:r>
        <w:drawing>
          <wp:inline>
            <wp:extent cx="4267200" cy="2540000"/>
            <wp:effectExtent b="0" l="0" r="0" t="0"/>
            <wp:docPr descr="" title="" id="12" name="Picture"/>
            <a:graphic>
              <a:graphicData uri="http://schemas.openxmlformats.org/drawingml/2006/picture">
                <pic:pic>
                  <pic:nvPicPr>
                    <pic:cNvPr descr="/home/touhid/Documents/leadpaper/outputs/figs/fig_timeline.png" id="13" name="Picture"/>
                    <pic:cNvPicPr>
                      <a:picLocks noChangeArrowheads="1" noChangeAspect="1"/>
                    </pic:cNvPicPr>
                  </pic:nvPicPr>
                  <pic:blipFill>
                    <a:blip r:embed="rId11"/>
                    <a:stretch>
                      <a:fillRect/>
                    </a:stretch>
                  </pic:blipFill>
                  <pic:spPr bwMode="auto">
                    <a:xfrm>
                      <a:off x="0" y="0"/>
                      <a:ext cx="4267200" cy="2540000"/>
                    </a:xfrm>
                    <a:prstGeom prst="rect">
                      <a:avLst/>
                    </a:prstGeom>
                    <a:noFill/>
                    <a:ln w="9525">
                      <a:noFill/>
                      <a:headEnd/>
                      <a:tailEnd/>
                    </a:ln>
                  </pic:spPr>
                </pic:pic>
              </a:graphicData>
            </a:graphic>
          </wp:inline>
        </w:drawing>
      </w:r>
    </w:p>
    <w:p>
      <w:pPr>
        <w:pStyle w:val="ImageCaption"/>
      </w:pPr>
      <w:r>
        <w:t xml:space="preserve">CsPbI3 record race. Asterisks mark simulation studies without interface layers.</w:t>
      </w:r>
    </w:p>
    <w:bookmarkEnd w:id="14"/>
    <w:p>
      <w:pPr>
        <w:pStyle w:val="BodyText"/>
      </w:pPr>
      <w:r>
        <w:t xml:space="preserve">Simulation studies trace a parallel inflation curve (Table </w:t>
      </w:r>
      <w:hyperlink w:anchor="tab:lit">
        <w:r>
          <w:rPr>
            <w:rStyle w:val="Hyperlink"/>
          </w:rPr>
          <w:t xml:space="preserve">1</w:t>
        </w:r>
      </w:hyperlink>
      <w:r>
        <w:t xml:space="preserve">). The CBTS screening programme reached 17.90% over 96 transport-layer combinations </w:t>
      </w:r>
      <w:r>
        <w:t xml:space="preserve">[6]</w:t>
      </w:r>
      <w:r>
        <w:t xml:space="preserve"> </w:t>
      </w:r>
      <w:r>
        <w:t xml:space="preserve">and 19.06% after full optimisation </w:t>
      </w:r>
      <w:r>
        <w:t xml:space="preserve">[5]</w:t>
      </w:r>
      <w:r>
        <w:t xml:space="preserve">, the baseline we reproduce. Later claims report higher efficiencies on differing stacks: 23.10% with ZnO/Spiro in one report </w:t>
      </w:r>
      <w:r>
        <w:t xml:space="preserve">[21]</w:t>
      </w:r>
      <w:r>
        <w:t xml:space="preserve">, 24.17% on our exact stack </w:t>
      </w:r>
      <w:r>
        <w:t xml:space="preserve">[7]</w:t>
      </w:r>
      <w:r>
        <w:t xml:space="preserve">, and 24.24% on ZnO/PTAA without interface layers (stated) </w:t>
      </w:r>
      <w:r>
        <w:t xml:space="preserve">[8]</w:t>
      </w:r>
      <w:r>
        <w:t xml:space="preserve">. The broader SCAPS literature shows the same pattern across absorbers—MAPbI3 at 19.30% with inorganic contacts </w:t>
      </w:r>
      <w:r>
        <w:t xml:space="preserve">[22]</w:t>
      </w:r>
      <w:r>
        <w:t xml:space="preserve">, gradient-doped FAPbI3 at 20.34% </w:t>
      </w:r>
      <w:r>
        <w:t xml:space="preserve">[23]</w:t>
      </w:r>
      <w:r>
        <w:t xml:space="preserve">, a 28.38% bifacial triple-cation cell </w:t>
      </w:r>
      <w:r>
        <w:t xml:space="preserve">[10]</w:t>
      </w:r>
      <w:r>
        <w:t xml:space="preserve">, and an explicitly idealised 40.17% MASnI3 result that exceeds the Shockley–Queisser bound </w:t>
      </w:r>
      <w:r>
        <w:t xml:space="preserve">[24], [25]</w:t>
      </w:r>
      <w:r>
        <w:t xml:space="preserve">. Section 11.0 states the common reporting standard these numbers would need as a concrete checklist—interface status with dose level, defect floors with cross-sections—and demonstrates it on our own cell, since the published parameter tables are too incomplete to re-place anyone else’s.</w:t>
      </w:r>
    </w:p>
    <w:bookmarkStart w:id="15" w:name="tab:lit"/>
    <w:p>
      <w:pPr>
        <w:pStyle w:val="TableCaption"/>
      </w:pPr>
      <w:r>
        <w:t xml:space="preserve">Selected CsPbI3 results: experiment versus simulation (IF = interface layers).</w:t>
      </w:r>
    </w:p>
    <w:tbl>
      <w:tblPr>
        <w:tblStyle w:val="Table"/>
        <w:tblW w:type="auto" w:w="0"/>
        <w:tblLook w:firstRow="1" w:lastRow="0" w:firstColumn="0" w:lastColumn="0" w:noHBand="0" w:noVBand="0" w:val="0020"/>
        <w:tblCaption w:val="Selected CsPbI3 results: experiment versus simulation (IF = interface layers)."/>
      </w:tblPr>
      <w:tblGrid>
        <w:gridCol w:w="1584"/>
        <w:gridCol w:w="1584"/>
        <w:gridCol w:w="1584"/>
        <w:gridCol w:w="1584"/>
        <w:gridCol w:w="1584"/>
      </w:tblGrid>
      <w:tr>
        <w:trPr>
          <w:tblHeader w:val="on"/>
        </w:trPr>
        <w:tc>
          <w:tcPr/>
          <w:p>
            <w:pPr>
              <w:pStyle w:val="Compact"/>
              <w:jc w:val="left"/>
            </w:pPr>
            <w:r>
              <w:t xml:space="preserve">Study</w:t>
            </w:r>
          </w:p>
        </w:tc>
        <w:tc>
          <w:tcPr/>
          <w:p>
            <w:pPr>
              <w:pStyle w:val="Compact"/>
              <w:jc w:val="left"/>
            </w:pPr>
            <w:r>
              <w:t xml:space="preserve">Stack</w:t>
            </w:r>
          </w:p>
        </w:tc>
        <w:tc>
          <w:tcPr/>
          <w:p>
            <w:pPr>
              <w:pStyle w:val="Compact"/>
              <w:jc w:val="left"/>
            </w:pPr>
            <w:r>
              <w:t xml:space="preserve">Type</w:t>
            </w:r>
          </w:p>
        </w:tc>
        <w:tc>
          <w:tcPr/>
          <w:p>
            <w:pPr>
              <w:pStyle w:val="Compact"/>
              <w:jc w:val="left"/>
            </w:pPr>
            <w:r>
              <w:t xml:space="preserve">PCE (%)</w:t>
            </w:r>
          </w:p>
        </w:tc>
        <w:tc>
          <w:tcPr/>
          <w:p>
            <w:pPr>
              <w:pStyle w:val="Compact"/>
              <w:jc w:val="left"/>
            </w:pPr>
            <w:r>
              <w:t xml:space="preserve">IF</w:t>
            </w:r>
          </w:p>
        </w:tc>
      </w:tr>
      <w:tr>
        <w:tc>
          <w:tcPr/>
          <w:p>
            <w:pPr>
              <w:pStyle w:val="Compact"/>
              <w:jc w:val="left"/>
            </w:pPr>
            <w:r>
              <w:t xml:space="preserve">Swarnkar 2016</w:t>
            </w:r>
          </w:p>
        </w:tc>
        <w:tc>
          <w:tcPr/>
          <w:p>
            <w:pPr>
              <w:pStyle w:val="Compact"/>
              <w:jc w:val="left"/>
            </w:pPr>
            <w:r>
              <w:t xml:space="preserve">TiO2/Spiro/MoOx</w:t>
            </w:r>
          </w:p>
        </w:tc>
        <w:tc>
          <w:tcPr/>
          <w:p>
            <w:pPr>
              <w:pStyle w:val="Compact"/>
              <w:jc w:val="left"/>
            </w:pPr>
            <w:r>
              <w:t xml:space="preserve">Exp.</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Frolova 2017</w:t>
            </w:r>
          </w:p>
        </w:tc>
        <w:tc>
          <w:tcPr/>
          <w:p>
            <w:pPr>
              <w:pStyle w:val="Compact"/>
              <w:jc w:val="left"/>
            </w:pPr>
            <w:r>
              <w:t xml:space="preserve">TiO2/PTAA</w:t>
            </w:r>
          </w:p>
        </w:tc>
        <w:tc>
          <w:tcPr/>
          <w:p>
            <w:pPr>
              <w:pStyle w:val="Compact"/>
              <w:jc w:val="left"/>
            </w:pPr>
            <w:r>
              <w:t xml:space="preserve">Exp.</w:t>
            </w:r>
          </w:p>
        </w:tc>
        <w:tc>
          <w:tcPr/>
          <w:p>
            <w:pPr>
              <w:pStyle w:val="Compact"/>
              <w:jc w:val="left"/>
            </w:pPr>
            <w:r>
              <w:t xml:space="preserve">17.0</w:t>
            </w:r>
          </w:p>
        </w:tc>
        <w:tc>
          <w:tcPr/>
          <w:p>
            <w:pPr>
              <w:pStyle w:val="Compact"/>
              <w:jc w:val="left"/>
            </w:pPr>
            <w:r>
              <w:t xml:space="preserve">–</w:t>
            </w:r>
          </w:p>
        </w:tc>
      </w:tr>
      <w:tr>
        <w:tc>
          <w:tcPr/>
          <w:p>
            <w:pPr>
              <w:pStyle w:val="Compact"/>
              <w:jc w:val="left"/>
            </w:pPr>
            <w:r>
              <w:t xml:space="preserve">Wang 2019</w:t>
            </w:r>
          </w:p>
        </w:tc>
        <w:tc>
          <w:tcPr/>
          <w:p>
            <w:pPr>
              <w:pStyle w:val="Compact"/>
              <w:jc w:val="left"/>
            </w:pPr>
            <w:r>
              <w:t xml:space="preserve">TiO2/Spiro</w:t>
            </w:r>
          </w:p>
        </w:tc>
        <w:tc>
          <w:tcPr/>
          <w:p>
            <w:pPr>
              <w:pStyle w:val="Compact"/>
              <w:jc w:val="left"/>
            </w:pPr>
            <w:r>
              <w:t xml:space="preserve">Exp.</w:t>
            </w:r>
          </w:p>
        </w:tc>
        <w:tc>
          <w:tcPr/>
          <w:p>
            <w:pPr>
              <w:pStyle w:val="Compact"/>
              <w:jc w:val="left"/>
            </w:pPr>
            <w:r>
              <w:t xml:space="preserve">18.4</w:t>
            </w:r>
          </w:p>
        </w:tc>
        <w:tc>
          <w:tcPr/>
          <w:p>
            <w:pPr>
              <w:pStyle w:val="Compact"/>
              <w:jc w:val="left"/>
            </w:pPr>
            <w:r>
              <w:t xml:space="preserve">–</w:t>
            </w:r>
          </w:p>
        </w:tc>
      </w:tr>
      <w:tr>
        <w:tc>
          <w:tcPr/>
          <w:p>
            <w:pPr>
              <w:pStyle w:val="Compact"/>
              <w:jc w:val="left"/>
            </w:pPr>
            <w:r>
              <w:t xml:space="preserve">Qiu 2025</w:t>
            </w:r>
          </w:p>
        </w:tc>
        <w:tc>
          <w:tcPr/>
          <w:p>
            <w:pPr>
              <w:pStyle w:val="Compact"/>
              <w:jc w:val="left"/>
            </w:pPr>
            <w:r>
              <w:t xml:space="preserve">DFAz dipole</w:t>
            </w:r>
          </w:p>
        </w:tc>
        <w:tc>
          <w:tcPr/>
          <w:p>
            <w:pPr>
              <w:pStyle w:val="Compact"/>
              <w:jc w:val="left"/>
            </w:pPr>
            <w:r>
              <w:t xml:space="preserve">Exp.</w:t>
            </w:r>
          </w:p>
        </w:tc>
        <w:tc>
          <w:tcPr/>
          <w:p>
            <w:pPr>
              <w:pStyle w:val="Compact"/>
              <w:jc w:val="left"/>
            </w:pPr>
            <w:r>
              <w:t xml:space="preserve">22.05</w:t>
            </w:r>
          </w:p>
        </w:tc>
        <w:tc>
          <w:tcPr/>
          <w:p>
            <w:pPr>
              <w:pStyle w:val="Compact"/>
              <w:jc w:val="left"/>
            </w:pPr>
            <w:r>
              <w:t xml:space="preserve">passivated</w:t>
            </w:r>
          </w:p>
        </w:tc>
      </w:tr>
      <w:tr>
        <w:tc>
          <w:tcPr/>
          <w:p>
            <w:pPr>
              <w:pStyle w:val="Compact"/>
              <w:jc w:val="left"/>
            </w:pPr>
            <w:r>
              <w:t xml:space="preserve">Dai 2026</w:t>
            </w:r>
          </w:p>
        </w:tc>
        <w:tc>
          <w:tcPr/>
          <w:p>
            <w:pPr>
              <w:pStyle w:val="Compact"/>
              <w:jc w:val="left"/>
            </w:pPr>
            <w:r>
              <w:t xml:space="preserve">TiO2/PTABr/Spiro</w:t>
            </w:r>
          </w:p>
        </w:tc>
        <w:tc>
          <w:tcPr/>
          <w:p>
            <w:pPr>
              <w:pStyle w:val="Compact"/>
              <w:jc w:val="left"/>
            </w:pPr>
            <w:r>
              <w:t xml:space="preserve">Exp.</w:t>
            </w:r>
          </w:p>
        </w:tc>
        <w:tc>
          <w:tcPr/>
          <w:p>
            <w:pPr>
              <w:pStyle w:val="Compact"/>
              <w:jc w:val="left"/>
            </w:pPr>
            <w:r>
              <w:t xml:space="preserve">22.60/22.02</w:t>
            </w:r>
          </w:p>
        </w:tc>
        <w:tc>
          <w:tcPr/>
          <w:p>
            <w:pPr>
              <w:pStyle w:val="Compact"/>
              <w:jc w:val="left"/>
            </w:pPr>
            <w:r>
              <w:t xml:space="preserve">passivated</w:t>
            </w:r>
          </w:p>
        </w:tc>
      </w:tr>
      <w:tr>
        <w:tc>
          <w:tcPr/>
          <w:p>
            <w:pPr>
              <w:pStyle w:val="Compact"/>
              <w:jc w:val="left"/>
            </w:pPr>
            <w:r>
              <w:t xml:space="preserve">Hu 2026 (Joule)</w:t>
            </w:r>
          </w:p>
        </w:tc>
        <w:tc>
          <w:tcPr/>
          <w:p>
            <w:pPr>
              <w:pStyle w:val="Compact"/>
              <w:jc w:val="left"/>
            </w:pPr>
            <w:r>
              <w:t xml:space="preserve">inverted HPDA</w:t>
            </w:r>
          </w:p>
        </w:tc>
        <w:tc>
          <w:tcPr/>
          <w:p>
            <w:pPr>
              <w:pStyle w:val="Compact"/>
              <w:jc w:val="left"/>
            </w:pPr>
            <w:r>
              <w:t xml:space="preserve">Exp.</w:t>
            </w:r>
          </w:p>
        </w:tc>
        <w:tc>
          <w:tcPr/>
          <w:p>
            <w:pPr>
              <w:pStyle w:val="Compact"/>
              <w:jc w:val="left"/>
            </w:pPr>
            <w:r>
              <w:t xml:space="preserve">21.43 cert.</w:t>
            </w:r>
          </w:p>
        </w:tc>
        <w:tc>
          <w:tcPr/>
          <w:p>
            <w:pPr>
              <w:pStyle w:val="Compact"/>
              <w:jc w:val="left"/>
            </w:pPr>
            <w:r>
              <w:t xml:space="preserve">2D-stitched</w:t>
            </w:r>
          </w:p>
        </w:tc>
      </w:tr>
      <w:tr>
        <w:tc>
          <w:tcPr/>
          <w:p>
            <w:pPr>
              <w:pStyle w:val="Compact"/>
              <w:jc w:val="left"/>
            </w:pPr>
            <w:r>
              <w:t xml:space="preserve">Hossain 2022</w:t>
            </w:r>
          </w:p>
        </w:tc>
        <w:tc>
          <w:tcPr/>
          <w:p>
            <w:pPr>
              <w:pStyle w:val="Compact"/>
              <w:jc w:val="left"/>
            </w:pPr>
            <w:r>
              <w:t xml:space="preserve">TiO2/CBTS</w:t>
            </w:r>
          </w:p>
        </w:tc>
        <w:tc>
          <w:tcPr/>
          <w:p>
            <w:pPr>
              <w:pStyle w:val="Compact"/>
              <w:jc w:val="left"/>
            </w:pPr>
            <w:r>
              <w:t xml:space="preserve">Sim.</w:t>
            </w:r>
          </w:p>
        </w:tc>
        <w:tc>
          <w:tcPr/>
          <w:p>
            <w:pPr>
              <w:pStyle w:val="Compact"/>
              <w:jc w:val="left"/>
            </w:pPr>
            <w:r>
              <w:t xml:space="preserve">17.90</w:t>
            </w:r>
          </w:p>
        </w:tc>
        <w:tc>
          <w:tcPr/>
          <w:p>
            <w:pPr>
              <w:pStyle w:val="Compact"/>
              <w:jc w:val="left"/>
            </w:pPr>
            <w:r>
              <w:t xml:space="preserve">on</w:t>
            </w:r>
          </w:p>
        </w:tc>
      </w:tr>
      <w:tr>
        <w:tc>
          <w:tcPr/>
          <w:p>
            <w:pPr>
              <w:pStyle w:val="Compact"/>
              <w:jc w:val="left"/>
            </w:pPr>
            <w:r>
              <w:t xml:space="preserve">Hossain 2023</w:t>
            </w:r>
          </w:p>
        </w:tc>
        <w:tc>
          <w:tcPr/>
          <w:p>
            <w:pPr>
              <w:pStyle w:val="Compact"/>
              <w:jc w:val="left"/>
            </w:pPr>
            <w:r>
              <w:t xml:space="preserve">TiO2/CBTS/Ni</w:t>
            </w:r>
          </w:p>
        </w:tc>
        <w:tc>
          <w:tcPr/>
          <w:p>
            <w:pPr>
              <w:pStyle w:val="Compact"/>
              <w:jc w:val="left"/>
            </w:pPr>
            <w:r>
              <w:t xml:space="preserve">Sim.</w:t>
            </w:r>
          </w:p>
        </w:tc>
        <w:tc>
          <w:tcPr/>
          <w:p>
            <w:pPr>
              <w:pStyle w:val="Compact"/>
              <w:jc w:val="left"/>
            </w:pPr>
            <w:r>
              <w:t xml:space="preserve">19.06</w:t>
            </w:r>
          </w:p>
        </w:tc>
        <w:tc>
          <w:tcPr/>
          <w:p>
            <w:pPr>
              <w:pStyle w:val="Compact"/>
              <w:jc w:val="left"/>
            </w:pPr>
            <w:r>
              <w:t xml:space="preserve">on</w:t>
            </w:r>
          </w:p>
        </w:tc>
      </w:tr>
      <w:tr>
        <w:tc>
          <w:tcPr/>
          <w:p>
            <w:pPr>
              <w:pStyle w:val="Compact"/>
              <w:jc w:val="left"/>
            </w:pPr>
            <w:r>
              <w:t xml:space="preserve">Ristiansyah 2026</w:t>
            </w:r>
          </w:p>
        </w:tc>
        <w:tc>
          <w:tcPr/>
          <w:p>
            <w:pPr>
              <w:pStyle w:val="Compact"/>
              <w:jc w:val="left"/>
            </w:pPr>
            <w:r>
              <w:t xml:space="preserve">ZnO/Spiro</w:t>
            </w:r>
          </w:p>
        </w:tc>
        <w:tc>
          <w:tcPr/>
          <w:p>
            <w:pPr>
              <w:pStyle w:val="Compact"/>
              <w:jc w:val="left"/>
            </w:pPr>
            <w:r>
              <w:t xml:space="preserve">Sim.</w:t>
            </w:r>
          </w:p>
        </w:tc>
        <w:tc>
          <w:tcPr/>
          <w:p>
            <w:pPr>
              <w:pStyle w:val="Compact"/>
              <w:jc w:val="left"/>
            </w:pPr>
            <w:r>
              <w:t xml:space="preserve">23.10</w:t>
            </w:r>
          </w:p>
        </w:tc>
        <w:tc>
          <w:tcPr/>
          <w:p>
            <w:pPr>
              <w:pStyle w:val="Compact"/>
              <w:jc w:val="left"/>
            </w:pPr>
            <w:r>
              <w:t xml:space="preserve">on</w:t>
            </w:r>
          </w:p>
        </w:tc>
      </w:tr>
      <w:tr>
        <w:tc>
          <w:tcPr/>
          <w:p>
            <w:pPr>
              <w:pStyle w:val="Compact"/>
              <w:jc w:val="left"/>
            </w:pPr>
            <w:r>
              <w:t xml:space="preserve">Nazli 2025</w:t>
            </w:r>
          </w:p>
        </w:tc>
        <w:tc>
          <w:tcPr/>
          <w:p>
            <w:pPr>
              <w:pStyle w:val="Compact"/>
              <w:jc w:val="left"/>
            </w:pPr>
            <w:r>
              <w:t xml:space="preserve">TiO2/CBTS/Ni</w:t>
            </w:r>
          </w:p>
        </w:tc>
        <w:tc>
          <w:tcPr/>
          <w:p>
            <w:pPr>
              <w:pStyle w:val="Compact"/>
              <w:jc w:val="left"/>
            </w:pPr>
            <w:r>
              <w:t xml:space="preserve">Sim.</w:t>
            </w:r>
          </w:p>
        </w:tc>
        <w:tc>
          <w:tcPr/>
          <w:p>
            <w:pPr>
              <w:pStyle w:val="Compact"/>
              <w:jc w:val="left"/>
            </w:pPr>
            <w:r>
              <w:t xml:space="preserve">24.17</w:t>
            </w:r>
          </w:p>
        </w:tc>
        <w:tc>
          <w:tcPr/>
          <w:p>
            <w:pPr>
              <w:pStyle w:val="Compact"/>
              <w:jc w:val="left"/>
            </w:pPr>
            <w:r>
              <w:t xml:space="preserve">unclear</w:t>
            </w:r>
          </w:p>
        </w:tc>
      </w:tr>
      <w:tr>
        <w:tc>
          <w:tcPr/>
          <w:p>
            <w:pPr>
              <w:pStyle w:val="Compact"/>
              <w:jc w:val="left"/>
            </w:pPr>
            <w:r>
              <w:t xml:space="preserve">Oyedele 2023</w:t>
            </w:r>
          </w:p>
        </w:tc>
        <w:tc>
          <w:tcPr/>
          <w:p>
            <w:pPr>
              <w:pStyle w:val="Compact"/>
              <w:jc w:val="left"/>
            </w:pPr>
            <w:r>
              <w:t xml:space="preserve">ZnO/PTAA</w:t>
            </w:r>
          </w:p>
        </w:tc>
        <w:tc>
          <w:tcPr/>
          <w:p>
            <w:pPr>
              <w:pStyle w:val="Compact"/>
              <w:jc w:val="left"/>
            </w:pPr>
            <w:r>
              <w:t xml:space="preserve">Sim.</w:t>
            </w:r>
          </w:p>
        </w:tc>
        <w:tc>
          <w:tcPr/>
          <w:p>
            <w:pPr>
              <w:pStyle w:val="Compact"/>
              <w:jc w:val="left"/>
            </w:pPr>
            <w:r>
              <w:t xml:space="preserve">24.24</w:t>
            </w:r>
          </w:p>
        </w:tc>
        <w:tc>
          <w:tcPr/>
          <w:p>
            <w:pPr>
              <w:pStyle w:val="Compact"/>
              <w:jc w:val="left"/>
            </w:pPr>
            <w:r>
              <w:t xml:space="preserve">OFF</w:t>
            </w:r>
          </w:p>
        </w:tc>
      </w:tr>
      <w:tr>
        <w:tc>
          <w:tcPr/>
          <w:p>
            <w:pPr>
              <w:pStyle w:val="Compact"/>
              <w:jc w:val="left"/>
            </w:pPr>
            <w:r>
              <w:t xml:space="preserve">This work</w:t>
            </w:r>
          </w:p>
        </w:tc>
        <w:tc>
          <w:tcPr/>
          <w:p>
            <w:pPr>
              <w:pStyle w:val="Compact"/>
              <w:jc w:val="left"/>
            </w:pPr>
            <w:r>
              <w:t xml:space="preserve">TiO2/CBTS/Ni</w:t>
            </w:r>
          </w:p>
        </w:tc>
        <w:tc>
          <w:tcPr/>
          <w:p>
            <w:pPr>
              <w:pStyle w:val="Compact"/>
              <w:jc w:val="left"/>
            </w:pPr>
            <w:r>
              <w:t xml:space="preserve">Sim.</w:t>
            </w:r>
          </w:p>
        </w:tc>
        <w:tc>
          <w:tcPr/>
          <w:p>
            <w:pPr>
              <w:pStyle w:val="Compact"/>
              <w:jc w:val="left"/>
            </w:pPr>
            <w:r>
              <w:t xml:space="preserve">24.95</w:t>
            </w:r>
          </w:p>
        </w:tc>
        <w:tc>
          <w:tcPr/>
          <w:p>
            <w:pPr>
              <w:pStyle w:val="Compact"/>
              <w:jc w:val="left"/>
            </w:pPr>
            <w:r>
              <w:t xml:space="preserve">on</w:t>
            </w:r>
          </w:p>
        </w:tc>
      </w:tr>
    </w:tbl>
    <w:bookmarkEnd w:id="15"/>
    <w:bookmarkEnd w:id="16"/>
    <w:bookmarkStart w:id="18" w:name="simulation-framework-and-guardrails"/>
    <w:p>
      <w:pPr>
        <w:pStyle w:val="Heading1"/>
      </w:pPr>
      <w:r>
        <w:t xml:space="preserve">Simulation framework and guardrails</w:t>
      </w:r>
    </w:p>
    <w:p>
      <w:pPr>
        <w:pStyle w:val="FirstParagraph"/>
      </w:pPr>
      <w:r>
        <w:t xml:space="preserve">Devices were simulated in SCAPS-1D v3.3.10 under AM1.5G illumination (100 mW/cm</w:t>
      </w:r>
      <m:oMath>
        <m:sSup>
          <m:e>
            <m:r>
              <m:t>​</m:t>
            </m:r>
          </m:e>
          <m:sup>
            <m:r>
              <m:t>2</m:t>
            </m:r>
          </m:sup>
        </m:sSup>
      </m:oMath>
      <w:r>
        <w:t xml:space="preserve">) at 300 K unless stated. The baseline reproduces</w:t>
      </w:r>
      <w:r>
        <w:t xml:space="preserve"> </w:t>
      </w:r>
      <w:r>
        <w:t xml:space="preserve">[5]</w:t>
      </w:r>
      <w:r>
        <w:t xml:space="preserve">: ITO front contact (4.0 eV), 30 nm TiO2 electron transport layer (donor density</w:t>
      </w:r>
      <w:r>
        <w:t xml:space="preserve"> </w:t>
      </w:r>
      <m:oMath>
        <m:r>
          <m:t>9</m:t>
        </m:r>
        <m:r>
          <m:rPr>
            <m:sty m:val="p"/>
          </m:rPr>
          <m:t>×</m:t>
        </m:r>
        <m:sSup>
          <m:e>
            <m:r>
              <m:t>10</m:t>
            </m:r>
          </m:e>
          <m:sup>
            <m:r>
              <m:t>16</m:t>
            </m:r>
          </m:sup>
        </m:sSup>
      </m:oMath>
      <w:r>
        <w:t xml:space="preserve"> cm</w:t>
      </w:r>
      <m:oMath>
        <m:sSup>
          <m:e>
            <m:r>
              <m:t>​</m:t>
            </m:r>
          </m:e>
          <m:sup>
            <m:r>
              <m:rPr>
                <m:sty m:val="p"/>
              </m:rPr>
              <m:t>−</m:t>
            </m:r>
            <m:r>
              <m:t>3</m:t>
            </m:r>
          </m:sup>
        </m:sSup>
      </m:oMath>
      <w:r>
        <w:t xml:space="preserve">), CsPbI3 absorber (800 nm initial,</w:t>
      </w:r>
      <w:r>
        <w:t xml:space="preserve"> </w:t>
      </w:r>
      <m:oMath>
        <m:sSub>
          <m:e>
            <m:r>
              <m:t>E</m:t>
            </m:r>
          </m:e>
          <m:sub>
            <m:r>
              <m:t>g</m:t>
            </m:r>
          </m:sub>
        </m:sSub>
        <m:r>
          <m:rPr>
            <m:sty m:val="p"/>
          </m:rPr>
          <m:t>=</m:t>
        </m:r>
        <m:r>
          <m:t>1.694</m:t>
        </m:r>
      </m:oMath>
      <w:r>
        <w:t xml:space="preserve"> eV,</w:t>
      </w:r>
      <w:r>
        <w:t xml:space="preserve"> </w:t>
      </w:r>
      <m:oMath>
        <m:r>
          <m:t>χ</m:t>
        </m:r>
        <m:r>
          <m:rPr>
            <m:sty m:val="p"/>
          </m:rPr>
          <m:t>=</m:t>
        </m:r>
        <m:r>
          <m:t>3.95</m:t>
        </m:r>
      </m:oMath>
      <w:r>
        <w:t xml:space="preserve"> eV,</w:t>
      </w:r>
      <w:r>
        <w:t xml:space="preserve"> </w:t>
      </w:r>
      <m:oMath>
        <m:sSub>
          <m:e>
            <m:r>
              <m:t>N</m:t>
            </m:r>
          </m:e>
          <m:sub>
            <m:r>
              <m:t>A</m:t>
            </m:r>
          </m:sub>
        </m:sSub>
        <m:r>
          <m:rPr>
            <m:sty m:val="p"/>
          </m:rPr>
          <m:t>=</m:t>
        </m:r>
        <m:sSup>
          <m:e>
            <m:r>
              <m:t>10</m:t>
            </m:r>
          </m:e>
          <m:sup>
            <m:r>
              <m:t>15</m:t>
            </m:r>
          </m:sup>
        </m:sSup>
      </m:oMath>
      <w:r>
        <w:t xml:space="preserve"> cm</w:t>
      </w:r>
      <m:oMath>
        <m:sSup>
          <m:e>
            <m:r>
              <m:t>​</m:t>
            </m:r>
          </m:e>
          <m:sup>
            <m:r>
              <m:rPr>
                <m:sty m:val="p"/>
              </m:rPr>
              <m:t>−</m:t>
            </m:r>
            <m:r>
              <m:t>3</m:t>
            </m:r>
          </m:sup>
        </m:sSup>
      </m:oMath>
      <w:r>
        <w:t xml:space="preserve">,</w:t>
      </w:r>
      <w:r>
        <w:t xml:space="preserve"> </w:t>
      </w:r>
      <m:oMath>
        <m:sSub>
          <m:e>
            <m:r>
              <m:t>N</m:t>
            </m:r>
          </m:e>
          <m:sub>
            <m:r>
              <m:t>t</m:t>
            </m:r>
          </m:sub>
        </m:sSub>
        <m:r>
          <m:rPr>
            <m:sty m:val="p"/>
          </m:rPr>
          <m:t>=</m:t>
        </m:r>
        <m:sSup>
          <m:e>
            <m:r>
              <m:t>10</m:t>
            </m:r>
          </m:e>
          <m:sup>
            <m:r>
              <m:t>15</m:t>
            </m:r>
          </m:sup>
        </m:sSup>
      </m:oMath>
      <w:r>
        <w:t xml:space="preserve"> cm</w:t>
      </w:r>
      <m:oMath>
        <m:sSup>
          <m:e>
            <m:r>
              <m:t>​</m:t>
            </m:r>
          </m:e>
          <m:sup>
            <m:r>
              <m:rPr>
                <m:sty m:val="p"/>
              </m:rPr>
              <m:t>−</m:t>
            </m:r>
            <m:r>
              <m:t>3</m:t>
            </m:r>
          </m:sup>
        </m:sSup>
      </m:oMath>
      <w:r>
        <w:t xml:space="preserve">), 100 nm CBTS hole transport layer (</w:t>
      </w:r>
      <m:oMath>
        <m:sSub>
          <m:e>
            <m:r>
              <m:t>N</m:t>
            </m:r>
          </m:e>
          <m:sub>
            <m:r>
              <m:t>A</m:t>
            </m:r>
          </m:sub>
        </m:sSub>
        <m:r>
          <m:rPr>
            <m:sty m:val="p"/>
          </m:rPr>
          <m:t>=</m:t>
        </m:r>
        <m:sSup>
          <m:e>
            <m:r>
              <m:t>10</m:t>
            </m:r>
          </m:e>
          <m:sup>
            <m:r>
              <m:t>18</m:t>
            </m:r>
          </m:sup>
        </m:sSup>
      </m:oMath>
      <w:r>
        <w:t xml:space="preserve"> cm</w:t>
      </w:r>
      <m:oMath>
        <m:sSup>
          <m:e>
            <m:r>
              <m:t>​</m:t>
            </m:r>
          </m:e>
          <m:sup>
            <m:r>
              <m:rPr>
                <m:sty m:val="p"/>
              </m:rPr>
              <m:t>−</m:t>
            </m:r>
            <m:r>
              <m:t>3</m:t>
            </m:r>
          </m:sup>
        </m:sSup>
      </m:oMath>
      <w:r>
        <w:t xml:space="preserve">), and Ni back contact (5.5 eV). Crucially, neutral interface recombination blocks (</w:t>
      </w:r>
      <m:oMath>
        <m:r>
          <m:t>N</m:t>
        </m:r>
        <m:r>
          <m:rPr>
            <m:sty m:val="p"/>
          </m:rPr>
          <m:t>=</m:t>
        </m:r>
        <m:sSup>
          <m:e>
            <m:r>
              <m:t>10</m:t>
            </m:r>
          </m:e>
          <m:sup>
            <m:r>
              <m:t>10</m:t>
            </m:r>
          </m:sup>
        </m:sSup>
      </m:oMath>
      <w:r>
        <w:t xml:space="preserve"> cm</w:t>
      </w:r>
      <m:oMath>
        <m:sSup>
          <m:e>
            <m:r>
              <m:t>​</m:t>
            </m:r>
          </m:e>
          <m:sup>
            <m:r>
              <m:rPr>
                <m:sty m:val="p"/>
              </m:rPr>
              <m:t>−</m:t>
            </m:r>
            <m:r>
              <m:t>2</m:t>
            </m:r>
          </m:sup>
        </m:sSup>
      </m:oMath>
      <w:r>
        <w:t xml:space="preserve">,</w:t>
      </w:r>
      <w:r>
        <w:t xml:space="preserve"> </w:t>
      </w:r>
      <m:oMath>
        <m:r>
          <m:t>σ</m:t>
        </m:r>
        <m:r>
          <m:rPr>
            <m:sty m:val="p"/>
          </m:rPr>
          <m:t>=</m:t>
        </m:r>
        <m:sSup>
          <m:e>
            <m:r>
              <m:t>10</m:t>
            </m:r>
          </m:e>
          <m:sup>
            <m:r>
              <m:rPr>
                <m:sty m:val="p"/>
              </m:rPr>
              <m:t>−</m:t>
            </m:r>
            <m:r>
              <m:t>19</m:t>
            </m:r>
          </m:sup>
        </m:sSup>
      </m:oMath>
      <w:r>
        <w:t xml:space="preserve"> m</w:t>
      </w:r>
      <m:oMath>
        <m:sSup>
          <m:e>
            <m:r>
              <m:t>​</m:t>
            </m:r>
          </m:e>
          <m:sup>
            <m:r>
              <m:t>2</m:t>
            </m:r>
          </m:sup>
        </m:sSup>
      </m:oMath>
      <w:r>
        <w:t xml:space="preserve">) are present at both heterojunctions, and the absorber uses the coefficients-A-and-B absorption model (</w:t>
      </w:r>
      <m:oMath>
        <m:r>
          <m:t>A</m:t>
        </m:r>
        <m:r>
          <m:rPr>
            <m:sty m:val="p"/>
          </m:rPr>
          <m:t>=</m:t>
        </m:r>
        <m:sSup>
          <m:e>
            <m:r>
              <m:t>10</m:t>
            </m:r>
          </m:e>
          <m:sup>
            <m:r>
              <m:t>7</m:t>
            </m:r>
          </m:sup>
        </m:sSup>
      </m:oMath>
      <w:r>
        <w:t xml:space="preserve"> m</w:t>
      </w:r>
      <m:oMath>
        <m:sSup>
          <m:e>
            <m:r>
              <m:t>​</m:t>
            </m:r>
          </m:e>
          <m:sup>
            <m:r>
              <m:rPr>
                <m:sty m:val="p"/>
              </m:rPr>
              <m:t>−</m:t>
            </m:r>
            <m:r>
              <m:t>1</m:t>
            </m:r>
          </m:sup>
        </m:sSup>
      </m:oMath>
      <w:r>
        <w:t xml:space="preserve">eV</w:t>
      </w:r>
      <m:oMath>
        <m:sSup>
          <m:e>
            <m:r>
              <m:t>​</m:t>
            </m:r>
          </m:e>
          <m:sup>
            <m:r>
              <m:rPr>
                <m:sty m:val="p"/>
              </m:rPr>
              <m:t>−</m:t>
            </m:r>
            <m:r>
              <m:t>1</m:t>
            </m:r>
            <m:r>
              <m:rPr>
                <m:sty m:val="p"/>
              </m:rPr>
              <m:t>/</m:t>
            </m:r>
            <m:r>
              <m:t>2</m:t>
            </m:r>
          </m:sup>
        </m:sSup>
      </m:oMath>
      <w:r>
        <w:t xml:space="preserve">) so that bandgap sweeps act on the absorption edge rather than a frozen file spectrum. Our unmodified baseline yields 18.99% (Voc 1.122 V, Jsc 19.68 mA/cm</w:t>
      </w:r>
      <m:oMath>
        <m:sSup>
          <m:e>
            <m:r>
              <m:t>​</m:t>
            </m:r>
          </m:e>
          <m:sup>
            <m:r>
              <m:t>2</m:t>
            </m:r>
          </m:sup>
        </m:sSup>
      </m:oMath>
      <w:r>
        <w:t xml:space="preserve">, FF 86.00%), reproducing the published 17.9–19.06% band; against the printed 17.90% device (Voc 0.997 V, Jsc 21.07 mA/cm</w:t>
      </w:r>
      <m:oMath>
        <m:sSup>
          <m:e>
            <m:r>
              <m:t>​</m:t>
            </m:r>
          </m:e>
          <m:sup>
            <m:r>
              <m:t>2</m:t>
            </m:r>
          </m:sup>
        </m:sSup>
      </m:oMath>
      <w:r>
        <w:t xml:space="preserve">, FF 85.21% </w:t>
      </w:r>
      <w:r>
        <w:t xml:space="preserve">[6]</w:t>
      </w:r>
      <w:r>
        <w:t xml:space="preserve">) ours trades</w:t>
      </w:r>
      <w:r>
        <w:t xml:space="preserve"> </w:t>
      </w:r>
      <m:oMath>
        <m:r>
          <m:rPr>
            <m:sty m:val="p"/>
          </m:rPr>
          <m:t>∼</m:t>
        </m:r>
      </m:oMath>
      <w:r>
        <w:t xml:space="preserve">1.4 mA/cm</w:t>
      </w:r>
      <m:oMath>
        <m:sSup>
          <m:e>
            <m:r>
              <m:t>​</m:t>
            </m:r>
          </m:e>
          <m:sup>
            <m:r>
              <m:t>2</m:t>
            </m:r>
          </m:sup>
        </m:sSup>
      </m:oMath>
      <w:r>
        <w:t xml:space="preserve"> </w:t>
      </w:r>
      <w:r>
        <w:t xml:space="preserve">of current for</w:t>
      </w:r>
      <w:r>
        <w:t xml:space="preserve"> </w:t>
      </w:r>
      <m:oMath>
        <m:r>
          <m:rPr>
            <m:sty m:val="p"/>
          </m:rPr>
          <m:t>∼</m:t>
        </m:r>
      </m:oMath>
      <w:r>
        <w:t xml:space="preserve">0.12 V of voltage, as expected from added interface recombination with lower bulk defects—a single-scalar match is not claimed as validation. Optical settings: the definition file applies a flat 10% front reflection with no dispersive parasitic absorption in ITO or TiO2, and the 80% back-transmission filter faces an opaque Ni contact, i.e. no back reflector—both choices are conservative-or-neutral for Jsc except in the blue, where the flat QE plateau is an upper envelope (Section 6.0).</w:t>
      </w:r>
    </w:p>
    <w:p>
      <w:pPr>
        <w:pStyle w:val="BodyText"/>
      </w:pPr>
      <w:r>
        <w:t xml:space="preserve">Guardrails enforced throughout: bulk defect floor</w:t>
      </w:r>
      <w:r>
        <w:t xml:space="preserve"> </w:t>
      </w:r>
      <m:oMath>
        <m:sSup>
          <m:e>
            <m:r>
              <m:t>10</m:t>
            </m:r>
          </m:e>
          <m:sup>
            <m:r>
              <m:t>12</m:t>
            </m:r>
          </m:sup>
        </m:sSup>
      </m:oMath>
      <w:r>
        <w:t xml:space="preserve"> cm</w:t>
      </w:r>
      <m:oMath>
        <m:sSup>
          <m:e>
            <m:r>
              <m:t>​</m:t>
            </m:r>
          </m:e>
          <m:sup>
            <m:r>
              <m:rPr>
                <m:sty m:val="p"/>
              </m:rPr>
              <m:t>−</m:t>
            </m:r>
            <m:r>
              <m:t>3</m:t>
            </m:r>
          </m:sup>
        </m:sSup>
      </m:oMath>
      <w:r>
        <w:t xml:space="preserve"> </w:t>
      </w:r>
      <w:r>
        <w:t xml:space="preserve">(single-crystal grade; nothing lower), absorber doping ceiling</w:t>
      </w:r>
      <w:r>
        <w:t xml:space="preserve"> </w:t>
      </w:r>
      <m:oMath>
        <m:r>
          <m:t>3</m:t>
        </m:r>
        <m:r>
          <m:rPr>
            <m:sty m:val="p"/>
          </m:rPr>
          <m:t>×</m:t>
        </m:r>
        <m:sSup>
          <m:e>
            <m:r>
              <m:t>10</m:t>
            </m:r>
          </m:e>
          <m:sup>
            <m:r>
              <m:t>16</m:t>
            </m:r>
          </m:sup>
        </m:sSup>
      </m:oMath>
      <w:r>
        <w:t xml:space="preserve"> cm</w:t>
      </w:r>
      <m:oMath>
        <m:sSup>
          <m:e>
            <m:r>
              <m:t>​</m:t>
            </m:r>
          </m:e>
          <m:sup>
            <m:r>
              <m:rPr>
                <m:sty m:val="p"/>
              </m:rPr>
              <m:t>−</m:t>
            </m:r>
            <m:r>
              <m:t>3</m:t>
            </m:r>
          </m:sup>
        </m:sSup>
      </m:oMath>
      <w:r>
        <w:t xml:space="preserve">, an interface floor of</w:t>
      </w:r>
      <w:r>
        <w:t xml:space="preserve"> </w:t>
      </w:r>
      <m:oMath>
        <m:sSup>
          <m:e>
            <m:r>
              <m:t>10</m:t>
            </m:r>
          </m:e>
          <m:sup>
            <m:r>
              <m:t>10</m:t>
            </m:r>
          </m:sup>
        </m:sSup>
      </m:oMath>
      <w:r>
        <w:t xml:space="preserve"> cm</w:t>
      </w:r>
      <m:oMath>
        <m:sSup>
          <m:e>
            <m:r>
              <m:t>​</m:t>
            </m:r>
          </m:e>
          <m:sup>
            <m:r>
              <m:rPr>
                <m:sty m:val="p"/>
              </m:rPr>
              <m:t>−</m:t>
            </m:r>
            <m:r>
              <m:t>2</m:t>
            </m:r>
          </m:sup>
        </m:sSup>
      </m:oMath>
      <w:r>
        <w:t xml:space="preserve"> </w:t>
      </w:r>
      <w:r>
        <w:t xml:space="preserve">that is part of the stated box rather than a post-hoc filter (dose points below it are audit, not candidates), conduction-band offset held near zero by linking</w:t>
      </w:r>
      <w:r>
        <w:t xml:space="preserve"> </w:t>
      </w:r>
      <m:oMath>
        <m:r>
          <m:t>χ</m:t>
        </m:r>
      </m:oMath>
      <w:r>
        <w:t xml:space="preserve"> </w:t>
      </w:r>
      <w:r>
        <w:t xml:space="preserve">to</w:t>
      </w:r>
      <w:r>
        <w:t xml:space="preserve"> </w:t>
      </w:r>
      <m:oMath>
        <m:sSub>
          <m:e>
            <m:r>
              <m:t>E</m:t>
            </m:r>
          </m:e>
          <m:sub>
            <m:r>
              <m:t>g</m:t>
            </m:r>
          </m:sub>
        </m:sSub>
      </m:oMath>
      <w:r>
        <w:t xml:space="preserve"> </w:t>
      </w:r>
      <w:r>
        <w:t xml:space="preserve">(</w:t>
      </w:r>
      <m:oMath>
        <m:r>
          <m:t>χ</m:t>
        </m:r>
        <m:r>
          <m:rPr>
            <m:sty m:val="p"/>
          </m:rPr>
          <m:t>=</m:t>
        </m:r>
        <m:r>
          <m:t>3.95</m:t>
        </m:r>
        <m:r>
          <m:rPr>
            <m:sty m:val="p"/>
          </m:rPr>
          <m:t>+</m:t>
        </m:r>
        <m:r>
          <m:t>0.5</m:t>
        </m:r>
        <m:r>
          <m:rPr>
            <m:sty m:val="p"/>
          </m:rPr>
          <m:t>(</m:t>
        </m:r>
        <m:sSub>
          <m:e>
            <m:r>
              <m:t>E</m:t>
            </m:r>
          </m:e>
          <m:sub>
            <m:r>
              <m:t>g</m:t>
            </m:r>
          </m:sub>
        </m:sSub>
        <m:r>
          <m:rPr>
            <m:sty m:val="p"/>
          </m:rPr>
          <m:t>−</m:t>
        </m:r>
        <m:r>
          <m:t>1.694</m:t>
        </m:r>
        <m:r>
          <m:rPr>
            <m:sty m:val="p"/>
          </m:rPr>
          <m:t>)</m:t>
        </m:r>
      </m:oMath>
      <w:r>
        <w:t xml:space="preserve">), and two energetic screens applied on inspection: a run with Voc above the detailed-balance value computed from the model’s own Eg-sqrt absorption (1.371 V at 1.65 eV with</w:t>
      </w:r>
      <w:r>
        <w:t xml:space="preserve"> </w:t>
      </w:r>
      <m:oMath>
        <m:r>
          <m:t>A</m:t>
        </m:r>
        <m:r>
          <m:rPr>
            <m:sty m:val="p"/>
          </m:rPr>
          <m:t>=</m:t>
        </m:r>
        <m:sSup>
          <m:e>
            <m:r>
              <m:t>10</m:t>
            </m:r>
          </m:e>
          <m:sup>
            <m:r>
              <m:t>7</m:t>
            </m:r>
          </m:sup>
        </m:sSup>
      </m:oMath>
      <w:r>
        <w:t xml:space="preserve"> m</w:t>
      </w:r>
      <m:oMath>
        <m:sSup>
          <m:e>
            <m:r>
              <m:t>​</m:t>
            </m:r>
          </m:e>
          <m:sup>
            <m:r>
              <m:rPr>
                <m:sty m:val="p"/>
              </m:rPr>
              <m:t>−</m:t>
            </m:r>
            <m:r>
              <m:t>1</m:t>
            </m:r>
          </m:sup>
        </m:sSup>
      </m:oMath>
      <w:r>
        <w:t xml:space="preserve">eV</w:t>
      </w:r>
      <m:oMath>
        <m:sSup>
          <m:e>
            <m:r>
              <m:t>​</m:t>
            </m:r>
          </m:e>
          <m:sup>
            <m:r>
              <m:rPr>
                <m:sty m:val="p"/>
              </m:rPr>
              <m:t>−</m:t>
            </m:r>
            <m:r>
              <m:t>1</m:t>
            </m:r>
            <m:r>
              <m:rPr>
                <m:sty m:val="p"/>
              </m:rPr>
              <m:t>/</m:t>
            </m:r>
            <m:r>
              <m:t>2</m:t>
            </m:r>
          </m:sup>
        </m:sSup>
      </m:oMath>
      <w:r>
        <w:t xml:space="preserve"> </w:t>
      </w:r>
      <w:r>
        <w:t xml:space="preserve">and 2.2 </w:t>
      </w:r>
      <m:oMath>
        <m:r>
          <m:t>μ</m:t>
        </m:r>
      </m:oMath>
      <w:r>
        <w:t xml:space="preserve">m single-pass absorptance; the model sets</w:t>
      </w:r>
      <w:r>
        <w:t xml:space="preserve"> </w:t>
      </w:r>
      <m:oMath>
        <m:sSub>
          <m:e>
            <m:r>
              <m:t>k</m:t>
            </m:r>
          </m:e>
          <m:sub>
            <m:r>
              <m:t>r</m:t>
            </m:r>
            <m:r>
              <m:t>a</m:t>
            </m:r>
            <m:r>
              <m:t>d</m:t>
            </m:r>
          </m:sub>
        </m:sSub>
        <m:r>
          <m:rPr>
            <m:sty m:val="p"/>
          </m:rPr>
          <m:t>=</m:t>
        </m:r>
        <m:r>
          <m:t>0</m:t>
        </m:r>
      </m:oMath>
      <w:r>
        <w:t xml:space="preserve">) or FF above Green’s ideal-diode value at the computed Voc (90.5% at the joint optimum) would be discarded. Box constraints above are enforced per run by construction; these two energetic screens are</w:t>
      </w:r>
      <w:r>
        <w:t xml:space="preserve"> </w:t>
      </w:r>
      <w:r>
        <w:rPr>
          <w:i/>
          <w:iCs/>
        </w:rPr>
        <w:t xml:space="preserve">not</w:t>
      </w:r>
      <w:r>
        <w:t xml:space="preserve"> </w:t>
      </w:r>
      <w:r>
        <w:t xml:space="preserve">wired into the batch scripts—no run in the archive was rejected by them—so they are an audit applied after the fact, and we say so rather than claim an automated gate. The</w:t>
      </w:r>
      <w:r>
        <w:t xml:space="preserve"> </w:t>
      </w:r>
      <m:oMath>
        <m:sSub>
          <m:e>
            <m:r>
              <m:t>E</m:t>
            </m:r>
          </m:e>
          <m:sub>
            <m:r>
              <m:t>g</m:t>
            </m:r>
          </m:sub>
        </m:sSub>
        <m:r>
          <m:rPr>
            <m:sty m:val="p"/>
          </m:rPr>
          <m:t>/</m:t>
        </m:r>
        <m:r>
          <m:t>q</m:t>
        </m:r>
        <m:r>
          <m:rPr>
            <m:sty m:val="p"/>
          </m:rPr>
          <m:t>−</m:t>
        </m:r>
        <m:r>
          <m:t>0.28</m:t>
        </m:r>
      </m:oMath>
      <w:r>
        <w:t xml:space="preserve"> V rule of earlier drafts is retired: it sat above the radiative limit and could not adjudicate anything. Series and shunt resistances are scriptable in SCAPS 3.3.10 (</w:t>
      </w:r>
      <w:r>
        <w:rPr>
          <w:rStyle w:val="VerbatimChar"/>
        </w:rPr>
        <w:t xml:space="preserve">set external.Rs/Rsh</w:t>
      </w:r>
      <w:r>
        <w:t xml:space="preserve">;</w:t>
      </w:r>
      <w:r>
        <w:t xml:space="preserve"> </w:t>
      </w:r>
      <w:r>
        <w:rPr>
          <w:rStyle w:val="VerbatimChar"/>
        </w:rPr>
        <w:t xml:space="preserve">scriptdescription3310.txt</w:t>
      </w:r>
      <w:r>
        <w:t xml:space="preserve">), so this section reports computed parasitic sweeps. Sweeps ran in parallel on four workers with checkpointed receipts; of 132 grid runs, 126 converged and enter the analysis (6 runs excluded and listed in the receipts: three Round-A runs—A010 (1.0 </w:t>
      </w:r>
      <m:oMath>
        <m:r>
          <m:t>μ</m:t>
        </m:r>
      </m:oMath>
      <w:r>
        <w:t xml:space="preserve">m,</w:t>
      </w:r>
      <w:r>
        <w:t xml:space="preserve"> </w:t>
      </w:r>
      <m:oMath>
        <m:sSub>
          <m:e>
            <m:r>
              <m:t>N</m:t>
            </m:r>
          </m:e>
          <m:sub>
            <m:r>
              <m:t>A</m:t>
            </m:r>
          </m:sub>
        </m:sSub>
        <m:r>
          <m:rPr>
            <m:sty m:val="p"/>
          </m:rPr>
          <m:t>=</m:t>
        </m:r>
        <m:sSup>
          <m:e>
            <m:r>
              <m:t>10</m:t>
            </m:r>
          </m:e>
          <m:sup>
            <m:r>
              <m:t>15</m:t>
            </m:r>
          </m:sup>
        </m:sSup>
      </m:oMath>
      <w:r>
        <w:t xml:space="preserve"> cm</w:t>
      </w:r>
      <m:oMath>
        <m:sSup>
          <m:e>
            <m:r>
              <m:t>​</m:t>
            </m:r>
          </m:e>
          <m:sup>
            <m:r>
              <m:rPr>
                <m:sty m:val="p"/>
              </m:rPr>
              <m:t>−</m:t>
            </m:r>
            <m:r>
              <m:t>3</m:t>
            </m:r>
          </m:sup>
        </m:sSup>
      </m:oMath>
      <w:r>
        <w:t xml:space="preserve">,</w:t>
      </w:r>
      <w:r>
        <w:t xml:space="preserve"> </w:t>
      </w:r>
      <m:oMath>
        <m:sSub>
          <m:e>
            <m:r>
              <m:t>N</m:t>
            </m:r>
          </m:e>
          <m:sub>
            <m:r>
              <m:t>t</m:t>
            </m:r>
          </m:sub>
        </m:sSub>
        <m:r>
          <m:rPr>
            <m:sty m:val="p"/>
          </m:rPr>
          <m:t>=</m:t>
        </m:r>
        <m:sSup>
          <m:e>
            <m:r>
              <m:t>10</m:t>
            </m:r>
          </m:e>
          <m:sup>
            <m:r>
              <m:t>14</m:t>
            </m:r>
          </m:sup>
        </m:sSup>
      </m:oMath>
      <w:r>
        <w:t xml:space="preserve">,</w:t>
      </w:r>
      <w:r>
        <w:t xml:space="preserve"> </w:t>
      </w:r>
      <m:oMath>
        <m:sSub>
          <m:e>
            <m:r>
              <m:t>E</m:t>
            </m:r>
          </m:e>
          <m:sub>
            <m:r>
              <m:t>g</m:t>
            </m:r>
          </m:sub>
        </m:sSub>
        <m:r>
          <m:rPr>
            <m:sty m:val="p"/>
          </m:rPr>
          <m:t>=</m:t>
        </m:r>
        <m:r>
          <m:t>1.694</m:t>
        </m:r>
      </m:oMath>
      <w:r>
        <w:t xml:space="preserve"> eV), A081 (2.0 </w:t>
      </w:r>
      <m:oMath>
        <m:r>
          <m:t>μ</m:t>
        </m:r>
      </m:oMath>
      <w:r>
        <w:t xml:space="preserve">m,</w:t>
      </w:r>
      <w:r>
        <w:t xml:space="preserve"> </w:t>
      </w:r>
      <m:oMath>
        <m:sSub>
          <m:e>
            <m:r>
              <m:t>N</m:t>
            </m:r>
          </m:e>
          <m:sub>
            <m:r>
              <m:t>A</m:t>
            </m:r>
          </m:sub>
        </m:sSub>
        <m:r>
          <m:rPr>
            <m:sty m:val="p"/>
          </m:rPr>
          <m:t>=</m:t>
        </m:r>
        <m:sSup>
          <m:e>
            <m:r>
              <m:t>10</m:t>
            </m:r>
          </m:e>
          <m:sup>
            <m:r>
              <m:t>15</m:t>
            </m:r>
          </m:sup>
        </m:sSup>
      </m:oMath>
      <w:r>
        <w:t xml:space="preserve"> cm</w:t>
      </w:r>
      <m:oMath>
        <m:sSup>
          <m:e>
            <m:r>
              <m:t>​</m:t>
            </m:r>
          </m:e>
          <m:sup>
            <m:r>
              <m:rPr>
                <m:sty m:val="p"/>
              </m:rPr>
              <m:t>−</m:t>
            </m:r>
            <m:r>
              <m:t>3</m:t>
            </m:r>
          </m:sup>
        </m:sSup>
      </m:oMath>
      <w:r>
        <w:t xml:space="preserve">,</w:t>
      </w:r>
      <w:r>
        <w:t xml:space="preserve"> </w:t>
      </w:r>
      <m:oMath>
        <m:sSub>
          <m:e>
            <m:r>
              <m:t>N</m:t>
            </m:r>
          </m:e>
          <m:sub>
            <m:r>
              <m:t>t</m:t>
            </m:r>
          </m:sub>
        </m:sSub>
        <m:r>
          <m:rPr>
            <m:sty m:val="p"/>
          </m:rPr>
          <m:t>=</m:t>
        </m:r>
        <m:sSup>
          <m:e>
            <m:r>
              <m:t>10</m:t>
            </m:r>
          </m:e>
          <m:sup>
            <m:r>
              <m:t>14</m:t>
            </m:r>
          </m:sup>
        </m:sSup>
      </m:oMath>
      <w:r>
        <w:t xml:space="preserve">) and A051 (1.8 </w:t>
      </w:r>
      <m:oMath>
        <m:r>
          <m:t>μ</m:t>
        </m:r>
      </m:oMath>
      <w:r>
        <w:t xml:space="preserve">m,</w:t>
      </w:r>
      <w:r>
        <w:t xml:space="preserve"> </w:t>
      </w:r>
      <m:oMath>
        <m:sSub>
          <m:e>
            <m:r>
              <m:t>N</m:t>
            </m:r>
          </m:e>
          <m:sub>
            <m:r>
              <m:t>A</m:t>
            </m:r>
          </m:sub>
        </m:sSub>
        <m:r>
          <m:rPr>
            <m:sty m:val="p"/>
          </m:rPr>
          <m:t>=</m:t>
        </m:r>
        <m:sSup>
          <m:e>
            <m:r>
              <m:t>10</m:t>
            </m:r>
          </m:e>
          <m:sup>
            <m:r>
              <m:t>15</m:t>
            </m:r>
          </m:sup>
        </m:sSup>
      </m:oMath>
      <w:r>
        <w:t xml:space="preserve"> cm</w:t>
      </w:r>
      <m:oMath>
        <m:sSup>
          <m:e>
            <m:r>
              <m:t>​</m:t>
            </m:r>
          </m:e>
          <m:sup>
            <m:r>
              <m:rPr>
                <m:sty m:val="p"/>
              </m:rPr>
              <m:t>−</m:t>
            </m:r>
            <m:r>
              <m:t>3</m:t>
            </m:r>
          </m:sup>
        </m:sSup>
      </m:oMath>
      <w:r>
        <w:t xml:space="preserve">,</w:t>
      </w:r>
      <w:r>
        <w:t xml:space="preserve"> </w:t>
      </w:r>
      <m:oMath>
        <m:sSub>
          <m:e>
            <m:r>
              <m:t>N</m:t>
            </m:r>
          </m:e>
          <m:sub>
            <m:r>
              <m:t>t</m:t>
            </m:r>
          </m:sub>
        </m:sSub>
        <m:r>
          <m:rPr>
            <m:sty m:val="p"/>
          </m:rPr>
          <m:t>=</m:t>
        </m:r>
        <m:sSup>
          <m:e>
            <m:r>
              <m:t>10</m:t>
            </m:r>
          </m:e>
          <m:sup>
            <m:r>
              <m:t>12</m:t>
            </m:r>
          </m:sup>
        </m:sSup>
      </m:oMath>
      <w:r>
        <w:t xml:space="preserve">)—and three Round-B runs, all at 1.8 </w:t>
      </w:r>
      <m:oMath>
        <m:r>
          <m:t>μ</m:t>
        </m:r>
      </m:oMath>
      <w:r>
        <w:t xml:space="preserve">m thickness. All six are missing-result-file worker crashes, not solver divergence, and none is a top-ten entry; because they cluster at low</w:t>
      </w:r>
      <w:r>
        <w:t xml:space="preserve"> </w:t>
      </w:r>
      <m:oMath>
        <m:sSub>
          <m:e>
            <m:r>
              <m:t>N</m:t>
            </m:r>
          </m:e>
          <m:sub>
            <m:r>
              <m:t>A</m:t>
            </m:r>
          </m:sub>
        </m:sSub>
      </m:oMath>
      <w:r>
        <w:t xml:space="preserve"> </w:t>
      </w:r>
      <w:r>
        <w:t xml:space="preserve">we cannot rule out that region being harder to converge, and we note it rather than claim the exclusions are unbiased. A duplicate champion run reproduces the coarse-grid value exactly, confirming determinism; a confirmatory run at finer IV step gives 23.4874% at the surveyed affinity (FF 89.78%) against its coarse partner 23.5041%, a 0.017-point IV-step uncertainty against which all reported differences should be read. SCAPS batch scripts expose no mesh control, so no mesh-refinement study is possible in this harness; results are quoted to two decimals in the text; four decimals appear only where a receipt identity or a matched-pair difference below 0.05 points is being shown. Absorber densities of states are capped at</w:t>
      </w:r>
      <w:r>
        <w:t xml:space="preserve"> </w:t>
      </w:r>
      <m:oMath>
        <m:sSub>
          <m:e>
            <m:r>
              <m:t>N</m:t>
            </m:r>
          </m:e>
          <m:sub>
            <m:r>
              <m:t>c</m:t>
            </m:r>
          </m:sub>
        </m:sSub>
        <m:r>
          <m:rPr>
            <m:sty m:val="p"/>
          </m:rPr>
          <m:t>=</m:t>
        </m:r>
        <m:r>
          <m:t>1.1</m:t>
        </m:r>
        <m:r>
          <m:rPr>
            <m:sty m:val="p"/>
          </m:rPr>
          <m:t>×</m:t>
        </m:r>
        <m:sSup>
          <m:e>
            <m:r>
              <m:t>10</m:t>
            </m:r>
          </m:e>
          <m:sup>
            <m:r>
              <m:t>19</m:t>
            </m:r>
          </m:sup>
        </m:sSup>
      </m:oMath>
      <w:r>
        <w:t xml:space="preserve">/</w:t>
      </w:r>
      <m:oMath>
        <m:sSub>
          <m:e>
            <m:r>
              <m:t>N</m:t>
            </m:r>
          </m:e>
          <m:sub>
            <m:r>
              <m:t>v</m:t>
            </m:r>
          </m:sub>
        </m:sSub>
        <m:r>
          <m:rPr>
            <m:sty m:val="p"/>
          </m:rPr>
          <m:t>=</m:t>
        </m:r>
        <m:r>
          <m:t>8.2</m:t>
        </m:r>
        <m:r>
          <m:rPr>
            <m:sty m:val="p"/>
          </m:rPr>
          <m:t>×</m:t>
        </m:r>
        <m:sSup>
          <m:e>
            <m:r>
              <m:t>10</m:t>
            </m:r>
          </m:e>
          <m:sup>
            <m:r>
              <m:t>19</m:t>
            </m:r>
          </m:sup>
        </m:sSup>
      </m:oMath>
      <w:r>
        <w:t xml:space="preserve"> cm</w:t>
      </w:r>
      <m:oMath>
        <m:sSup>
          <m:e>
            <m:r>
              <m:t>​</m:t>
            </m:r>
          </m:e>
          <m:sup>
            <m:r>
              <m:rPr>
                <m:sty m:val="p"/>
              </m:rPr>
              <m:t>−</m:t>
            </m:r>
            <m:r>
              <m:t>3</m:t>
            </m:r>
          </m:sup>
        </m:sSup>
      </m:oMath>
      <w:r>
        <w:t xml:space="preserve">, ten times below the source paper’s printed parameter table (</w:t>
      </w:r>
      <m:oMath>
        <m:sSup>
          <m:e>
            <m:r>
              <m:t>10</m:t>
            </m:r>
          </m:e>
          <m:sup>
            <m:r>
              <m:t>20</m:t>
            </m:r>
          </m:sup>
        </m:sSup>
      </m:oMath>
      <w:r>
        <w:t xml:space="preserve"> cm</w:t>
      </w:r>
      <m:oMath>
        <m:sSup>
          <m:e>
            <m:r>
              <m:t>​</m:t>
            </m:r>
          </m:e>
          <m:sup>
            <m:r>
              <m:rPr>
                <m:sty m:val="p"/>
              </m:rPr>
              <m:t>−</m:t>
            </m:r>
            <m:r>
              <m:t>3</m:t>
            </m:r>
          </m:sup>
        </m:sSup>
      </m:oMath>
      <w:r>
        <w:t xml:space="preserve">, above solid density and hence unphysical).</w:t>
      </w:r>
    </w:p>
    <w:p>
      <w:pPr>
        <w:pStyle w:val="BodyText"/>
      </w:pPr>
      <w:r>
        <w:t xml:space="preserve">SCAPS-1D solves the Poisson equation coupled to electron and hole continuity with drift-diffusion transport </w:t>
      </w:r>
      <w:r>
        <w:t xml:space="preserve">[26], [27]</w:t>
      </w:r>
      <w:r>
        <w:t xml:space="preserve">:</w:t>
      </w:r>
    </w:p>
    <w:p>
      <w:pPr>
        <w:pStyle w:val="BodyText"/>
      </w:pPr>
      <m:oMathPara>
        <m:oMathParaPr>
          <m:jc m:val="center"/>
        </m:oMathParaPr>
        <m:oMath>
          <m:r>
            <m:rPr>
              <m:sty m:val="p"/>
            </m:rPr>
            <m:t>−</m:t>
          </m:r>
          <m:f>
            <m:fPr>
              <m:type m:val="bar"/>
            </m:fPr>
            <m:num>
              <m:r>
                <m:rPr>
                  <m:sty m:val="p"/>
                </m:rPr>
                <m:t>∂</m:t>
              </m:r>
            </m:num>
            <m:den>
              <m:r>
                <m:rPr>
                  <m:sty m:val="p"/>
                </m:rPr>
                <m:t>∂</m:t>
              </m:r>
              <m:r>
                <m:t>x</m:t>
              </m:r>
            </m:den>
          </m:f>
          <m:d>
            <m:dPr>
              <m:begChr m:val="("/>
              <m:sepChr m:val=""/>
              <m:endChr m:val=")"/>
              <m:grow/>
            </m:dPr>
            <m:e>
              <m:r>
                <m:t>ε</m:t>
              </m:r>
              <m:r>
                <m:rPr>
                  <m:sty m:val="p"/>
                </m:rPr>
                <m:t>(</m:t>
              </m:r>
              <m:r>
                <m:t>x</m:t>
              </m:r>
              <m:r>
                <m:rPr>
                  <m:sty m:val="p"/>
                </m:rPr>
                <m:t>)</m:t>
              </m:r>
              <m:f>
                <m:fPr>
                  <m:type m:val="bar"/>
                </m:fPr>
                <m:num>
                  <m:r>
                    <m:rPr>
                      <m:sty m:val="p"/>
                    </m:rPr>
                    <m:t>∂</m:t>
                  </m:r>
                  <m:r>
                    <m:t>V</m:t>
                  </m:r>
                </m:num>
                <m:den>
                  <m:r>
                    <m:rPr>
                      <m:sty m:val="p"/>
                    </m:rPr>
                    <m:t>∂</m:t>
                  </m:r>
                  <m:r>
                    <m:t>x</m:t>
                  </m:r>
                </m:den>
              </m:f>
            </m:e>
          </m:d>
          <m:r>
            <m:rPr>
              <m:sty m:val="p"/>
            </m:rPr>
            <m:t>=</m:t>
          </m:r>
          <m:r>
            <m:t>q</m:t>
          </m:r>
          <m:r>
            <m:rPr>
              <m:sty m:val="p"/>
            </m:rPr>
            <m:t>[</m:t>
          </m:r>
          <m:r>
            <m:t>p</m:t>
          </m:r>
          <m:r>
            <m:rPr>
              <m:sty m:val="p"/>
            </m:rPr>
            <m:t>−</m:t>
          </m:r>
          <m:r>
            <m:t>n</m:t>
          </m:r>
          <m:r>
            <m:rPr>
              <m:sty m:val="p"/>
            </m:rPr>
            <m:t>+</m:t>
          </m:r>
          <m:sSubSup>
            <m:e>
              <m:r>
                <m:t>N</m:t>
              </m:r>
            </m:e>
            <m:sub>
              <m:r>
                <m:t>D</m:t>
              </m:r>
            </m:sub>
            <m:sup>
              <m:r>
                <m:rPr>
                  <m:sty m:val="p"/>
                </m:rPr>
                <m:t>+</m:t>
              </m:r>
            </m:sup>
          </m:sSubSup>
          <m:r>
            <m:rPr>
              <m:sty m:val="p"/>
            </m:rPr>
            <m:t>−</m:t>
          </m:r>
          <m:sSubSup>
            <m:e>
              <m:r>
                <m:t>N</m:t>
              </m:r>
            </m:e>
            <m:sub>
              <m:r>
                <m:t>A</m:t>
              </m:r>
            </m:sub>
            <m:sup>
              <m:r>
                <m:rPr>
                  <m:sty m:val="p"/>
                </m:rPr>
                <m:t>−</m:t>
              </m:r>
            </m:sup>
          </m:sSubSup>
          <m:r>
            <m:rPr>
              <m:sty m:val="p"/>
            </m:rPr>
            <m:t>+</m:t>
          </m:r>
          <m:sSub>
            <m:e>
              <m:r>
                <m:t>p</m:t>
              </m:r>
            </m:e>
            <m:sub>
              <m:r>
                <m:t>t</m:t>
              </m:r>
            </m:sub>
          </m:sSub>
          <m:r>
            <m:rPr>
              <m:sty m:val="p"/>
            </m:rPr>
            <m:t>−</m:t>
          </m:r>
          <m:sSub>
            <m:e>
              <m:r>
                <m:t>n</m:t>
              </m:r>
            </m:e>
            <m:sub>
              <m:r>
                <m:t>t</m:t>
              </m:r>
            </m:sub>
          </m:sSub>
          <m:r>
            <m:rPr>
              <m:sty m:val="p"/>
            </m:rPr>
            <m:t>]</m:t>
          </m:r>
          <m:r>
            <m:rPr>
              <m:sty m:val="p"/>
            </m:rPr>
            <m:t>,</m:t>
          </m:r>
        </m:oMath>
      </m:oMathPara>
    </w:p>
    <w:p>
      <w:pPr>
        <w:pStyle w:val="FirstParagraph"/>
      </w:pPr>
      <m:oMathPara>
        <m:oMathParaPr>
          <m:jc m:val="center"/>
        </m:oMathParaPr>
        <m:oMath>
          <m:f>
            <m:fPr>
              <m:type m:val="bar"/>
            </m:fPr>
            <m:num>
              <m:r>
                <m:rPr>
                  <m:sty m:val="p"/>
                </m:rPr>
                <m:t>∂</m:t>
              </m:r>
              <m:r>
                <m:t>n</m:t>
              </m:r>
            </m:num>
            <m:den>
              <m:r>
                <m:rPr>
                  <m:sty m:val="p"/>
                </m:rPr>
                <m:t>∂</m:t>
              </m:r>
              <m:r>
                <m:t>t</m:t>
              </m:r>
            </m:den>
          </m:f>
          <m:r>
            <m:rPr>
              <m:sty m:val="p"/>
            </m:rPr>
            <m:t>=</m:t>
          </m:r>
          <m:f>
            <m:fPr>
              <m:type m:val="bar"/>
            </m:fPr>
            <m:num>
              <m:r>
                <m:t>1</m:t>
              </m:r>
            </m:num>
            <m:den>
              <m:r>
                <m:t>q</m:t>
              </m:r>
            </m:den>
          </m:f>
          <m:f>
            <m:fPr>
              <m:type m:val="bar"/>
            </m:fPr>
            <m:num>
              <m:r>
                <m:rPr>
                  <m:sty m:val="p"/>
                </m:rPr>
                <m:t>∂</m:t>
              </m:r>
              <m:sSub>
                <m:e>
                  <m:r>
                    <m:t>J</m:t>
                  </m:r>
                </m:e>
                <m:sub>
                  <m:r>
                    <m:t>n</m:t>
                  </m:r>
                </m:sub>
              </m:sSub>
            </m:num>
            <m:den>
              <m:r>
                <m:rPr>
                  <m:sty m:val="p"/>
                </m:rPr>
                <m:t>∂</m:t>
              </m:r>
              <m:r>
                <m:t>x</m:t>
              </m:r>
            </m:den>
          </m:f>
          <m:r>
            <m:rPr>
              <m:sty m:val="p"/>
            </m:rPr>
            <m:t>+</m:t>
          </m:r>
          <m:sSub>
            <m:e>
              <m:r>
                <m:t>G</m:t>
              </m:r>
            </m:e>
            <m:sub>
              <m:r>
                <m:t>n</m:t>
              </m:r>
            </m:sub>
          </m:sSub>
          <m:r>
            <m:rPr>
              <m:sty m:val="p"/>
            </m:rPr>
            <m:t>−</m:t>
          </m:r>
          <m:sSub>
            <m:e>
              <m:r>
                <m:t>R</m:t>
              </m:r>
            </m:e>
            <m:sub>
              <m:r>
                <m:t>n</m:t>
              </m:r>
            </m:sub>
          </m:sSub>
          <m:r>
            <m:rPr>
              <m:sty m:val="p"/>
            </m:rPr>
            <m:t>,</m:t>
          </m:r>
          <m:r>
            <m:t> </m:t>
          </m:r>
          <m:f>
            <m:fPr>
              <m:type m:val="bar"/>
            </m:fPr>
            <m:num>
              <m:r>
                <m:rPr>
                  <m:sty m:val="p"/>
                </m:rPr>
                <m:t>∂</m:t>
              </m:r>
              <m:r>
                <m:t>p</m:t>
              </m:r>
            </m:num>
            <m:den>
              <m:r>
                <m:rPr>
                  <m:sty m:val="p"/>
                </m:rPr>
                <m:t>∂</m:t>
              </m:r>
              <m:r>
                <m:t>t</m:t>
              </m:r>
            </m:den>
          </m:f>
          <m:r>
            <m:rPr>
              <m:sty m:val="p"/>
            </m:rPr>
            <m:t>=</m:t>
          </m:r>
          <m:r>
            <m:rPr>
              <m:sty m:val="p"/>
            </m:rPr>
            <m:t>−</m:t>
          </m:r>
          <m:f>
            <m:fPr>
              <m:type m:val="bar"/>
            </m:fPr>
            <m:num>
              <m:r>
                <m:t>1</m:t>
              </m:r>
            </m:num>
            <m:den>
              <m:r>
                <m:t>q</m:t>
              </m:r>
            </m:den>
          </m:f>
          <m:f>
            <m:fPr>
              <m:type m:val="bar"/>
            </m:fPr>
            <m:num>
              <m:r>
                <m:rPr>
                  <m:sty m:val="p"/>
                </m:rPr>
                <m:t>∂</m:t>
              </m:r>
              <m:sSub>
                <m:e>
                  <m:r>
                    <m:t>J</m:t>
                  </m:r>
                </m:e>
                <m:sub>
                  <m:r>
                    <m:t>p</m:t>
                  </m:r>
                </m:sub>
              </m:sSub>
            </m:num>
            <m:den>
              <m:r>
                <m:rPr>
                  <m:sty m:val="p"/>
                </m:rPr>
                <m:t>∂</m:t>
              </m:r>
              <m:r>
                <m:t>x</m:t>
              </m:r>
            </m:den>
          </m:f>
          <m:r>
            <m:rPr>
              <m:sty m:val="p"/>
            </m:rPr>
            <m:t>+</m:t>
          </m:r>
          <m:sSub>
            <m:e>
              <m:r>
                <m:t>G</m:t>
              </m:r>
            </m:e>
            <m:sub>
              <m:r>
                <m:t>p</m:t>
              </m:r>
            </m:sub>
          </m:sSub>
          <m:r>
            <m:rPr>
              <m:sty m:val="p"/>
            </m:rPr>
            <m:t>−</m:t>
          </m:r>
          <m:sSub>
            <m:e>
              <m:r>
                <m:t>R</m:t>
              </m:r>
            </m:e>
            <m:sub>
              <m:r>
                <m:t>p</m:t>
              </m:r>
            </m:sub>
          </m:sSub>
          <m:r>
            <m:rPr>
              <m:sty m:val="p"/>
            </m:rPr>
            <m:t>,</m:t>
          </m:r>
        </m:oMath>
      </m:oMathPara>
    </w:p>
    <w:p>
      <w:pPr>
        <w:pStyle w:val="FirstParagraph"/>
      </w:pPr>
      <w:r>
        <w:t xml:space="preserve">with Shockley–Read–Hall recombination through the specified bulk and interface defect levels. Optical generation uses the Eg-sqrt (Tauc) model</w:t>
      </w:r>
      <w:r>
        <w:t xml:space="preserve"> </w:t>
      </w:r>
      <m:oMath>
        <m:r>
          <m:t>α</m:t>
        </m:r>
        <m:r>
          <m:rPr>
            <m:sty m:val="p"/>
          </m:rPr>
          <m:t>=</m:t>
        </m:r>
        <m:r>
          <m:t>A</m:t>
        </m:r>
        <m:rad>
          <m:radPr>
            <m:degHide m:val="on"/>
          </m:radPr>
          <m:deg/>
          <m:e>
            <m:r>
              <m:t>h</m:t>
            </m:r>
            <m:r>
              <m:t>ν</m:t>
            </m:r>
            <m:r>
              <m:rPr>
                <m:sty m:val="p"/>
              </m:rPr>
              <m:t>−</m:t>
            </m:r>
            <m:sSub>
              <m:e>
                <m:r>
                  <m:t>E</m:t>
                </m:r>
              </m:e>
              <m:sub>
                <m:r>
                  <m:t>g</m:t>
                </m:r>
              </m:sub>
            </m:sSub>
          </m:e>
        </m:rad>
      </m:oMath>
      <w:r>
        <w:t xml:space="preserve">, so bandgap sweeps move the absorption edge self-consistently. Full input parameters are listed in Tables </w:t>
      </w:r>
      <w:hyperlink w:anchor="tab:in">
        <w:r>
          <w:rPr>
            <w:rStyle w:val="Hyperlink"/>
          </w:rPr>
          <w:t xml:space="preserve">[tab:in]</w:t>
        </w:r>
      </w:hyperlink>
      <w:r>
        <w:t xml:space="preserve"> </w:t>
      </w:r>
      <w:r>
        <w:t xml:space="preserve">and </w:t>
      </w:r>
      <w:hyperlink w:anchor="tab:if">
        <w:r>
          <w:rPr>
            <w:rStyle w:val="Hyperlink"/>
          </w:rPr>
          <w:t xml:space="preserve">2</w:t>
        </w:r>
      </w:hyperlink>
      <w:r>
        <w:t xml:space="preserve">, with every guardrail and its justification in Table </w:t>
      </w:r>
      <w:hyperlink w:anchor="tab:guard">
        <w:r>
          <w:rPr>
            <w:rStyle w:val="Hyperlink"/>
          </w:rPr>
          <w:t xml:space="preserve">[tab:guard]</w:t>
        </w:r>
      </w:hyperlink>
      <w:r>
        <w:t xml:space="preserve">; transport-layer screenings that motivate the TiO2/CBTS choice are reviewed in </w:t>
      </w:r>
      <w:r>
        <w:t xml:space="preserve">[6], [28]</w:t>
      </w:r>
      <w:r>
        <w:t xml:space="preserve">.</w:t>
      </w:r>
    </w:p>
    <w:bookmarkStart w:id="17" w:name="tab:if"/>
    <w:p>
      <w:pPr>
        <w:pStyle w:val="TableCaption"/>
      </w:pPr>
      <w:r>
        <w:t xml:space="preserve">Interface defect layers (both heterojunctions): neutral single level,</w:t>
      </w:r>
      <w:r>
        <w:t xml:space="preserve"> </w:t>
      </w:r>
      <m:oMath>
        <m:r>
          <m:t>σ</m:t>
        </m:r>
        <m:r>
          <m:rPr>
            <m:sty m:val="p"/>
          </m:rPr>
          <m:t>=</m:t>
        </m:r>
        <m:sSup>
          <m:e>
            <m:r>
              <m:t>10</m:t>
            </m:r>
          </m:e>
          <m:sup>
            <m:r>
              <m:rPr>
                <m:sty m:val="p"/>
              </m:rPr>
              <m:t>−</m:t>
            </m:r>
            <m:r>
              <m:t>19</m:t>
            </m:r>
          </m:sup>
        </m:sSup>
      </m:oMath>
      <w:r>
        <w:t xml:space="preserve"> m</w:t>
      </w:r>
      <m:oMath>
        <m:sSup>
          <m:e>
            <m:r>
              <m:t>​</m:t>
            </m:r>
          </m:e>
          <m:sup>
            <m:r>
              <m:t>2</m:t>
            </m:r>
          </m:sup>
        </m:sSup>
      </m:oMath>
      <w:r>
        <w:t xml:space="preserve"> </w:t>
      </w:r>
      <w:r>
        <w:t xml:space="preserve">all sides,</w:t>
      </w:r>
      <w:r>
        <w:t xml:space="preserve"> </w:t>
      </w:r>
      <m:oMath>
        <m:sSub>
          <m:e>
            <m:r>
              <m:t>E</m:t>
            </m:r>
          </m:e>
          <m:sub>
            <m:r>
              <m:t>t</m:t>
            </m:r>
          </m:sub>
        </m:sSub>
        <m:r>
          <m:rPr>
            <m:sty m:val="p"/>
          </m:rPr>
          <m:t>=</m:t>
        </m:r>
        <m:r>
          <m:t>0.6</m:t>
        </m:r>
      </m:oMath>
      <w:r>
        <w:t xml:space="preserve"> eV.</w:t>
      </w:r>
    </w:p>
    <w:tbl>
      <w:tblPr>
        <w:tblStyle w:val="Table"/>
        <w:tblW w:type="auto" w:w="0"/>
        <w:tblLook w:firstRow="1" w:lastRow="0" w:firstColumn="0" w:lastColumn="0" w:noHBand="0" w:noVBand="0" w:val="0020"/>
        <w:tblCaption w:val="Interface defect layers (both heterojunctions): neutral single level, \sigma=10^{-19} m^2 all sides, E_t=0.6 eV."/>
      </w:tblPr>
      <w:tblGrid>
        <w:gridCol w:w="2640"/>
        <w:gridCol w:w="2640"/>
        <w:gridCol w:w="2640"/>
      </w:tblGrid>
      <w:tr>
        <w:trPr>
          <w:tblHeader w:val="on"/>
        </w:trPr>
        <w:tc>
          <w:tcPr/>
          <w:p>
            <w:pPr>
              <w:pStyle w:val="Compact"/>
              <w:jc w:val="left"/>
            </w:pPr>
            <w:r>
              <w:t xml:space="preserve">Interface</w:t>
            </w:r>
          </w:p>
        </w:tc>
        <w:tc>
          <w:tcPr/>
          <w:p>
            <w:pPr>
              <w:pStyle w:val="Compact"/>
              <w:jc w:val="left"/>
            </w:pPr>
            <m:oMath>
              <m:r>
                <m:t>N</m:t>
              </m:r>
            </m:oMath>
            <w:r>
              <w:t xml:space="preserve"> </w:t>
            </w:r>
            <w:r>
              <w:t xml:space="preserve">(cm</w:t>
            </w:r>
            <m:oMath>
              <m:sSup>
                <m:e>
                  <m:r>
                    <m:t>​</m:t>
                  </m:r>
                </m:e>
                <m:sup>
                  <m:r>
                    <m:rPr>
                      <m:sty m:val="p"/>
                    </m:rPr>
                    <m:t>−</m:t>
                  </m:r>
                  <m:r>
                    <m:t>2</m:t>
                  </m:r>
                </m:sup>
              </m:sSup>
            </m:oMath>
            <w:r>
              <w:t xml:space="preserve">)</w:t>
            </w:r>
          </w:p>
        </w:tc>
        <w:tc>
          <w:tcPr/>
          <w:p>
            <w:pPr>
              <w:pStyle w:val="Compact"/>
              <w:jc w:val="left"/>
            </w:pPr>
            <w:r>
              <w:t xml:space="preserve">Sweep range (this work)</w:t>
            </w:r>
          </w:p>
        </w:tc>
      </w:tr>
      <w:tr>
        <w:tc>
          <w:tcPr/>
          <w:p>
            <w:pPr>
              <w:pStyle w:val="Compact"/>
              <w:jc w:val="left"/>
            </w:pPr>
            <w:r>
              <w:t xml:space="preserve">CBTS/CsPbI3</w:t>
            </w:r>
          </w:p>
        </w:tc>
        <w:tc>
          <w:tcPr/>
          <w:p>
            <w:pPr>
              <w:pStyle w:val="Compact"/>
              <w:jc w:val="left"/>
            </w:pPr>
            <w:r>
              <w:t xml:space="preserve">1e10</w:t>
            </w:r>
          </w:p>
        </w:tc>
        <w:tc>
          <w:tcPr/>
          <w:p>
            <w:pPr>
              <w:pStyle w:val="Compact"/>
              <w:jc w:val="left"/>
            </w:pPr>
            <m:oMath>
              <m:sSup>
                <m:e>
                  <m:r>
                    <m:t>10</m:t>
                  </m:r>
                </m:e>
                <m:sup>
                  <m:r>
                    <m:t>8</m:t>
                  </m:r>
                </m:sup>
              </m:sSup>
            </m:oMath>
            <w:r>
              <w:t xml:space="preserve">–</w:t>
            </w:r>
            <m:oMath>
              <m:sSup>
                <m:e>
                  <m:r>
                    <m:t>10</m:t>
                  </m:r>
                </m:e>
                <m:sup>
                  <m:r>
                    <m:t>12</m:t>
                  </m:r>
                </m:sup>
              </m:sSup>
            </m:oMath>
            <w:r>
              <w:t xml:space="preserve"> </w:t>
            </w:r>
            <w:r>
              <w:t xml:space="preserve">(+ ETL/HTL-only,</w:t>
            </w:r>
            <w:r>
              <w:t xml:space="preserve"> </w:t>
            </w:r>
            <m:oMath>
              <m:r>
                <m:t>σ</m:t>
              </m:r>
              <m:r>
                <m:rPr>
                  <m:sty m:val="p"/>
                </m:rPr>
                <m:t>×</m:t>
              </m:r>
              <m:r>
                <m:t>10</m:t>
              </m:r>
            </m:oMath>
            <w:r>
              <w:t xml:space="preserve">)</w:t>
            </w:r>
          </w:p>
        </w:tc>
      </w:tr>
      <w:tr>
        <w:tc>
          <w:tcPr/>
          <w:p>
            <w:pPr>
              <w:pStyle w:val="Compact"/>
              <w:jc w:val="left"/>
            </w:pPr>
            <w:r>
              <w:t xml:space="preserve">CsPbI3/TiO2</w:t>
            </w:r>
          </w:p>
        </w:tc>
        <w:tc>
          <w:tcPr/>
          <w:p>
            <w:pPr>
              <w:pStyle w:val="Compact"/>
              <w:jc w:val="left"/>
            </w:pPr>
            <w:r>
              <w:t xml:space="preserve">1e10</w:t>
            </w:r>
          </w:p>
        </w:tc>
        <w:tc>
          <w:tcPr/>
          <w:p>
            <w:pPr>
              <w:pStyle w:val="Compact"/>
              <w:jc w:val="left"/>
            </w:pPr>
            <m:oMath>
              <m:sSup>
                <m:e>
                  <m:r>
                    <m:t>10</m:t>
                  </m:r>
                </m:e>
                <m:sup>
                  <m:r>
                    <m:t>8</m:t>
                  </m:r>
                </m:sup>
              </m:sSup>
            </m:oMath>
            <w:r>
              <w:t xml:space="preserve">–</w:t>
            </w:r>
            <m:oMath>
              <m:sSup>
                <m:e>
                  <m:r>
                    <m:t>10</m:t>
                  </m:r>
                </m:e>
                <m:sup>
                  <m:r>
                    <m:t>12</m:t>
                  </m:r>
                </m:sup>
              </m:sSup>
            </m:oMath>
            <w:r>
              <w:t xml:space="preserve"> </w:t>
            </w:r>
            <w:r>
              <w:t xml:space="preserve">(+ ETL/HTL-only,</w:t>
            </w:r>
            <w:r>
              <w:t xml:space="preserve"> </w:t>
            </w:r>
            <m:oMath>
              <m:r>
                <m:t>σ</m:t>
              </m:r>
              <m:r>
                <m:rPr>
                  <m:sty m:val="p"/>
                </m:rPr>
                <m:t>×</m:t>
              </m:r>
              <m:r>
                <m:t>10</m:t>
              </m:r>
            </m:oMath>
            <w:r>
              <w:t xml:space="preserve">)</w:t>
            </w:r>
          </w:p>
        </w:tc>
      </w:tr>
    </w:tbl>
    <w:bookmarkEnd w:id="17"/>
    <w:bookmarkEnd w:id="18"/>
    <w:bookmarkStart w:id="30" w:name="grid-screen-and-joint-optimum-champion"/>
    <w:p>
      <w:pPr>
        <w:pStyle w:val="Heading1"/>
      </w:pPr>
      <w:r>
        <w:t xml:space="preserve">Grid screen and joint-optimum champion</w:t>
      </w:r>
    </w:p>
    <w:p>
      <w:pPr>
        <w:pStyle w:val="FirstParagraph"/>
      </w:pPr>
      <w:r>
        <w:t xml:space="preserve">Round A explored the full cross-product of absorber thickness (1.0–2.0 </w:t>
      </w:r>
      <m:oMath>
        <m:r>
          <m:t>μ</m:t>
        </m:r>
      </m:oMath>
      <w:r>
        <w:t xml:space="preserve">m), acceptor density (</w:t>
      </w:r>
      <m:oMath>
        <m:sSup>
          <m:e>
            <m:r>
              <m:t>10</m:t>
            </m:r>
          </m:e>
          <m:sup>
            <m:r>
              <m:t>15</m:t>
            </m:r>
          </m:sup>
        </m:sSup>
      </m:oMath>
      <w:r>
        <w:t xml:space="preserve">–</w:t>
      </w:r>
      <m:oMath>
        <m:sSup>
          <m:e>
            <m:r>
              <m:t>10</m:t>
            </m:r>
          </m:e>
          <m:sup>
            <m:r>
              <m:t>16</m:t>
            </m:r>
          </m:sup>
        </m:sSup>
      </m:oMath>
      <w:r>
        <w:t xml:space="preserve"> cm</w:t>
      </w:r>
      <m:oMath>
        <m:sSup>
          <m:e>
            <m:r>
              <m:t>​</m:t>
            </m:r>
          </m:e>
          <m:sup>
            <m:r>
              <m:rPr>
                <m:sty m:val="p"/>
              </m:rPr>
              <m:t>−</m:t>
            </m:r>
            <m:r>
              <m:t>3</m:t>
            </m:r>
          </m:sup>
        </m:sSup>
      </m:oMath>
      <w:r>
        <w:t xml:space="preserve">), bulk defect density (</w:t>
      </w:r>
      <m:oMath>
        <m:sSup>
          <m:e>
            <m:r>
              <m:t>10</m:t>
            </m:r>
          </m:e>
          <m:sup>
            <m:r>
              <m:t>12</m:t>
            </m:r>
          </m:sup>
        </m:sSup>
      </m:oMath>
      <w:r>
        <w:t xml:space="preserve">–</w:t>
      </w:r>
      <m:oMath>
        <m:sSup>
          <m:e>
            <m:r>
              <m:t>10</m:t>
            </m:r>
          </m:e>
          <m:sup>
            <m:r>
              <m:t>14</m:t>
            </m:r>
          </m:sup>
        </m:sSup>
      </m:oMath>
      <w:r>
        <w:t xml:space="preserve"> cm</w:t>
      </w:r>
      <m:oMath>
        <m:sSup>
          <m:e>
            <m:r>
              <m:t>​</m:t>
            </m:r>
          </m:e>
          <m:sup>
            <m:r>
              <m:rPr>
                <m:sty m:val="p"/>
              </m:rPr>
              <m:t>−</m:t>
            </m:r>
            <m:r>
              <m:t>3</m:t>
            </m:r>
          </m:sup>
        </m:sSup>
      </m:oMath>
      <w:r>
        <w:t xml:space="preserve">), ETL donor density (</w:t>
      </w:r>
      <m:oMath>
        <m:r>
          <m:t>9</m:t>
        </m:r>
        <m:r>
          <m:rPr>
            <m:sty m:val="p"/>
          </m:rPr>
          <m:t>×</m:t>
        </m:r>
        <m:sSup>
          <m:e>
            <m:r>
              <m:t>10</m:t>
            </m:r>
          </m:e>
          <m:sup>
            <m:r>
              <m:t>16</m:t>
            </m:r>
          </m:sup>
        </m:sSup>
      </m:oMath>
      <w:r>
        <w:t xml:space="preserve">–</w:t>
      </w:r>
      <m:oMath>
        <m:r>
          <m:t>9</m:t>
        </m:r>
        <m:r>
          <m:rPr>
            <m:sty m:val="p"/>
          </m:rPr>
          <m:t>×</m:t>
        </m:r>
        <m:sSup>
          <m:e>
            <m:r>
              <m:t>10</m:t>
            </m:r>
          </m:e>
          <m:sup>
            <m:r>
              <m:t>17</m:t>
            </m:r>
          </m:sup>
        </m:sSup>
      </m:oMath>
      <w:r>
        <w:t xml:space="preserve"> cm</w:t>
      </w:r>
      <m:oMath>
        <m:sSup>
          <m:e>
            <m:r>
              <m:t>​</m:t>
            </m:r>
          </m:e>
          <m:sup>
            <m:r>
              <m:rPr>
                <m:sty m:val="p"/>
              </m:rPr>
              <m:t>−</m:t>
            </m:r>
            <m:r>
              <m:t>3</m:t>
            </m:r>
          </m:sup>
        </m:sSup>
      </m:oMath>
      <w:r>
        <w:t xml:space="preserve">), and bandgap (1.694/1.65 eV with linked affinity)—96 runs (93 converged, 3 worker crashes) in a single parallel batch, rather than sequential OVAT slices. The winner (2.0 </w:t>
      </w:r>
      <m:oMath>
        <m:r>
          <m:t>μ</m:t>
        </m:r>
      </m:oMath>
      <w:r>
        <w:t xml:space="preserve">m,</w:t>
      </w:r>
      <w:r>
        <w:t xml:space="preserve"> </w:t>
      </w:r>
      <m:oMath>
        <m:sSub>
          <m:e>
            <m:r>
              <m:t>N</m:t>
            </m:r>
          </m:e>
          <m:sub>
            <m:r>
              <m:t>A</m:t>
            </m:r>
          </m:sub>
        </m:sSub>
        <m:r>
          <m:rPr>
            <m:sty m:val="p"/>
          </m:rPr>
          <m:t>=</m:t>
        </m:r>
        <m:sSup>
          <m:e>
            <m:r>
              <m:t>10</m:t>
            </m:r>
          </m:e>
          <m:sup>
            <m:r>
              <m:t>16</m:t>
            </m:r>
          </m:sup>
        </m:sSup>
      </m:oMath>
      <w:r>
        <w:t xml:space="preserve"> cm</w:t>
      </w:r>
      <m:oMath>
        <m:sSup>
          <m:e>
            <m:r>
              <m:t>​</m:t>
            </m:r>
          </m:e>
          <m:sup>
            <m:r>
              <m:rPr>
                <m:sty m:val="p"/>
              </m:rPr>
              <m:t>−</m:t>
            </m:r>
            <m:r>
              <m:t>3</m:t>
            </m:r>
          </m:sup>
        </m:sSup>
      </m:oMath>
      <w:r>
        <w:t xml:space="preserve">,</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w:t>
      </w:r>
      <w:r>
        <w:t xml:space="preserve"> </w:t>
      </w:r>
      <m:oMath>
        <m:sSub>
          <m:e>
            <m:r>
              <m:t>N</m:t>
            </m:r>
          </m:e>
          <m:sub>
            <m:r>
              <m:t>D</m:t>
            </m:r>
            <m:r>
              <m:rPr>
                <m:sty m:val="p"/>
              </m:rPr>
              <m:t>,</m:t>
            </m:r>
            <m:r>
              <m:t>E</m:t>
            </m:r>
            <m:r>
              <m:t>T</m:t>
            </m:r>
            <m:r>
              <m:t>L</m:t>
            </m:r>
          </m:sub>
        </m:sSub>
        <m:r>
          <m:rPr>
            <m:sty m:val="p"/>
          </m:rPr>
          <m:t>=</m:t>
        </m:r>
        <m:r>
          <m:t>9</m:t>
        </m:r>
        <m:r>
          <m:rPr>
            <m:sty m:val="p"/>
          </m:rPr>
          <m:t>×</m:t>
        </m:r>
        <m:sSup>
          <m:e>
            <m:r>
              <m:t>10</m:t>
            </m:r>
          </m:e>
          <m:sup>
            <m:r>
              <m:t>17</m:t>
            </m:r>
          </m:sup>
        </m:sSup>
      </m:oMath>
      <w:r>
        <w:t xml:space="preserve"> cm</w:t>
      </w:r>
      <m:oMath>
        <m:sSup>
          <m:e>
            <m:r>
              <m:t>​</m:t>
            </m:r>
          </m:e>
          <m:sup>
            <m:r>
              <m:rPr>
                <m:sty m:val="p"/>
              </m:rPr>
              <m:t>−</m:t>
            </m:r>
            <m:r>
              <m:t>3</m:t>
            </m:r>
          </m:sup>
        </m:sSup>
      </m:oMath>
      <w:r>
        <w:t xml:space="preserve">,</w:t>
      </w:r>
      <w:r>
        <w:t xml:space="preserve"> </w:t>
      </w:r>
      <m:oMath>
        <m:sSub>
          <m:e>
            <m:r>
              <m:t>E</m:t>
            </m:r>
          </m:e>
          <m:sub>
            <m:r>
              <m:t>g</m:t>
            </m:r>
          </m:sub>
        </m:sSub>
        <m:r>
          <m:rPr>
            <m:sty m:val="p"/>
          </m:rPr>
          <m:t>=</m:t>
        </m:r>
        <m:r>
          <m:t>1.65</m:t>
        </m:r>
      </m:oMath>
      <w:r>
        <w:t xml:space="preserve"> eV) reached 23.47%. Full parameters are collected in Table </w:t>
      </w:r>
      <w:hyperlink w:anchor="tab:champ">
        <w:r>
          <w:rPr>
            <w:rStyle w:val="Hyperlink"/>
          </w:rPr>
          <w:t xml:space="preserve">[tab:champ]</w:t>
        </w:r>
      </w:hyperlink>
      <w:r>
        <w:t xml:space="preserve">. Round B refined thickness (1.8–2.2 </w:t>
      </w:r>
      <m:oMath>
        <m:r>
          <m:t>μ</m:t>
        </m:r>
      </m:oMath>
      <w:r>
        <w:t xml:space="preserve">m), gap (1.65–1.72 eV), and doping around this point (36 runs, 33 converged) and reached 23.50% (2.2 </w:t>
      </w:r>
      <m:oMath>
        <m:r>
          <m:t>μ</m:t>
        </m:r>
      </m:oMath>
      <w:r>
        <w:t xml:space="preserve">m,</w:t>
      </w:r>
      <w:r>
        <w:t xml:space="preserve"> </w:t>
      </w:r>
      <m:oMath>
        <m:sSub>
          <m:e>
            <m:r>
              <m:t>N</m:t>
            </m:r>
          </m:e>
          <m:sub>
            <m:r>
              <m:t>A</m:t>
            </m:r>
          </m:sub>
        </m:sSub>
        <m:r>
          <m:rPr>
            <m:sty m:val="p"/>
          </m:rPr>
          <m:t>=</m:t>
        </m:r>
        <m:r>
          <m:t>3</m:t>
        </m:r>
        <m:r>
          <m:rPr>
            <m:sty m:val="p"/>
          </m:rPr>
          <m:t>×</m:t>
        </m:r>
        <m:sSup>
          <m:e>
            <m:r>
              <m:t>10</m:t>
            </m:r>
          </m:e>
          <m:sup>
            <m:r>
              <m:t>16</m:t>
            </m:r>
          </m:sup>
        </m:sSup>
      </m:oMath>
      <w:r>
        <w:t xml:space="preserve"> cm</w:t>
      </w:r>
      <m:oMath>
        <m:sSup>
          <m:e>
            <m:r>
              <m:t>​</m:t>
            </m:r>
          </m:e>
          <m:sup>
            <m:r>
              <m:rPr>
                <m:sty m:val="p"/>
              </m:rPr>
              <m:t>−</m:t>
            </m:r>
            <m:r>
              <m:t>3</m:t>
            </m:r>
          </m:sup>
        </m:sSup>
      </m:oMath>
      <w:r>
        <w:t xml:space="preserve">,</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w:t>
      </w:r>
      <w:r>
        <w:t xml:space="preserve"> </w:t>
      </w:r>
      <m:oMath>
        <m:sSub>
          <m:e>
            <m:r>
              <m:t>E</m:t>
            </m:r>
          </m:e>
          <m:sub>
            <m:r>
              <m:t>g</m:t>
            </m:r>
          </m:sub>
        </m:sSub>
        <m:r>
          <m:rPr>
            <m:sty m:val="p"/>
          </m:rPr>
          <m:t>=</m:t>
        </m:r>
        <m:r>
          <m:t>1.65</m:t>
        </m:r>
      </m:oMath>
      <w:r>
        <w:t xml:space="preserve"> eV,</w:t>
      </w:r>
      <w:r>
        <w:t xml:space="preserve"> </w:t>
      </w:r>
      <m:oMath>
        <m:r>
          <m:t>χ</m:t>
        </m:r>
        <m:r>
          <m:rPr>
            <m:sty m:val="p"/>
          </m:rPr>
          <m:t>=</m:t>
        </m:r>
        <m:r>
          <m:t>3.928</m:t>
        </m:r>
      </m:oMath>
      <w:r>
        <w:t xml:space="preserve"> eV). A subsequent ETL-affinity sweep showed the surveyed 4.0 eV is not optimal: 3.9 eV gives 23.80%, 3.8 eV gives 23.82–23.84% across two batches (23.8241 in</w:t>
      </w:r>
      <w:r>
        <w:t xml:space="preserve"> </w:t>
      </w:r>
      <w:r>
        <w:rPr>
          <w:rStyle w:val="VerbatimChar"/>
        </w:rPr>
        <w:t xml:space="preserve">s7_r3</w:t>
      </w:r>
      <w:r>
        <w:t xml:space="preserve"> </w:t>
      </w:r>
      <w:r>
        <w:t xml:space="preserve">and</w:t>
      </w:r>
      <w:r>
        <w:t xml:space="preserve"> </w:t>
      </w:r>
      <w:r>
        <w:rPr>
          <w:rStyle w:val="VerbatimChar"/>
        </w:rPr>
        <w:t xml:space="preserve">s11</w:t>
      </w:r>
      <w:r>
        <w:t xml:space="preserve">, 23.8365 in</w:t>
      </w:r>
      <w:r>
        <w:t xml:space="preserve"> </w:t>
      </w:r>
      <w:r>
        <w:rPr>
          <w:rStyle w:val="VerbatimChar"/>
        </w:rPr>
        <w:t xml:space="preserve">s8</w:t>
      </w:r>
      <w:r>
        <w:t xml:space="preserve">; the 0.012 spread is inside the 0.017-point IV-step uncertainty above, and we quote 23.84% for the batch that produced the gap-step and</w:t>
      </w:r>
      <w:r>
        <w:t xml:space="preserve"> </w:t>
      </w:r>
      <m:oMath>
        <m:sSub>
          <m:e>
            <m:r>
              <m:t>E</m:t>
            </m:r>
          </m:e>
          <m:sub>
            <m:r>
              <m:t>t</m:t>
            </m:r>
          </m:sub>
        </m:sSub>
      </m:oMath>
      <w:r>
        <w:t xml:space="preserve"> </w:t>
      </w:r>
      <w:r>
        <w:t xml:space="preserve">analysis, against the surveyed anchor</w:t>
      </w:r>
      <w:r>
        <w:t xml:space="preserve"> </w:t>
      </w:r>
      <m:oMath>
        <m:r>
          <m:t>23.5041</m:t>
        </m:r>
      </m:oMath>
      <w:r>
        <w:t xml:space="preserve">), while 4.1 and 4.2 eV collapse to 21.92% and 19.87%. Because the two affinities interact through the interface activation energy, we then mapped them jointly at guardrailed interfaces (36 runs; Table </w:t>
      </w:r>
      <w:hyperlink w:anchor="tab:chia">
        <w:r>
          <w:rPr>
            <w:rStyle w:val="Hyperlink"/>
          </w:rPr>
          <w:t xml:space="preserve">3</w:t>
        </w:r>
      </w:hyperlink>
      <w:r>
        <w:t xml:space="preserve"> </w:t>
      </w:r>
      <w:r>
        <w:t xml:space="preserve">prints every second</w:t>
      </w:r>
      <w:r>
        <w:t xml:space="preserve"> </w:t>
      </w:r>
      <m:oMath>
        <m:sSub>
          <m:e>
            <m:r>
              <m:t>χ</m:t>
            </m:r>
          </m:e>
          <m:sub>
            <m:r>
              <m:rPr>
                <m:sty m:val="p"/>
              </m:rPr>
              <m:t>C</m:t>
            </m:r>
            <m:r>
              <m:rPr>
                <m:sty m:val="p"/>
              </m:rPr>
              <m:t>B</m:t>
            </m:r>
            <m:r>
              <m:rPr>
                <m:sty m:val="p"/>
              </m:rPr>
              <m:t>T</m:t>
            </m:r>
            <m:r>
              <m:rPr>
                <m:sty m:val="p"/>
              </m:rPr>
              <m:t>S</m:t>
            </m:r>
          </m:sub>
        </m:sSub>
      </m:oMath>
      <w:r>
        <w:t xml:space="preserve"> </w:t>
      </w:r>
      <w:r>
        <w:t xml:space="preserve">row plus the 3.95–4.10 eV extension): at fixed</w:t>
      </w:r>
      <w:r>
        <w:t xml:space="preserve"> </w:t>
      </w:r>
      <m:oMath>
        <m:sSub>
          <m:e>
            <m:r>
              <m:t>χ</m:t>
            </m:r>
          </m:e>
          <m:sub>
            <m:r>
              <m:rPr>
                <m:sty m:val="p"/>
              </m:rPr>
              <m:t>T</m:t>
            </m:r>
            <m:r>
              <m:rPr>
                <m:sty m:val="p"/>
              </m:rPr>
              <m:t>i</m:t>
            </m:r>
            <m:r>
              <m:rPr>
                <m:sty m:val="p"/>
              </m:rPr>
              <m:t>O</m:t>
            </m:r>
            <m:r>
              <m:rPr>
                <m:sty m:val="p"/>
              </m:rPr>
              <m:t>2</m:t>
            </m:r>
          </m:sub>
        </m:sSub>
      </m:oMath>
      <w:r>
        <w:t xml:space="preserve">, efficiency rises monotonically with</w:t>
      </w:r>
      <w:r>
        <w:t xml:space="preserve"> </w:t>
      </w:r>
      <m:oMath>
        <m:sSub>
          <m:e>
            <m:r>
              <m:t>χ</m:t>
            </m:r>
          </m:e>
          <m:sub>
            <m:r>
              <m:rPr>
                <m:sty m:val="p"/>
              </m:rPr>
              <m:t>C</m:t>
            </m:r>
            <m:r>
              <m:rPr>
                <m:sty m:val="p"/>
              </m:rPr>
              <m:t>B</m:t>
            </m:r>
            <m:r>
              <m:rPr>
                <m:sty m:val="p"/>
              </m:rPr>
              <m:t>T</m:t>
            </m:r>
            <m:r>
              <m:rPr>
                <m:sty m:val="p"/>
              </m:rPr>
              <m:t>S</m:t>
            </m:r>
          </m:sub>
        </m:sSub>
      </m:oMath>
      <w:r>
        <w:t xml:space="preserve"> </w:t>
      </w:r>
      <w:r>
        <w:t xml:space="preserve">through 3.90 eV, and the peak extension (3.95–4.10 eV) turns over past</w:t>
      </w:r>
      <w:r>
        <w:t xml:space="preserve"> </w:t>
      </w:r>
      <m:oMath>
        <m:r>
          <m:rPr>
            <m:sty m:val="p"/>
          </m:rPr>
          <m:t>∼</m:t>
        </m:r>
      </m:oMath>
      <w:r>
        <w:t xml:space="preserve">3.95 eV, so the optimum is interior, not edge-sitting. The best evaluated guardrailed point is</w:t>
      </w:r>
      <w:r>
        <w:t xml:space="preserve"> </w:t>
      </w:r>
      <w:r>
        <w:rPr>
          <w:b/>
          <w:bCs/>
        </w:rPr>
        <w:t xml:space="preserve">24.95%</w:t>
      </w:r>
      <w:r>
        <w:t xml:space="preserve"> </w:t>
      </w:r>
      <w:r>
        <w:t xml:space="preserve">at</w:t>
      </w:r>
      <w:r>
        <w:t xml:space="preserve"> </w:t>
      </w:r>
      <m:oMath>
        <m:sSub>
          <m:e>
            <m:r>
              <m:t>χ</m:t>
            </m:r>
          </m:e>
          <m:sub>
            <m:r>
              <m:rPr>
                <m:sty m:val="p"/>
              </m:rPr>
              <m:t>C</m:t>
            </m:r>
            <m:r>
              <m:rPr>
                <m:sty m:val="p"/>
              </m:rPr>
              <m:t>B</m:t>
            </m:r>
            <m:r>
              <m:rPr>
                <m:sty m:val="p"/>
              </m:rPr>
              <m:t>T</m:t>
            </m:r>
            <m:r>
              <m:rPr>
                <m:sty m:val="p"/>
              </m:rPr>
              <m:t>S</m:t>
            </m:r>
          </m:sub>
        </m:sSub>
        <m:r>
          <m:rPr>
            <m:sty m:val="p"/>
          </m:rPr>
          <m:t>=</m:t>
        </m:r>
        <m:r>
          <m:t>3.9</m:t>
        </m:r>
      </m:oMath>
      <w:r>
        <w:t xml:space="preserve">/</w:t>
      </w:r>
      <m:oMath>
        <m:sSub>
          <m:e>
            <m:r>
              <m:t>χ</m:t>
            </m:r>
          </m:e>
          <m:sub>
            <m:r>
              <m:rPr>
                <m:sty m:val="p"/>
              </m:rPr>
              <m:t>T</m:t>
            </m:r>
            <m:r>
              <m:rPr>
                <m:sty m:val="p"/>
              </m:rPr>
              <m:t>i</m:t>
            </m:r>
            <m:r>
              <m:rPr>
                <m:sty m:val="p"/>
              </m:rPr>
              <m:t>O</m:t>
            </m:r>
            <m:r>
              <m:rPr>
                <m:sty m:val="p"/>
              </m:rPr>
              <m:t>2</m:t>
            </m:r>
          </m:sub>
        </m:sSub>
        <m:r>
          <m:rPr>
            <m:sty m:val="p"/>
          </m:rPr>
          <m:t>=</m:t>
        </m:r>
        <m:r>
          <m:t>3.7</m:t>
        </m:r>
      </m:oMath>
      <w:r>
        <w:t xml:space="preserve"> eV (Voc 1.321 V, Jsc 21.20 mA/cm</w:t>
      </w:r>
      <m:oMath>
        <m:sSup>
          <m:e>
            <m:r>
              <m:t>​</m:t>
            </m:r>
          </m:e>
          <m:sup>
            <m:r>
              <m:t>2</m:t>
            </m:r>
          </m:sup>
        </m:sSup>
      </m:oMath>
      <w:r>
        <w:t xml:space="preserve">, FF 89.11%; Figure </w:t>
      </w:r>
      <w:hyperlink w:anchor="fig:jvboth">
        <w:r>
          <w:rPr>
            <w:rStyle w:val="Hyperlink"/>
          </w:rPr>
          <w:t xml:space="preserve">2</w:t>
        </w:r>
      </w:hyperlink>
      <w:r>
        <w:t xml:space="preserve">), verified digit-identical with explicitly set</w:t>
      </w:r>
      <w:r>
        <w:t xml:space="preserve"> </w:t>
      </w:r>
      <m:oMath>
        <m:sSub>
          <m:e>
            <m:r>
              <m:t>N</m:t>
            </m:r>
          </m:e>
          <m:sub>
            <m:r>
              <m:t>i</m:t>
            </m:r>
            <m:r>
              <m:t>f</m:t>
            </m:r>
          </m:sub>
        </m:sSub>
        <m:r>
          <m:rPr>
            <m:sty m:val="p"/>
          </m:rPr>
          <m:t>=</m:t>
        </m:r>
        <m:sSup>
          <m:e>
            <m:r>
              <m:t>10</m:t>
            </m:r>
          </m:e>
          <m:sup>
            <m:r>
              <m:t>10</m:t>
            </m:r>
          </m:sup>
        </m:sSup>
      </m:oMath>
      <w:r>
        <w:t xml:space="preserve"> cm</w:t>
      </w:r>
      <m:oMath>
        <m:sSup>
          <m:e>
            <m:r>
              <m:t>​</m:t>
            </m:r>
          </m:e>
          <m:sup>
            <m:r>
              <m:rPr>
                <m:sty m:val="p"/>
              </m:rPr>
              <m:t>−</m:t>
            </m:r>
            <m:r>
              <m:t>2</m:t>
            </m:r>
          </m:sup>
        </m:sSup>
      </m:oMath>
      <w:r>
        <w:t xml:space="preserve"> </w:t>
      </w:r>
      <w:r>
        <w:t xml:space="preserve">(24.9464 both ways, receipt</w:t>
      </w:r>
      <w:r>
        <w:t xml:space="preserve"> </w:t>
      </w:r>
      <w:r>
        <w:rPr>
          <w:rStyle w:val="VerbatimChar"/>
        </w:rPr>
        <w:t xml:space="preserve">s22_jointIF.json</w:t>
      </w:r>
      <w:r>
        <w:t xml:space="preserve">) and falling to 24.24% at</w:t>
      </w:r>
      <w:r>
        <w:t xml:space="preserve"> </w:t>
      </w:r>
      <m:oMath>
        <m:sSup>
          <m:e>
            <m:r>
              <m:t>10</m:t>
            </m:r>
          </m:e>
          <m:sup>
            <m:r>
              <m:t>11</m:t>
            </m:r>
          </m:sup>
        </m:sSup>
      </m:oMath>
      <w:r>
        <w:t xml:space="preserve"> cm</w:t>
      </w:r>
      <m:oMath>
        <m:sSup>
          <m:e>
            <m:r>
              <m:t>​</m:t>
            </m:r>
          </m:e>
          <m:sup>
            <m:r>
              <m:rPr>
                <m:sty m:val="p"/>
              </m:rPr>
              <m:t>−</m:t>
            </m:r>
            <m:r>
              <m:t>2</m:t>
            </m:r>
          </m:sup>
        </m:sSup>
      </m:oMath>
      <w:r>
        <w:t xml:space="preserve"> </w:t>
      </w:r>
      <w:r>
        <w:t xml:space="preserve">(24.2377, same receipt), confirming the interfaces are active at the optimum. An exploratory 104-configuration search (LHS plus pattern search over thickness,</w:t>
      </w:r>
      <w:r>
        <w:t xml:space="preserve"> </w:t>
      </w:r>
      <m:oMath>
        <m:r>
          <m:rPr>
            <m:sty m:val="p"/>
          </m:rPr>
          <m:t>log</m:t>
        </m:r>
        <m:sSub>
          <m:e>
            <m:r>
              <m:t>N</m:t>
            </m:r>
          </m:e>
          <m:sub>
            <m:r>
              <m:t>A</m:t>
            </m:r>
          </m:sub>
        </m:sSub>
      </m:oMath>
      <w:r>
        <w:t xml:space="preserve">,</w:t>
      </w:r>
      <w:r>
        <w:t xml:space="preserve"> </w:t>
      </w:r>
      <m:oMath>
        <m:r>
          <m:rPr>
            <m:sty m:val="p"/>
          </m:rPr>
          <m:t>log</m:t>
        </m:r>
        <m:sSub>
          <m:e>
            <m:r>
              <m:t>N</m:t>
            </m:r>
          </m:e>
          <m:sub>
            <m:r>
              <m:t>t</m:t>
            </m:r>
          </m:sub>
        </m:sSub>
      </m:oMath>
      <w:r>
        <w:t xml:space="preserve">,</w:t>
      </w:r>
      <w:r>
        <w:t xml:space="preserve"> </w:t>
      </w:r>
      <m:oMath>
        <m:r>
          <m:rPr>
            <m:sty m:val="p"/>
          </m:rPr>
          <m:t>log</m:t>
        </m:r>
        <m:sSub>
          <m:e>
            <m:r>
              <m:t>N</m:t>
            </m:r>
          </m:e>
          <m:sub>
            <m:r>
              <m:t>D</m:t>
            </m:r>
          </m:sub>
        </m:sSub>
      </m:oMath>
      <w:r>
        <w:t xml:space="preserve">,</w:t>
      </w:r>
      <w:r>
        <w:t xml:space="preserve"> </w:t>
      </w:r>
      <m:oMath>
        <m:sSub>
          <m:e>
            <m:r>
              <m:t>E</m:t>
            </m:r>
          </m:e>
          <m:sub>
            <m:r>
              <m:t>g</m:t>
            </m:r>
          </m:sub>
        </m:sSub>
      </m:oMath>
      <w:r>
        <w:t xml:space="preserve">,</w:t>
      </w:r>
      <w:r>
        <w:t xml:space="preserve"> </w:t>
      </w:r>
      <m:oMath>
        <m:r>
          <m:rPr>
            <m:sty m:val="p"/>
          </m:rPr>
          <m:t>log</m:t>
        </m:r>
        <m:sSub>
          <m:e>
            <m:r>
              <m:t>N</m:t>
            </m:r>
          </m:e>
          <m:sub>
            <m:r>
              <m:t>i</m:t>
            </m:r>
            <m:r>
              <m:t>f</m:t>
            </m:r>
          </m:sub>
        </m:sSub>
      </m:oMath>
      <w:r>
        <w:t xml:space="preserve">,</w:t>
      </w:r>
      <w:r>
        <w:t xml:space="preserve"> </w:t>
      </w:r>
      <m:oMath>
        <m:sSub>
          <m:e>
            <m:r>
              <m:t>χ</m:t>
            </m:r>
          </m:e>
          <m:sub>
            <m:r>
              <m:rPr>
                <m:sty m:val="p"/>
              </m:rPr>
              <m:t>T</m:t>
            </m:r>
            <m:r>
              <m:rPr>
                <m:sty m:val="p"/>
              </m:rPr>
              <m:t>i</m:t>
            </m:r>
            <m:r>
              <m:rPr>
                <m:sty m:val="p"/>
              </m:rPr>
              <m:t>O</m:t>
            </m:r>
            <m:r>
              <m:rPr>
                <m:sty m:val="p"/>
              </m:rPr>
              <m:t>2</m:t>
            </m:r>
          </m:sub>
        </m:sSub>
      </m:oMath>
      <w:r>
        <w:t xml:space="preserve">) was run over a deliberately wider box than the guardrailed one—</w:t>
      </w:r>
      <m:oMath>
        <m:r>
          <m:rPr>
            <m:sty m:val="p"/>
          </m:rPr>
          <m:t>log</m:t>
        </m:r>
        <m:sSub>
          <m:e>
            <m:r>
              <m:t>N</m:t>
            </m:r>
          </m:e>
          <m:sub>
            <m:r>
              <m:t>i</m:t>
            </m:r>
            <m:r>
              <m:t>f</m:t>
            </m:r>
          </m:sub>
        </m:sSub>
      </m:oMath>
      <w:r>
        <w:t xml:space="preserve"> </w:t>
      </w:r>
      <w:r>
        <w:t xml:space="preserve">down to</w:t>
      </w:r>
      <w:r>
        <w:t xml:space="preserve"> </w:t>
      </w:r>
      <m:oMath>
        <m:sSup>
          <m:e>
            <m:r>
              <m:t>10</m:t>
            </m:r>
          </m:e>
          <m:sup>
            <m:r>
              <m:t>8</m:t>
            </m:r>
          </m:sup>
        </m:sSup>
      </m:oMath>
      <w:r>
        <w:t xml:space="preserve"> </w:t>
      </w:r>
      <w:r>
        <w:t xml:space="preserve">and</w:t>
      </w:r>
      <w:r>
        <w:t xml:space="preserve"> </w:t>
      </w:r>
      <m:oMath>
        <m:sSub>
          <m:e>
            <m:r>
              <m:t>χ</m:t>
            </m:r>
          </m:e>
          <m:sub>
            <m:r>
              <m:rPr>
                <m:sty m:val="p"/>
              </m:rPr>
              <m:t>T</m:t>
            </m:r>
            <m:r>
              <m:rPr>
                <m:sty m:val="p"/>
              </m:rPr>
              <m:t>i</m:t>
            </m:r>
            <m:r>
              <m:rPr>
                <m:sty m:val="p"/>
              </m:rPr>
              <m:t>O</m:t>
            </m:r>
            <m:r>
              <m:rPr>
                <m:sty m:val="p"/>
              </m:rPr>
              <m:t>2</m:t>
            </m:r>
          </m:sub>
        </m:sSub>
      </m:oMath>
      <w:r>
        <w:t xml:space="preserve"> </w:t>
      </w:r>
      <w:r>
        <w:t xml:space="preserve">from 3.8 eV—so that it cannot bracket the champion and is reported only as an exploration: 95 of 104 runs converged, 69 sit below the</w:t>
      </w:r>
      <w:r>
        <w:t xml:space="preserve"> </w:t>
      </w:r>
      <m:oMath>
        <m:sSup>
          <m:e>
            <m:r>
              <m:t>10</m:t>
            </m:r>
          </m:e>
          <m:sup>
            <m:r>
              <m:t>10</m:t>
            </m:r>
          </m:sup>
        </m:sSup>
      </m:oMath>
      <w:r>
        <w:t xml:space="preserve"> cm</w:t>
      </w:r>
      <m:oMath>
        <m:sSup>
          <m:e>
            <m:r>
              <m:t>​</m:t>
            </m:r>
          </m:e>
          <m:sup>
            <m:r>
              <m:rPr>
                <m:sty m:val="p"/>
              </m:rPr>
              <m:t>−</m:t>
            </m:r>
            <m:r>
              <m:t>2</m:t>
            </m:r>
          </m:sup>
        </m:sSup>
      </m:oMath>
      <w:r>
        <w:t xml:space="preserve"> </w:t>
      </w:r>
      <w:r>
        <w:t xml:space="preserve">interface floor and none samples</w:t>
      </w:r>
      <w:r>
        <w:t xml:space="preserve"> </w:t>
      </w:r>
      <m:oMath>
        <m:sSub>
          <m:e>
            <m:r>
              <m:t>χ</m:t>
            </m:r>
          </m:e>
          <m:sub>
            <m:r>
              <m:rPr>
                <m:sty m:val="p"/>
              </m:rPr>
              <m:t>T</m:t>
            </m:r>
            <m:r>
              <m:rPr>
                <m:sty m:val="p"/>
              </m:rPr>
              <m:t>i</m:t>
            </m:r>
            <m:r>
              <m:rPr>
                <m:sty m:val="p"/>
              </m:rPr>
              <m:t>O</m:t>
            </m:r>
            <m:r>
              <m:rPr>
                <m:sty m:val="p"/>
              </m:rPr>
              <m:t>2</m:t>
            </m:r>
          </m:sub>
        </m:sSub>
        <m:r>
          <m:rPr>
            <m:sty m:val="p"/>
          </m:rPr>
          <m:t>&lt;</m:t>
        </m:r>
        <m:r>
          <m:t>3.8</m:t>
        </m:r>
      </m:oMath>
      <w:r>
        <w:t xml:space="preserve"> eV. Its overall peak is 23.76% (itself a sub-guardrail cell at</w:t>
      </w:r>
      <w:r>
        <w:t xml:space="preserve"> </w:t>
      </w:r>
      <m:oMath>
        <m:sSub>
          <m:e>
            <m:r>
              <m:t>N</m:t>
            </m:r>
          </m:e>
          <m:sub>
            <m:r>
              <m:t>i</m:t>
            </m:r>
            <m:r>
              <m:t>f</m:t>
            </m:r>
          </m:sub>
        </m:sSub>
        <m:r>
          <m:rPr>
            <m:sty m:val="p"/>
          </m:rPr>
          <m:t>=</m:t>
        </m:r>
        <m:r>
          <m:t>4.6</m:t>
        </m:r>
        <m:r>
          <m:rPr>
            <m:sty m:val="p"/>
          </m:rPr>
          <m:t>×</m:t>
        </m:r>
        <m:sSup>
          <m:e>
            <m:r>
              <m:t>10</m:t>
            </m:r>
          </m:e>
          <m:sup>
            <m:r>
              <m:t>9</m:t>
            </m:r>
          </m:sup>
        </m:sSup>
      </m:oMath>
      <w:r>
        <w:t xml:space="preserve"> cm</w:t>
      </w:r>
      <m:oMath>
        <m:sSup>
          <m:e>
            <m:r>
              <m:t>​</m:t>
            </m:r>
          </m:e>
          <m:sup>
            <m:r>
              <m:rPr>
                <m:sty m:val="p"/>
              </m:rPr>
              <m:t>−</m:t>
            </m:r>
            <m:r>
              <m:t>2</m:t>
            </m:r>
          </m:sup>
        </m:sSup>
      </m:oMath>
      <w:r>
        <w:t xml:space="preserve">), and 23.08% among its 25 runs satisfying both the interface floor and the stated</w:t>
      </w:r>
      <w:r>
        <w:t xml:space="preserve"> </w:t>
      </w:r>
      <m:oMath>
        <m:sSub>
          <m:e>
            <m:r>
              <m:t>N</m:t>
            </m:r>
          </m:e>
          <m:sub>
            <m:r>
              <m:t>A</m:t>
            </m:r>
          </m:sub>
        </m:sSub>
        <m:r>
          <m:rPr>
            <m:sty m:val="p"/>
          </m:rPr>
          <m:t>≤</m:t>
        </m:r>
        <m:r>
          <m:t>3</m:t>
        </m:r>
        <m:r>
          <m:rPr>
            <m:sty m:val="p"/>
          </m:rPr>
          <m:t>×</m:t>
        </m:r>
        <m:sSup>
          <m:e>
            <m:r>
              <m:t>10</m:t>
            </m:r>
          </m:e>
          <m:sup>
            <m:r>
              <m:t>16</m:t>
            </m:r>
          </m:sup>
        </m:sSup>
      </m:oMath>
      <w:r>
        <w:t xml:space="preserve"> cm</w:t>
      </w:r>
      <m:oMath>
        <m:sSup>
          <m:e>
            <m:r>
              <m:t>​</m:t>
            </m:r>
          </m:e>
          <m:sup>
            <m:r>
              <m:rPr>
                <m:sty m:val="p"/>
              </m:rPr>
              <m:t>−</m:t>
            </m:r>
            <m:r>
              <m:t>3</m:t>
            </m:r>
          </m:sup>
        </m:sSup>
      </m:oMath>
      <w:r>
        <w:t xml:space="preserve"> </w:t>
      </w:r>
      <w:r>
        <w:t xml:space="preserve">ceiling (26 meet the interface floor alone; the sampler overshot the doping ceiling by 2% in one run)—below every grid champion, but not a test of it. 24.95% therefore stands as the best of the 180 guardrail-satisfying configurations we evaluated on named geometries (Round-A 96, Round-B 36, affinity map 36, new-base 12; 174 converged), plus routine-defect and audit batches that probe rather than optimise—not as a proven global optimum. Two features of this point matter. First, it sits at the corner of the allowed box in every dimension except the affinities, which are themselves aggressive (</w:t>
      </w:r>
      <m:oMath>
        <m:sSub>
          <m:e>
            <m:r>
              <m:t>χ</m:t>
            </m:r>
          </m:e>
          <m:sub>
            <m:r>
              <m:rPr>
                <m:sty m:val="p"/>
              </m:rPr>
              <m:t>T</m:t>
            </m:r>
            <m:r>
              <m:rPr>
                <m:sty m:val="p"/>
              </m:rPr>
              <m:t>i</m:t>
            </m:r>
            <m:r>
              <m:rPr>
                <m:sty m:val="p"/>
              </m:rPr>
              <m:t>O</m:t>
            </m:r>
            <m:r>
              <m:rPr>
                <m:sty m:val="p"/>
              </m:rPr>
              <m:t>2</m:t>
            </m:r>
          </m:sub>
        </m:sSub>
        <m:r>
          <m:rPr>
            <m:sty m:val="p"/>
          </m:rPr>
          <m:t>=</m:t>
        </m:r>
        <m:r>
          <m:t>3.7</m:t>
        </m:r>
      </m:oMath>
      <w:r>
        <w:t xml:space="preserve"> eV below the typical 4.0–4.2 eV range;</w:t>
      </w:r>
      <w:r>
        <w:t xml:space="preserve"> </w:t>
      </w:r>
      <m:oMath>
        <m:sSub>
          <m:e>
            <m:r>
              <m:t>χ</m:t>
            </m:r>
          </m:e>
          <m:sub>
            <m:r>
              <m:rPr>
                <m:sty m:val="p"/>
              </m:rPr>
              <m:t>C</m:t>
            </m:r>
            <m:r>
              <m:rPr>
                <m:sty m:val="p"/>
              </m:rPr>
              <m:t>B</m:t>
            </m:r>
            <m:r>
              <m:rPr>
                <m:sty m:val="p"/>
              </m:rPr>
              <m:t>T</m:t>
            </m:r>
            <m:r>
              <m:rPr>
                <m:sty m:val="p"/>
              </m:rPr>
              <m:t>S</m:t>
            </m:r>
          </m:sub>
        </m:sSub>
        <m:r>
          <m:rPr>
            <m:sty m:val="p"/>
          </m:rPr>
          <m:t>=</m:t>
        </m:r>
        <m:r>
          <m:t>3.9</m:t>
        </m:r>
      </m:oMath>
      <w:r>
        <w:t xml:space="preserve"> eV above the surveyed 3.6 eV): this is a permissive-edge upper bound, and Section 9.0 prices each edge. Second, the best grid point at the literature gap</w:t>
      </w:r>
      <w:r>
        <w:t xml:space="preserve"> </w:t>
      </w:r>
      <m:oMath>
        <m:sSub>
          <m:e>
            <m:r>
              <m:t>E</m:t>
            </m:r>
          </m:e>
          <m:sub>
            <m:r>
              <m:t>g</m:t>
            </m:r>
          </m:sub>
        </m:sSub>
        <m:r>
          <m:rPr>
            <m:sty m:val="p"/>
          </m:rPr>
          <m:t>=</m:t>
        </m:r>
        <m:r>
          <m:t>1.694</m:t>
        </m:r>
      </m:oMath>
      <w:r>
        <w:t xml:space="preserve"> eV reaches 22.506%, coincidentally equal at two decimals to the 22.514% of the</w:t>
      </w:r>
      <w:r>
        <w:t xml:space="preserve"> </w:t>
      </w:r>
      <m:oMath>
        <m:sSub>
          <m:e>
            <m:r>
              <m:t>E</m:t>
            </m:r>
          </m:e>
          <m:sub>
            <m:r>
              <m:t>g</m:t>
            </m:r>
          </m:sub>
        </m:sSub>
        <m:r>
          <m:rPr>
            <m:sty m:val="p"/>
          </m:rPr>
          <m:t>=</m:t>
        </m:r>
        <m:r>
          <m:t>1.70</m:t>
        </m:r>
      </m:oMath>
      <w:r>
        <w:t xml:space="preserve"> eV attainable-gap run on a different geometry (they differ by 0.008 points, inside step uncertainty), so roughly one point comes from the gap choice alone. Every top-ten configuration carries</w:t>
      </w:r>
      <w:r>
        <w:t xml:space="preserve"> </w:t>
      </w:r>
      <m:oMath>
        <m:sSub>
          <m:e>
            <m:r>
              <m:t>E</m:t>
            </m:r>
          </m:e>
          <m:sub>
            <m:r>
              <m:t>g</m:t>
            </m:r>
          </m:sub>
        </m:sSub>
        <m:r>
          <m:rPr>
            <m:sty m:val="p"/>
          </m:rPr>
          <m:t>=</m:t>
        </m:r>
        <m:r>
          <m:t>1.65</m:t>
        </m:r>
      </m:oMath>
      <w:r>
        <w:t xml:space="preserve"> eV, gaining</w:t>
      </w:r>
      <w:r>
        <w:t xml:space="preserve"> </w:t>
      </w:r>
      <m:oMath>
        <m:r>
          <m:rPr>
            <m:sty m:val="p"/>
          </m:rPr>
          <m:t>∼</m:t>
        </m:r>
      </m:oMath>
      <w:r>
        <w:t xml:space="preserve">1.5 mA/cm</w:t>
      </w:r>
      <m:oMath>
        <m:sSup>
          <m:e>
            <m:r>
              <m:t>​</m:t>
            </m:r>
          </m:e>
          <m:sup>
            <m:r>
              <m:t>2</m:t>
            </m:r>
          </m:sup>
        </m:sSup>
      </m:oMath>
      <w:r>
        <w:t xml:space="preserve"> </w:t>
      </w:r>
      <w:r>
        <w:t xml:space="preserve">over 1.694 eV; the joint optimum presents a</w:t>
      </w:r>
      <w:r>
        <w:t xml:space="preserve"> </w:t>
      </w:r>
      <m:oMath>
        <m:r>
          <m:rPr>
            <m:sty m:val="p"/>
          </m:rPr>
          <m:t>+</m:t>
        </m:r>
        <m:r>
          <m:t>0.23</m:t>
        </m:r>
      </m:oMath>
      <w:r>
        <w:t xml:space="preserve"> eV ETL-side electron spike that raises the interface recombination activation energy (Section 5.0).</w:t>
      </w:r>
    </w:p>
    <w:p>
      <w:pPr>
        <w:pStyle w:val="BodyText"/>
      </w:pPr>
      <w:r>
        <w:t xml:space="preserve">From diffusion estimates (</w:t>
      </w:r>
      <m:oMath>
        <m:sSub>
          <m:e>
            <m:r>
              <m:t>μ</m:t>
            </m:r>
          </m:e>
          <m:sub>
            <m:r>
              <m:t>n</m:t>
            </m:r>
          </m:sub>
        </m:sSub>
        <m:r>
          <m:rPr>
            <m:sty m:val="p"/>
          </m:rPr>
          <m:t>=</m:t>
        </m:r>
        <m:r>
          <m:t>25</m:t>
        </m:r>
      </m:oMath>
      <w:r>
        <w:t xml:space="preserve"> cm</w:t>
      </w:r>
      <m:oMath>
        <m:sSup>
          <m:e>
            <m:r>
              <m:t>​</m:t>
            </m:r>
          </m:e>
          <m:sup>
            <m:r>
              <m:t>2</m:t>
            </m:r>
          </m:sup>
        </m:sSup>
      </m:oMath>
      <w:r>
        <w:t xml:space="preserve">/Vs,</w:t>
      </w:r>
      <w:r>
        <w:t xml:space="preserve"> </w:t>
      </w:r>
      <m:oMath>
        <m:r>
          <m:t>σ</m:t>
        </m:r>
        <m:r>
          <m:rPr>
            <m:sty m:val="p"/>
          </m:rPr>
          <m:t>=</m:t>
        </m:r>
        <m:sSup>
          <m:e>
            <m:r>
              <m:t>10</m:t>
            </m:r>
          </m:e>
          <m:sup>
            <m:r>
              <m:rPr>
                <m:sty m:val="p"/>
              </m:rPr>
              <m:t>−</m:t>
            </m:r>
            <m:r>
              <m:t>19</m:t>
            </m:r>
          </m:sup>
        </m:sSup>
      </m:oMath>
      <w:r>
        <w:t xml:space="preserve"> m</w:t>
      </w:r>
      <m:oMath>
        <m:sSup>
          <m:e>
            <m:r>
              <m:t>​</m:t>
            </m:r>
          </m:e>
          <m:sup>
            <m:r>
              <m:t>2</m:t>
            </m:r>
          </m:sup>
        </m:sSup>
      </m:oMath>
      <w:r>
        <w:t xml:space="preserve">):</w:t>
      </w:r>
      <w:r>
        <w:t xml:space="preserve"> </w:t>
      </w:r>
      <m:oMath>
        <m:r>
          <m:t>L</m:t>
        </m:r>
        <m:r>
          <m:rPr>
            <m:sty m:val="p"/>
          </m:rPr>
          <m:t>≈</m:t>
        </m:r>
        <m:r>
          <m:t>80</m:t>
        </m:r>
      </m:oMath>
      <w:r>
        <w:t xml:space="preserve"> </w:t>
      </w:r>
      <m:oMath>
        <m:r>
          <m:t>μ</m:t>
        </m:r>
      </m:oMath>
      <w:r>
        <w:t xml:space="preserve">m at</w:t>
      </w:r>
      <w:r>
        <w:t xml:space="preserve"> </w:t>
      </w:r>
      <m:oMath>
        <m:sSup>
          <m:e>
            <m:r>
              <m:t>10</m:t>
            </m:r>
          </m:e>
          <m:sup>
            <m:r>
              <m:t>12</m:t>
            </m:r>
          </m:sup>
        </m:sSup>
      </m:oMath>
      <w:r>
        <w:t xml:space="preserve"> cm</w:t>
      </w:r>
      <m:oMath>
        <m:sSup>
          <m:e>
            <m:r>
              <m:t>​</m:t>
            </m:r>
          </m:e>
          <m:sup>
            <m:r>
              <m:rPr>
                <m:sty m:val="p"/>
              </m:rPr>
              <m:t>−</m:t>
            </m:r>
            <m:r>
              <m:t>3</m:t>
            </m:r>
          </m:sup>
        </m:sSup>
      </m:oMath>
      <w:r>
        <w:t xml:space="preserve">,</w:t>
      </w:r>
      <w:r>
        <w:t xml:space="preserve"> </w:t>
      </w:r>
      <m:oMath>
        <m:r>
          <m:rPr>
            <m:sty m:val="p"/>
          </m:rPr>
          <m:t>≈</m:t>
        </m:r>
      </m:oMath>
      <w:r>
        <w:t xml:space="preserve">8 </w:t>
      </w:r>
      <m:oMath>
        <m:r>
          <m:t>μ</m:t>
        </m:r>
      </m:oMath>
      <w:r>
        <w:t xml:space="preserve">m at</w:t>
      </w:r>
      <w:r>
        <w:t xml:space="preserve"> </w:t>
      </w:r>
      <m:oMath>
        <m:sSup>
          <m:e>
            <m:r>
              <m:t>10</m:t>
            </m:r>
          </m:e>
          <m:sup>
            <m:r>
              <m:t>14</m:t>
            </m:r>
          </m:sup>
        </m:sSup>
      </m:oMath>
      <w:r>
        <w:t xml:space="preserve"> cm</w:t>
      </w:r>
      <m:oMath>
        <m:sSup>
          <m:e>
            <m:r>
              <m:t>​</m:t>
            </m:r>
          </m:e>
          <m:sup>
            <m:r>
              <m:rPr>
                <m:sty m:val="p"/>
              </m:rPr>
              <m:t>−</m:t>
            </m:r>
            <m:r>
              <m:t>3</m:t>
            </m:r>
          </m:sup>
        </m:sSup>
      </m:oMath>
      <w:r>
        <w:t xml:space="preserve">,</w:t>
      </w:r>
      <w:r>
        <w:t xml:space="preserve"> </w:t>
      </w:r>
      <m:oMath>
        <m:r>
          <m:rPr>
            <m:sty m:val="p"/>
          </m:rPr>
          <m:t>≈</m:t>
        </m:r>
      </m:oMath>
      <w:r>
        <w:t xml:space="preserve">2.5 </w:t>
      </w:r>
      <m:oMath>
        <m:r>
          <m:t>μ</m:t>
        </m:r>
      </m:oMath>
      <w:r>
        <w:t xml:space="preserve">m at</w:t>
      </w:r>
      <w:r>
        <w:t xml:space="preserve"> </w:t>
      </w:r>
      <m:oMath>
        <m:sSup>
          <m:e>
            <m:r>
              <m:t>10</m:t>
            </m:r>
          </m:e>
          <m:sup>
            <m:r>
              <m:t>15</m:t>
            </m:r>
          </m:sup>
        </m:sSup>
      </m:oMath>
      <w:r>
        <w:t xml:space="preserve"> cm</w:t>
      </w:r>
      <m:oMath>
        <m:sSup>
          <m:e>
            <m:r>
              <m:t>​</m:t>
            </m:r>
          </m:e>
          <m:sup>
            <m:r>
              <m:rPr>
                <m:sty m:val="p"/>
              </m:rPr>
              <m:t>−</m:t>
            </m:r>
            <m:r>
              <m:t>3</m:t>
            </m:r>
          </m:sup>
        </m:sSup>
      </m:oMath>
      <w:r>
        <w:t xml:space="preserve">. The map (Figure </w:t>
      </w:r>
      <w:hyperlink w:anchor="fig:contour">
        <w:r>
          <w:rPr>
            <w:rStyle w:val="Hyperlink"/>
          </w:rPr>
          <w:t xml:space="preserve">3</w:t>
        </w:r>
      </w:hyperlink>
      <w:r>
        <w:t xml:space="preserve">) is therefore nearly thickness-insensitive at</w:t>
      </w:r>
      <w:r>
        <w:t xml:space="preserve"> </w:t>
      </w:r>
      <m:oMath>
        <m:sSup>
          <m:e>
            <m:r>
              <m:t>10</m:t>
            </m:r>
          </m:e>
          <m:sup>
            <m:r>
              <m:t>14</m:t>
            </m:r>
          </m:sup>
        </m:sSup>
      </m:oMath>
      <w:r>
        <w:t xml:space="preserve"> cm</w:t>
      </w:r>
      <m:oMath>
        <m:sSup>
          <m:e>
            <m:r>
              <m:t>​</m:t>
            </m:r>
          </m:e>
          <m:sup>
            <m:r>
              <m:rPr>
                <m:sty m:val="p"/>
              </m:rPr>
              <m:t>−</m:t>
            </m:r>
            <m:r>
              <m:t>3</m:t>
            </m:r>
          </m:sup>
        </m:sSup>
      </m:oMath>
      <w:r>
        <w:t xml:space="preserve"> </w:t>
      </w:r>
      <w:r>
        <w:t xml:space="preserve">(near-vertical contours)—a thickness collapse there cannot be diffusion-limited, so we do not claim one. The thickness optimum moves with defect level, which is why the single-variable sweep had to be repeated. A two-factor thickness </w:t>
      </w:r>
      <m:oMath>
        <m:r>
          <m:rPr>
            <m:sty m:val="p"/>
          </m:rPr>
          <m:t>×</m:t>
        </m:r>
      </m:oMath>
      <w:r>
        <w:t xml:space="preserve"> </w:t>
      </w:r>
      <m:oMath>
        <m:sSub>
          <m:e>
            <m:r>
              <m:t>N</m:t>
            </m:r>
          </m:e>
          <m:sub>
            <m:r>
              <m:t>t</m:t>
            </m:r>
          </m:sub>
        </m:sSub>
      </m:oMath>
      <w:r>
        <w:t xml:space="preserve"> </w:t>
      </w:r>
      <w:r>
        <w:t xml:space="preserve">factorial at the joint-optimum base gives, at</w:t>
      </w:r>
      <w:r>
        <w:t xml:space="preserve"> </w:t>
      </w:r>
      <m:oMath>
        <m:sSub>
          <m:e>
            <m:r>
              <m:t>N</m:t>
            </m:r>
          </m:e>
          <m:sub>
            <m:r>
              <m:t>t</m:t>
            </m:r>
          </m:sub>
        </m:sSub>
        <m:r>
          <m:rPr>
            <m:sty m:val="p"/>
          </m:rPr>
          <m:t>=</m:t>
        </m:r>
        <m:sSup>
          <m:e>
            <m:r>
              <m:t>10</m:t>
            </m:r>
          </m:e>
          <m:sup>
            <m:r>
              <m:t>15</m:t>
            </m:r>
          </m:sup>
        </m:sSup>
      </m:oMath>
      <w:r>
        <w:t xml:space="preserve"> cm</w:t>
      </w:r>
      <m:oMath>
        <m:sSup>
          <m:e>
            <m:r>
              <m:t>​</m:t>
            </m:r>
          </m:e>
          <m:sup>
            <m:r>
              <m:rPr>
                <m:sty m:val="p"/>
              </m:rPr>
              <m:t>−</m:t>
            </m:r>
            <m:r>
              <m:t>3</m:t>
            </m:r>
          </m:sup>
        </m:sSup>
      </m:oMath>
      <w:r>
        <w:t xml:space="preserve">, 20.11% (0.5 </w:t>
      </w:r>
      <m:oMath>
        <m:r>
          <m:t>μ</m:t>
        </m:r>
      </m:oMath>
      <w:r>
        <w:t xml:space="preserve">m), 20.76% (0.8 </w:t>
      </w:r>
      <m:oMath>
        <m:r>
          <m:t>μ</m:t>
        </m:r>
      </m:oMath>
      <w:r>
        <w:t xml:space="preserve">m), 20.86% (1.0 </w:t>
      </w:r>
      <m:oMath>
        <m:r>
          <m:t>μ</m:t>
        </m:r>
      </m:oMath>
      <w:r>
        <w:t xml:space="preserve">m) and 20.81% (1.5 </w:t>
      </w:r>
      <m:oMath>
        <m:r>
          <m:t>μ</m:t>
        </m:r>
      </m:oMath>
      <w:r>
        <w:t xml:space="preserve">m), against 21.67/22.42/22.53/22.57% at</w:t>
      </w:r>
      <w:r>
        <w:t xml:space="preserve"> </w:t>
      </w:r>
      <m:oMath>
        <m:sSup>
          <m:e>
            <m:r>
              <m:t>10</m:t>
            </m:r>
          </m:e>
          <m:sup>
            <m:r>
              <m:t>14</m:t>
            </m:r>
          </m:sup>
        </m:sSup>
      </m:oMath>
      <w:r>
        <w:t xml:space="preserve"> cm</w:t>
      </w:r>
      <m:oMath>
        <m:sSup>
          <m:e>
            <m:r>
              <m:t>​</m:t>
            </m:r>
          </m:e>
          <m:sup>
            <m:r>
              <m:rPr>
                <m:sty m:val="p"/>
              </m:rPr>
              <m:t>−</m:t>
            </m:r>
            <m:r>
              <m:t>3</m:t>
            </m:r>
          </m:sup>
        </m:sSup>
      </m:oMath>
      <w:r>
        <w:t xml:space="preserve">: the same 0.7–0.9 points of thickness structure at both defect levels, with the peak moving from 1.5 </w:t>
      </w:r>
      <m:oMath>
        <m:r>
          <m:t>μ</m:t>
        </m:r>
      </m:oMath>
      <w:r>
        <w:t xml:space="preserve">m at the cleaner film to 1.0 </w:t>
      </w:r>
      <m:oMath>
        <m:r>
          <m:t>μ</m:t>
        </m:r>
      </m:oMath>
      <w:r>
        <w:t xml:space="preserve">m at routine defects—the interaction is real but small, and we claim only that the optimum shifts with</w:t>
      </w:r>
      <w:r>
        <w:t xml:space="preserve"> </w:t>
      </w:r>
      <m:oMath>
        <m:sSub>
          <m:e>
            <m:r>
              <m:t>N</m:t>
            </m:r>
          </m:e>
          <m:sub>
            <m:r>
              <m:t>t</m:t>
            </m:r>
          </m:sub>
        </m:sSub>
      </m:oMath>
      <w:r>
        <w:t xml:space="preserve">, not that thickness dominates. ETL donor density confirms the literature optimum (</w:t>
      </w:r>
      <m:oMath>
        <m:r>
          <m:t>9</m:t>
        </m:r>
        <m:r>
          <m:rPr>
            <m:sty m:val="p"/>
          </m:rPr>
          <m:t>×</m:t>
        </m:r>
        <m:sSup>
          <m:e>
            <m:r>
              <m:t>10</m:t>
            </m:r>
          </m:e>
          <m:sup>
            <m:r>
              <m:t>17</m:t>
            </m:r>
          </m:sup>
        </m:sSup>
      </m:oMath>
      <w:r>
        <w:t xml:space="preserve"> cm</w:t>
      </w:r>
      <m:oMath>
        <m:sSup>
          <m:e>
            <m:r>
              <m:t>​</m:t>
            </m:r>
          </m:e>
          <m:sup>
            <m:r>
              <m:rPr>
                <m:sty m:val="p"/>
              </m:rPr>
              <m:t>−</m:t>
            </m:r>
            <m:r>
              <m:t>3</m:t>
            </m:r>
          </m:sup>
        </m:sSup>
      </m:oMath>
      <w:r>
        <w:t xml:space="preserve">) and transport-layer thicknesses are insensitive (100/30 nm retained), both consistent with </w:t>
      </w:r>
      <w:r>
        <w:t xml:space="preserve">[5]</w:t>
      </w:r>
      <w:r>
        <w:t xml:space="preserve">. The current–voltage curve (Figure </w:t>
      </w:r>
      <w:hyperlink w:anchor="fig:jvboth">
        <w:r>
          <w:rPr>
            <w:rStyle w:val="Hyperlink"/>
          </w:rPr>
          <w:t xml:space="preserve">2</w:t>
        </w:r>
      </w:hyperlink>
      <w:r>
        <w:t xml:space="preserve">) is square and artefact-free, with a Voc deficit of 0.33 V against</w:t>
      </w:r>
      <w:r>
        <w:t xml:space="preserve"> </w:t>
      </w:r>
      <m:oMath>
        <m:sSub>
          <m:e>
            <m:r>
              <m:t>E</m:t>
            </m:r>
          </m:e>
          <m:sub>
            <m:r>
              <m:t>g</m:t>
            </m:r>
          </m:sub>
        </m:sSub>
        <m:r>
          <m:rPr>
            <m:sty m:val="p"/>
          </m:rPr>
          <m:t>/</m:t>
        </m:r>
        <m:r>
          <m:t>q</m:t>
        </m:r>
      </m:oMath>
      <w:r>
        <w:t xml:space="preserve"> </w:t>
      </w:r>
      <w:r>
        <w:t xml:space="preserve">at the joint optimum (0.40 V at the prior</w:t>
      </w:r>
      <w:r>
        <w:t xml:space="preserve"> </w:t>
      </w:r>
      <m:oMath>
        <m:sSub>
          <m:e>
            <m:r>
              <m:t>χ</m:t>
            </m:r>
          </m:e>
          <m:sub>
            <m:r>
              <m:rPr>
                <m:sty m:val="p"/>
              </m:rPr>
              <m:t>T</m:t>
            </m:r>
            <m:r>
              <m:rPr>
                <m:sty m:val="p"/>
              </m:rPr>
              <m:t>i</m:t>
            </m:r>
            <m:r>
              <m:rPr>
                <m:sty m:val="p"/>
              </m:rPr>
              <m:t>O</m:t>
            </m:r>
            <m:r>
              <m:rPr>
                <m:sty m:val="p"/>
              </m:rPr>
              <m:t>2</m:t>
            </m:r>
          </m:sub>
        </m:sSub>
        <m:r>
          <m:rPr>
            <m:sty m:val="p"/>
          </m:rPr>
          <m:t>=</m:t>
        </m:r>
        <m:r>
          <m:t>3.8</m:t>
        </m:r>
      </m:oMath>
      <w:r>
        <w:t xml:space="preserve"> eV base).</w:t>
      </w:r>
    </w:p>
    <w:bookmarkStart w:id="22" w:name="fig:jvboth"/>
    <w:p>
      <w:pPr>
        <w:pStyle w:val="CaptionedFigure"/>
      </w:pPr>
      <w:r>
        <w:drawing>
          <wp:inline>
            <wp:extent cx="4533900" cy="2818370"/>
            <wp:effectExtent b="0" l="0" r="0" t="0"/>
            <wp:docPr descr="" title="" id="20" name="Picture"/>
            <a:graphic>
              <a:graphicData uri="http://schemas.openxmlformats.org/drawingml/2006/picture">
                <pic:pic>
                  <pic:nvPicPr>
                    <pic:cNvPr descr="/home/touhid/Documents/leadpaper/outputs/figs/fig_JVboth.png" id="21" name="Picture"/>
                    <pic:cNvPicPr>
                      <a:picLocks noChangeArrowheads="1" noChangeAspect="1"/>
                    </pic:cNvPicPr>
                  </pic:nvPicPr>
                  <pic:blipFill>
                    <a:blip r:embed="rId19"/>
                    <a:stretch>
                      <a:fillRect/>
                    </a:stretch>
                  </pic:blipFill>
                  <pic:spPr bwMode="auto">
                    <a:xfrm>
                      <a:off x="0" y="0"/>
                      <a:ext cx="4533900" cy="2818370"/>
                    </a:xfrm>
                    <a:prstGeom prst="rect">
                      <a:avLst/>
                    </a:prstGeom>
                    <a:noFill/>
                    <a:ln w="9525">
                      <a:noFill/>
                      <a:headEnd/>
                      <a:tailEnd/>
                    </a:ln>
                  </pic:spPr>
                </pic:pic>
              </a:graphicData>
            </a:graphic>
          </wp:inline>
        </w:drawing>
      </w:r>
    </w:p>
    <w:p>
      <w:pPr>
        <w:pStyle w:val="ImageCaption"/>
      </w:pPr>
      <w:r>
        <w:t xml:space="preserve">Illuminated current–voltage curves: baseline (800 nm, 18.99%) versus joint-optimum champion (2.2 </w:t>
      </w:r>
      <m:oMath>
        <m:r>
          <m:t>μ</m:t>
        </m:r>
      </m:oMath>
      <w:r>
        <w:t xml:space="preserve">m, 24.95%).</w:t>
      </w:r>
    </w:p>
    <w:bookmarkEnd w:id="22"/>
    <w:bookmarkStart w:id="23" w:name="tab:chia"/>
    <w:p>
      <w:pPr>
        <w:pStyle w:val="TableCaption"/>
      </w:pPr>
      <w:r>
        <w:t xml:space="preserve">Joint affinity map at guardrailed interfaces (PCE %; champion geometry; peak extension 3.95–4.10 eV turns over past</w:t>
      </w:r>
      <w:r>
        <w:t xml:space="preserve"> </w:t>
      </w:r>
      <m:oMath>
        <m:r>
          <m:rPr>
            <m:sty m:val="p"/>
          </m:rPr>
          <m:t>∼</m:t>
        </m:r>
      </m:oMath>
      <w:r>
        <w:t xml:space="preserve">3.95 eV).</w:t>
      </w:r>
    </w:p>
    <w:tbl>
      <w:tblPr>
        <w:tblStyle w:val="Table"/>
        <w:tblW w:type="auto" w:w="0"/>
        <w:tblLook w:firstRow="1" w:lastRow="0" w:firstColumn="0" w:lastColumn="0" w:noHBand="0" w:noVBand="0" w:val="0020"/>
        <w:tblCaption w:val="Joint affinity map at guardrailed interfaces (PCE %; champion geometry; peak extension 3.95–4.10 eV turns over past \sim3.95 eV)."/>
      </w:tblPr>
      <w:tblGrid>
        <w:gridCol w:w="1584"/>
        <w:gridCol w:w="1584"/>
        <w:gridCol w:w="1584"/>
        <w:gridCol w:w="1584"/>
        <w:gridCol w:w="1584"/>
      </w:tblGrid>
      <w:tr>
        <w:trPr>
          <w:tblHeader w:val="on"/>
        </w:trPr>
        <w:tc>
          <w:tcPr/>
          <w:p>
            <w:pPr>
              <w:pStyle w:val="Compact"/>
              <w:jc w:val="left"/>
            </w:pPr>
            <m:oMath>
              <m:sSub>
                <m:e>
                  <m:r>
                    <m:t>χ</m:t>
                  </m:r>
                </m:e>
                <m:sub>
                  <m:r>
                    <m:rPr>
                      <m:sty m:val="p"/>
                    </m:rPr>
                    <m:t>C</m:t>
                  </m:r>
                  <m:r>
                    <m:rPr>
                      <m:sty m:val="p"/>
                    </m:rPr>
                    <m:t>B</m:t>
                  </m:r>
                  <m:r>
                    <m:rPr>
                      <m:sty m:val="p"/>
                    </m:rPr>
                    <m:t>T</m:t>
                  </m:r>
                  <m:r>
                    <m:rPr>
                      <m:sty m:val="p"/>
                    </m:rPr>
                    <m:t>S</m:t>
                  </m:r>
                </m:sub>
              </m:sSub>
            </m:oMath>
            <w:r>
              <w:t xml:space="preserve"> </w:t>
            </w:r>
            <m:oMath>
              <m:r>
                <m:rPr>
                  <m:sty m:val="p"/>
                </m:rPr>
                <m:t>∖</m:t>
              </m:r>
            </m:oMath>
            <w:r>
              <w:t xml:space="preserve"> </w:t>
            </w:r>
            <m:oMath>
              <m:sSub>
                <m:e>
                  <m:r>
                    <m:t>χ</m:t>
                  </m:r>
                </m:e>
                <m:sub>
                  <m:r>
                    <m:rPr>
                      <m:sty m:val="p"/>
                    </m:rPr>
                    <m:t>T</m:t>
                  </m:r>
                  <m:r>
                    <m:rPr>
                      <m:sty m:val="p"/>
                    </m:rPr>
                    <m:t>i</m:t>
                  </m:r>
                  <m:r>
                    <m:rPr>
                      <m:sty m:val="p"/>
                    </m:rPr>
                    <m:t>O</m:t>
                  </m:r>
                  <m:r>
                    <m:rPr>
                      <m:sty m:val="p"/>
                    </m:rPr>
                    <m:t>2</m:t>
                  </m:r>
                </m:sub>
              </m:sSub>
            </m:oMath>
          </w:p>
        </w:tc>
        <w:tc>
          <w:tcPr/>
          <w:p>
            <w:pPr>
              <w:pStyle w:val="Compact"/>
              <w:jc w:val="left"/>
            </w:pPr>
            <w:r>
              <w:t xml:space="preserve">3.7</w:t>
            </w:r>
          </w:p>
        </w:tc>
        <w:tc>
          <w:tcPr/>
          <w:p>
            <w:pPr>
              <w:pStyle w:val="Compact"/>
              <w:jc w:val="left"/>
            </w:pPr>
            <w:r>
              <w:t xml:space="preserve">3.8</w:t>
            </w:r>
          </w:p>
        </w:tc>
        <w:tc>
          <w:tcPr/>
          <w:p>
            <w:pPr>
              <w:pStyle w:val="Compact"/>
              <w:jc w:val="left"/>
            </w:pPr>
            <w:r>
              <w:t xml:space="preserve">3.9</w:t>
            </w:r>
          </w:p>
        </w:tc>
        <w:tc>
          <w:tcPr/>
          <w:p>
            <w:pPr>
              <w:pStyle w:val="Compact"/>
              <w:jc w:val="left"/>
            </w:pPr>
            <w:r>
              <w:t xml:space="preserve">4.0</w:t>
            </w:r>
          </w:p>
        </w:tc>
      </w:tr>
      <w:tr>
        <w:tc>
          <w:tcPr/>
          <w:p>
            <w:pPr>
              <w:pStyle w:val="Compact"/>
              <w:jc w:val="left"/>
            </w:pPr>
            <w:r>
              <w:t xml:space="preserve">3.50</w:t>
            </w:r>
          </w:p>
        </w:tc>
        <w:tc>
          <w:tcPr/>
          <w:p>
            <w:pPr>
              <w:pStyle w:val="Compact"/>
              <w:jc w:val="left"/>
            </w:pPr>
            <w:r>
              <w:t xml:space="preserve">22.10</w:t>
            </w:r>
          </w:p>
        </w:tc>
        <w:tc>
          <w:tcPr/>
          <w:p>
            <w:pPr>
              <w:pStyle w:val="Compact"/>
              <w:jc w:val="left"/>
            </w:pPr>
            <w:r>
              <w:t xml:space="preserve">22.10</w:t>
            </w:r>
          </w:p>
        </w:tc>
        <w:tc>
          <w:tcPr/>
          <w:p>
            <w:pPr>
              <w:pStyle w:val="Compact"/>
              <w:jc w:val="left"/>
            </w:pPr>
            <w:r>
              <w:t xml:space="preserve">22.10</w:t>
            </w:r>
          </w:p>
        </w:tc>
        <w:tc>
          <w:tcPr/>
          <w:p>
            <w:pPr>
              <w:pStyle w:val="Compact"/>
              <w:jc w:val="left"/>
            </w:pPr>
            <w:r>
              <w:t xml:space="preserve">22.07</w:t>
            </w:r>
          </w:p>
        </w:tc>
      </w:tr>
      <w:tr>
        <w:tc>
          <w:tcPr/>
          <w:p>
            <w:pPr>
              <w:pStyle w:val="Compact"/>
              <w:jc w:val="left"/>
            </w:pPr>
            <w:r>
              <w:t xml:space="preserve">3.60</w:t>
            </w:r>
          </w:p>
        </w:tc>
        <w:tc>
          <w:tcPr/>
          <w:p>
            <w:pPr>
              <w:pStyle w:val="Compact"/>
              <w:jc w:val="left"/>
            </w:pPr>
            <w:r>
              <w:t xml:space="preserve">23.83</w:t>
            </w:r>
          </w:p>
        </w:tc>
        <w:tc>
          <w:tcPr/>
          <w:p>
            <w:pPr>
              <w:pStyle w:val="Compact"/>
              <w:jc w:val="left"/>
            </w:pPr>
            <w:r>
              <w:t xml:space="preserve">23.82</w:t>
            </w:r>
          </w:p>
        </w:tc>
        <w:tc>
          <w:tcPr/>
          <w:p>
            <w:pPr>
              <w:pStyle w:val="Compact"/>
              <w:jc w:val="left"/>
            </w:pPr>
            <w:r>
              <w:t xml:space="preserve">23.80</w:t>
            </w:r>
          </w:p>
        </w:tc>
        <w:tc>
          <w:tcPr/>
          <w:p>
            <w:pPr>
              <w:pStyle w:val="Compact"/>
              <w:jc w:val="left"/>
            </w:pPr>
            <w:r>
              <w:t xml:space="preserve">23.50</w:t>
            </w:r>
          </w:p>
        </w:tc>
      </w:tr>
      <w:tr>
        <w:tc>
          <w:tcPr/>
          <w:p>
            <w:pPr>
              <w:pStyle w:val="Compact"/>
              <w:jc w:val="left"/>
            </w:pPr>
            <w:r>
              <w:t xml:space="preserve">3.70</w:t>
            </w:r>
          </w:p>
        </w:tc>
        <w:tc>
          <w:tcPr/>
          <w:p>
            <w:pPr>
              <w:pStyle w:val="Compact"/>
              <w:jc w:val="left"/>
            </w:pPr>
            <w:r>
              <w:t xml:space="preserve">24.67</w:t>
            </w:r>
          </w:p>
        </w:tc>
        <w:tc>
          <w:tcPr/>
          <w:p>
            <w:pPr>
              <w:pStyle w:val="Compact"/>
              <w:jc w:val="left"/>
            </w:pPr>
            <w:r>
              <w:t xml:space="preserve">24.64</w:t>
            </w:r>
          </w:p>
        </w:tc>
        <w:tc>
          <w:tcPr/>
          <w:p>
            <w:pPr>
              <w:pStyle w:val="Compact"/>
              <w:jc w:val="left"/>
            </w:pPr>
            <w:r>
              <w:t xml:space="preserve">24.53</w:t>
            </w:r>
          </w:p>
        </w:tc>
        <w:tc>
          <w:tcPr/>
          <w:p>
            <w:pPr>
              <w:pStyle w:val="Compact"/>
              <w:jc w:val="left"/>
            </w:pPr>
            <w:r>
              <w:t xml:space="preserve">23.77</w:t>
            </w:r>
          </w:p>
        </w:tc>
      </w:tr>
      <w:tr>
        <w:tc>
          <w:tcPr/>
          <w:p>
            <w:pPr>
              <w:pStyle w:val="Compact"/>
              <w:jc w:val="left"/>
            </w:pPr>
            <w:r>
              <w:t xml:space="preserve">3.80</w:t>
            </w:r>
          </w:p>
        </w:tc>
        <w:tc>
          <w:tcPr/>
          <w:p>
            <w:pPr>
              <w:pStyle w:val="Compact"/>
              <w:jc w:val="left"/>
            </w:pPr>
            <w:r>
              <w:t xml:space="preserve">24.89</w:t>
            </w:r>
          </w:p>
        </w:tc>
        <w:tc>
          <w:tcPr/>
          <w:p>
            <w:pPr>
              <w:pStyle w:val="Compact"/>
              <w:jc w:val="left"/>
            </w:pPr>
            <w:r>
              <w:t xml:space="preserve">24.86</w:t>
            </w:r>
          </w:p>
        </w:tc>
        <w:tc>
          <w:tcPr/>
          <w:p>
            <w:pPr>
              <w:pStyle w:val="Compact"/>
              <w:jc w:val="left"/>
            </w:pPr>
            <w:r>
              <w:t xml:space="preserve">24.67</w:t>
            </w:r>
          </w:p>
        </w:tc>
        <w:tc>
          <w:tcPr/>
          <w:p>
            <w:pPr>
              <w:pStyle w:val="Compact"/>
              <w:jc w:val="left"/>
            </w:pPr>
            <w:r>
              <w:t xml:space="preserve">23.81</w:t>
            </w:r>
          </w:p>
        </w:tc>
      </w:tr>
      <w:tr>
        <w:tc>
          <w:tcPr/>
          <w:p>
            <w:pPr>
              <w:pStyle w:val="Compact"/>
              <w:jc w:val="left"/>
            </w:pPr>
            <w:r>
              <w:t xml:space="preserve">3.90</w:t>
            </w:r>
          </w:p>
        </w:tc>
        <w:tc>
          <w:tcPr/>
          <w:p>
            <w:pPr>
              <w:pStyle w:val="Compact"/>
              <w:jc w:val="left"/>
            </w:pPr>
            <w:r>
              <w:rPr>
                <w:b/>
                <w:bCs/>
              </w:rPr>
              <w:t xml:space="preserve">24.95</w:t>
            </w:r>
          </w:p>
        </w:tc>
        <w:tc>
          <w:tcPr/>
          <w:p>
            <w:pPr>
              <w:pStyle w:val="Compact"/>
              <w:jc w:val="left"/>
            </w:pPr>
            <w:r>
              <w:t xml:space="preserve">24.91</w:t>
            </w:r>
          </w:p>
        </w:tc>
        <w:tc>
          <w:tcPr/>
          <w:p>
            <w:pPr>
              <w:pStyle w:val="Compact"/>
              <w:jc w:val="left"/>
            </w:pPr>
            <w:r>
              <w:t xml:space="preserve">24.74</w:t>
            </w:r>
          </w:p>
        </w:tc>
        <w:tc>
          <w:tcPr/>
          <w:p>
            <w:pPr>
              <w:pStyle w:val="Compact"/>
              <w:jc w:val="left"/>
            </w:pPr>
            <w:r>
              <w:t xml:space="preserve">23.81</w:t>
            </w:r>
          </w:p>
        </w:tc>
      </w:tr>
      <w:tr>
        <w:tc>
          <w:tcPr/>
          <w:p>
            <w:pPr>
              <w:pStyle w:val="Compact"/>
              <w:jc w:val="left"/>
            </w:pPr>
            <w:r>
              <w:t xml:space="preserve">3.95</w:t>
            </w:r>
          </w:p>
        </w:tc>
        <w:tc>
          <w:tcPr/>
          <w:p>
            <w:pPr>
              <w:pStyle w:val="Compact"/>
              <w:jc w:val="left"/>
            </w:pPr>
            <w:r>
              <w:t xml:space="preserve">24.94</w:t>
            </w:r>
          </w:p>
        </w:tc>
        <w:tc>
          <w:tcPr/>
          <w:p>
            <w:pPr>
              <w:pStyle w:val="Compact"/>
              <w:jc w:val="left"/>
            </w:pPr>
            <w:r>
              <w:t xml:space="preserve">24.90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w:t>
            </w:r>
          </w:p>
        </w:tc>
        <w:tc>
          <w:tcPr/>
          <w:p>
            <w:pPr>
              <w:pStyle w:val="Compact"/>
              <w:jc w:val="left"/>
            </w:pPr>
            <w:r>
              <w:t xml:space="preserve">24.81</w:t>
            </w:r>
          </w:p>
        </w:tc>
        <w:tc>
          <w:tcPr/>
          <w:p>
            <w:pPr>
              <w:pStyle w:val="Compact"/>
              <w:jc w:val="left"/>
            </w:pPr>
            <w:r>
              <w:t xml:space="preserve">24.79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4.10</w:t>
            </w:r>
          </w:p>
        </w:tc>
        <w:tc>
          <w:tcPr/>
          <w:p>
            <w:pPr>
              <w:pStyle w:val="Compact"/>
              <w:jc w:val="left"/>
            </w:pPr>
            <w:r>
              <w:t xml:space="preserve">23.25</w:t>
            </w:r>
          </w:p>
        </w:tc>
        <w:tc>
          <w:tcPr/>
          <w:p>
            <w:pPr>
              <w:pStyle w:val="Compact"/>
              <w:jc w:val="left"/>
            </w:pPr>
            <w:r>
              <w:t xml:space="preserve">23.25</w:t>
            </w:r>
          </w:p>
        </w:tc>
        <w:tc>
          <w:tcPr/>
          <w:p>
            <w:pPr>
              <w:pStyle w:val="Compact"/>
              <w:jc w:val="left"/>
            </w:pPr>
            <w:r>
              <w:t xml:space="preserve">–</w:t>
            </w:r>
          </w:p>
        </w:tc>
        <w:tc>
          <w:tcPr/>
          <w:p>
            <w:pPr>
              <w:pStyle w:val="Compact"/>
              <w:jc w:val="left"/>
            </w:pPr>
            <w:r>
              <w:t xml:space="preserve">–</w:t>
            </w:r>
          </w:p>
        </w:tc>
      </w:tr>
    </w:tbl>
    <w:bookmarkEnd w:id="23"/>
    <w:p>
      <w:pPr>
        <w:pStyle w:val="BodyText"/>
      </w:pPr>
      <w:r>
        <w:t xml:space="preserve">The 5.96-point stacked gain decomposes along the screening path (Table </w:t>
      </w:r>
      <w:hyperlink w:anchor="tab:champ">
        <w:r>
          <w:rPr>
            <w:rStyle w:val="Hyperlink"/>
          </w:rPr>
          <w:t xml:space="preserve">[tab:champ]</w:t>
        </w:r>
      </w:hyperlink>
      <w:r>
        <w:t xml:space="preserve"> </w:t>
      </w:r>
      <w:r>
        <w:t xml:space="preserve">parameters in sequence, illustrative ordering only): thickness 800 nm to 1.5 </w:t>
      </w:r>
      <m:oMath>
        <m:r>
          <m:t>μ</m:t>
        </m:r>
      </m:oMath>
      <w:r>
        <w:t xml:space="preserve">m adds 0.19 points (19.18%), acceptor doping to</w:t>
      </w:r>
      <w:r>
        <w:t xml:space="preserve"> </w:t>
      </w:r>
      <m:oMath>
        <m:sSup>
          <m:e>
            <m:r>
              <m:t>10</m:t>
            </m:r>
          </m:e>
          <m:sup>
            <m:r>
              <m:t>16</m:t>
            </m:r>
          </m:sup>
        </m:sSup>
      </m:oMath>
      <w:r>
        <w:t xml:space="preserve"> cm</w:t>
      </w:r>
      <m:oMath>
        <m:sSup>
          <m:e>
            <m:r>
              <m:t>​</m:t>
            </m:r>
          </m:e>
          <m:sup>
            <m:r>
              <m:rPr>
                <m:sty m:val="p"/>
              </m:rPr>
              <m:t>−</m:t>
            </m:r>
            <m:r>
              <m:t>3</m:t>
            </m:r>
          </m:sup>
        </m:sSup>
      </m:oMath>
      <w:r>
        <w:t xml:space="preserve"> </w:t>
      </w:r>
      <w:r>
        <w:t xml:space="preserve">adds 0.93 points (20.11%), bulk-defect reduction to</w:t>
      </w:r>
      <w:r>
        <w:t xml:space="preserve"> </w:t>
      </w:r>
      <m:oMath>
        <m:sSup>
          <m:e>
            <m:r>
              <m:t>10</m:t>
            </m:r>
          </m:e>
          <m:sup>
            <m:r>
              <m:t>12</m:t>
            </m:r>
          </m:sup>
        </m:sSup>
      </m:oMath>
      <w:r>
        <w:t xml:space="preserve"> cm</w:t>
      </w:r>
      <m:oMath>
        <m:sSup>
          <m:e>
            <m:r>
              <m:t>​</m:t>
            </m:r>
          </m:e>
          <m:sup>
            <m:r>
              <m:rPr>
                <m:sty m:val="p"/>
              </m:rPr>
              <m:t>−</m:t>
            </m:r>
            <m:r>
              <m:t>3</m:t>
            </m:r>
          </m:sup>
        </m:sSup>
      </m:oMath>
      <w:r>
        <w:t xml:space="preserve"> </w:t>
      </w:r>
      <w:r>
        <w:t xml:space="preserve">adds</w:t>
      </w:r>
      <w:r>
        <w:t xml:space="preserve"> </w:t>
      </w:r>
      <m:oMath>
        <m:r>
          <m:rPr>
            <m:sty m:val="p"/>
          </m:rPr>
          <m:t>∼</m:t>
        </m:r>
      </m:oMath>
      <w:r>
        <w:t xml:space="preserve">1.6 points (</w:t>
      </w:r>
      <m:oMath>
        <m:r>
          <m:rPr>
            <m:sty m:val="p"/>
          </m:rPr>
          <m:t>∼</m:t>
        </m:r>
      </m:oMath>
      <w:r>
        <w:t xml:space="preserve">21.7%), the joint</w:t>
      </w:r>
      <w:r>
        <w:t xml:space="preserve"> </w:t>
      </w:r>
      <m:oMath>
        <m:sSub>
          <m:e>
            <m:r>
              <m:t>E</m:t>
            </m:r>
          </m:e>
          <m:sub>
            <m:r>
              <m:t>g</m:t>
            </m:r>
          </m:sub>
        </m:sSub>
      </m:oMath>
      <w:r>
        <w:t xml:space="preserve">–</w:t>
      </w:r>
      <m:oMath>
        <m:r>
          <m:t>χ</m:t>
        </m:r>
      </m:oMath>
      <w:r>
        <w:t xml:space="preserve"> </w:t>
      </w:r>
      <w:r>
        <w:t xml:space="preserve">move to 1.65 eV with ETL donor optimisation contributes</w:t>
      </w:r>
      <w:r>
        <w:t xml:space="preserve"> </w:t>
      </w:r>
      <m:oMath>
        <m:r>
          <m:rPr>
            <m:sty m:val="p"/>
          </m:rPr>
          <m:t>∼</m:t>
        </m:r>
      </m:oMath>
      <w:r>
        <w:t xml:space="preserve">1.8 points (to the 23.50% surveyed best), and the joint affinity optimum adds the final 1.45 points (modulo rounding). This sequential attribution is order-dependent and illustrative, not causal. Open-circuit voltage climbs 1.122 to 1.321 V while the fill factor rises 86.0 to 89.1%, the signature of SRH-lifetime recovery plus interface-activation recovery rather than band-shift artefacts.</w:t>
      </w:r>
    </w:p>
    <w:p>
      <w:pPr>
        <w:pStyle w:val="BodyText"/>
      </w:pPr>
      <w:r>
        <w:t xml:space="preserve">Round A’s top ten (Table </w:t>
      </w:r>
      <w:hyperlink w:anchor="tab:top10">
        <w:r>
          <w:rPr>
            <w:rStyle w:val="Hyperlink"/>
          </w:rPr>
          <w:t xml:space="preserve">4</w:t>
        </w:r>
      </w:hyperlink>
      <w:r>
        <w:t xml:space="preserve">) all carry</w:t>
      </w:r>
      <w:r>
        <w:t xml:space="preserve"> </w:t>
      </w:r>
      <m:oMath>
        <m:sSub>
          <m:e>
            <m:r>
              <m:t>E</m:t>
            </m:r>
          </m:e>
          <m:sub>
            <m:r>
              <m:t>g</m:t>
            </m:r>
          </m:sub>
        </m:sSub>
        <m:r>
          <m:rPr>
            <m:sty m:val="p"/>
          </m:rPr>
          <m:t>=</m:t>
        </m:r>
        <m:r>
          <m:t>1.65</m:t>
        </m:r>
      </m:oMath>
      <w:r>
        <w:t xml:space="preserve"> eV; the top seven sit at</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 </w:t>
      </w:r>
      <w:r>
        <w:t xml:space="preserve">while rows 8–10 at</w:t>
      </w:r>
      <w:r>
        <w:t xml:space="preserve"> </w:t>
      </w:r>
      <m:oMath>
        <m:sSub>
          <m:e>
            <m:r>
              <m:t>N</m:t>
            </m:r>
          </m:e>
          <m:sub>
            <m:r>
              <m:t>t</m:t>
            </m:r>
          </m:sub>
        </m:sSub>
        <m:r>
          <m:rPr>
            <m:sty m:val="p"/>
          </m:rPr>
          <m:t>=</m:t>
        </m:r>
        <m:sSup>
          <m:e>
            <m:r>
              <m:t>10</m:t>
            </m:r>
          </m:e>
          <m:sup>
            <m:r>
              <m:t>13</m:t>
            </m:r>
          </m:sup>
        </m:sSup>
      </m:oMath>
      <w:r>
        <w:t xml:space="preserve"> cm</w:t>
      </w:r>
      <m:oMath>
        <m:sSup>
          <m:e>
            <m:r>
              <m:t>​</m:t>
            </m:r>
          </m:e>
          <m:sup>
            <m:r>
              <m:rPr>
                <m:sty m:val="p"/>
              </m:rPr>
              <m:t>−</m:t>
            </m:r>
            <m:r>
              <m:t>3</m:t>
            </m:r>
          </m:sup>
        </m:sSup>
      </m:oMath>
      <w:r>
        <w:t xml:space="preserve"> </w:t>
      </w:r>
      <w:r>
        <w:t xml:space="preserve">trail by</w:t>
      </w:r>
      <w:r>
        <w:t xml:space="preserve"> </w:t>
      </w:r>
      <m:oMath>
        <m:r>
          <m:rPr>
            <m:sty m:val="p"/>
          </m:rPr>
          <m:t>∼</m:t>
        </m:r>
      </m:oMath>
      <w:r>
        <w:t xml:space="preserve">0.4 points through Voc loss (1.233 to 1.221 V). Round B refined thickness (1.8–2.2 </w:t>
      </w:r>
      <m:oMath>
        <m:r>
          <m:t>μ</m:t>
        </m:r>
      </m:oMath>
      <w:r>
        <w:t xml:space="preserve">m), gap (1.65–1.72 eV) and doping (36 runs) and moved the best from 23.47% to 23.50% (coarse grid), i.e. the landscape is converged rather than climbing.</w:t>
      </w:r>
    </w:p>
    <w:p>
      <w:pPr>
        <w:pStyle w:val="BodyText"/>
      </w:pPr>
      <w:r>
        <w:t xml:space="preserve">Round B’s refinement is documented in full because its plateau is itself evidence: the best ten span only 23.32–23.50% (Table </w:t>
      </w:r>
      <w:hyperlink w:anchor="tab:top10b">
        <w:r>
          <w:rPr>
            <w:rStyle w:val="Hyperlink"/>
          </w:rPr>
          <w:t xml:space="preserve">5</w:t>
        </w:r>
      </w:hyperlink>
      <w:r>
        <w:t xml:space="preserve">), with thickness 1.8–2.2 </w:t>
      </w:r>
      <m:oMath>
        <m:r>
          <m:t>μ</m:t>
        </m:r>
      </m:oMath>
      <w:r>
        <w:t xml:space="preserve">m and</w:t>
      </w:r>
      <w:r>
        <w:t xml:space="preserve"> </w:t>
      </w:r>
      <m:oMath>
        <m:sSub>
          <m:e>
            <m:r>
              <m:t>N</m:t>
            </m:r>
          </m:e>
          <m:sub>
            <m:r>
              <m:t>A</m:t>
            </m:r>
          </m:sub>
        </m:sSub>
      </m:oMath>
      <w:r>
        <w:t xml:space="preserve"> </w:t>
      </w:r>
      <w:r>
        <w:t xml:space="preserve">(1–3)</w:t>
      </w:r>
      <m:oMath>
        <m:r>
          <m:rPr>
            <m:sty m:val="p"/>
          </m:rPr>
          <m:t>×</m:t>
        </m:r>
        <m:sSup>
          <m:e>
            <m:r>
              <m:t>10</m:t>
            </m:r>
          </m:e>
          <m:sup>
            <m:r>
              <m:t>16</m:t>
            </m:r>
          </m:sup>
        </m:sSup>
      </m:oMath>
      <w:r>
        <w:t xml:space="preserve"> cm</w:t>
      </w:r>
      <m:oMath>
        <m:sSup>
          <m:e>
            <m:r>
              <m:t>​</m:t>
            </m:r>
          </m:e>
          <m:sup>
            <m:r>
              <m:rPr>
                <m:sty m:val="p"/>
              </m:rPr>
              <m:t>−</m:t>
            </m:r>
            <m:r>
              <m:t>3</m:t>
            </m:r>
          </m:sup>
        </m:sSup>
      </m:oMath>
      <w:r>
        <w:t xml:space="preserve"> </w:t>
      </w:r>
      <w:r>
        <w:t xml:space="preserve">numerically indistinguishable at grid resolution once</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 </w:t>
      </w:r>
      <w:r>
        <w:t xml:space="preserve">and</w:t>
      </w:r>
      <w:r>
        <w:t xml:space="preserve"> </w:t>
      </w:r>
      <m:oMath>
        <m:sSub>
          <m:e>
            <m:r>
              <m:t>E</m:t>
            </m:r>
          </m:e>
          <m:sub>
            <m:r>
              <m:t>g</m:t>
            </m:r>
          </m:sub>
        </m:sSub>
        <m:r>
          <m:rPr>
            <m:sty m:val="p"/>
          </m:rPr>
          <m:t>=</m:t>
        </m:r>
        <m:r>
          <m:t>1.65</m:t>
        </m:r>
      </m:oMath>
      <w:r>
        <w:t xml:space="preserve"> eV are fixed (the ten span 23.32–23.50%, a 0.19-point range against a 0.017-point coarse/fine IV-step uncertainty, so the leading cluster cannot be separated even though the 10th entry trails observably). The</w:t>
      </w:r>
      <w:r>
        <w:t xml:space="preserve"> </w:t>
      </w:r>
      <m:oMath>
        <m:sSub>
          <m:e>
            <m:r>
              <m:t>N</m:t>
            </m:r>
          </m:e>
          <m:sub>
            <m:r>
              <m:t>t</m:t>
            </m:r>
          </m:sub>
        </m:sSub>
        <m:r>
          <m:rPr>
            <m:sty m:val="p"/>
          </m:rPr>
          <m:t>=</m:t>
        </m:r>
        <m:r>
          <m:t>3</m:t>
        </m:r>
        <m:r>
          <m:rPr>
            <m:sty m:val="p"/>
          </m:rPr>
          <m:t>×</m:t>
        </m:r>
        <m:sSup>
          <m:e>
            <m:r>
              <m:t>10</m:t>
            </m:r>
          </m:e>
          <m:sup>
            <m:r>
              <m:t>12</m:t>
            </m:r>
          </m:sup>
        </m:sSup>
      </m:oMath>
      <w:r>
        <w:t xml:space="preserve"> cm</w:t>
      </w:r>
      <m:oMath>
        <m:sSup>
          <m:e>
            <m:r>
              <m:t>​</m:t>
            </m:r>
          </m:e>
          <m:sup>
            <m:r>
              <m:rPr>
                <m:sty m:val="p"/>
              </m:rPr>
              <m:t>−</m:t>
            </m:r>
            <m:r>
              <m:t>3</m:t>
            </m:r>
          </m:sup>
        </m:sSup>
      </m:oMath>
      <w:r>
        <w:t xml:space="preserve"> </w:t>
      </w:r>
      <w:r>
        <w:t xml:space="preserve">entries trail the matched</w:t>
      </w:r>
      <w:r>
        <w:t xml:space="preserve"> </w:t>
      </w:r>
      <m:oMath>
        <m:sSup>
          <m:e>
            <m:r>
              <m:t>10</m:t>
            </m:r>
          </m:e>
          <m:sup>
            <m:r>
              <m:t>12</m:t>
            </m:r>
          </m:sup>
        </m:sSup>
      </m:oMath>
      <w:r>
        <w:t xml:space="preserve"> </w:t>
      </w:r>
      <w:r>
        <w:t xml:space="preserve">cells by 0.05–0.16 points (0.05 at the champion corner, 0.16 on the</w:t>
      </w:r>
      <w:r>
        <w:t xml:space="preserve"> </w:t>
      </w:r>
      <m:oMath>
        <m:sSub>
          <m:e>
            <m:r>
              <m:t>N</m:t>
            </m:r>
          </m:e>
          <m:sub>
            <m:r>
              <m:t>A</m:t>
            </m:r>
          </m:sub>
        </m:sSub>
        <m:r>
          <m:rPr>
            <m:sty m:val="p"/>
          </m:rPr>
          <m:t>=</m:t>
        </m:r>
        <m:sSup>
          <m:e>
            <m:r>
              <m:t>10</m:t>
            </m:r>
          </m:e>
          <m:sup>
            <m:r>
              <m:t>16</m:t>
            </m:r>
          </m:sup>
        </m:sSup>
      </m:oMath>
      <w:r>
        <w:t xml:space="preserve"> </w:t>
      </w:r>
      <w:r>
        <w:t xml:space="preserve">branch), confirming the defect floor binds the optimum.</w:t>
      </w:r>
    </w:p>
    <w:bookmarkStart w:id="24" w:name="tab:top10"/>
    <w:p>
      <w:pPr>
        <w:pStyle w:val="TableCaption"/>
      </w:pPr>
      <w:r>
        <w:t xml:space="preserve">Round A leaderboard (best ten of 96;</w:t>
      </w:r>
      <w:r>
        <w:t xml:space="preserve"> </w:t>
      </w:r>
      <m:oMath>
        <m:sSub>
          <m:e>
            <m:r>
              <m:t>N</m:t>
            </m:r>
          </m:e>
          <m:sub>
            <m:r>
              <m:t>D</m:t>
            </m:r>
            <m:r>
              <m:rPr>
                <m:sty m:val="p"/>
              </m:rPr>
              <m:t>,</m:t>
            </m:r>
            <m:r>
              <m:rPr>
                <m:sty m:val="p"/>
              </m:rPr>
              <m:t>E</m:t>
            </m:r>
            <m:r>
              <m:rPr>
                <m:sty m:val="p"/>
              </m:rPr>
              <m:t>T</m:t>
            </m:r>
            <m:r>
              <m:rPr>
                <m:sty m:val="p"/>
              </m:rPr>
              <m:t>L</m:t>
            </m:r>
          </m:sub>
        </m:sSub>
        <m:r>
          <m:rPr>
            <m:sty m:val="p"/>
          </m:rPr>
          <m:t>=</m:t>
        </m:r>
        <m:r>
          <m:t>9</m:t>
        </m:r>
        <m:r>
          <m:rPr>
            <m:sty m:val="p"/>
          </m:rPr>
          <m:t>×</m:t>
        </m:r>
        <m:sSup>
          <m:e>
            <m:r>
              <m:t>10</m:t>
            </m:r>
          </m:e>
          <m:sup>
            <m:r>
              <m:t>17</m:t>
            </m:r>
          </m:sup>
        </m:sSup>
      </m:oMath>
      <w:r>
        <w:t xml:space="preserve"> cm</w:t>
      </w:r>
      <m:oMath>
        <m:sSup>
          <m:e>
            <m:r>
              <m:t>​</m:t>
            </m:r>
          </m:e>
          <m:sup>
            <m:r>
              <m:rPr>
                <m:sty m:val="p"/>
              </m:rPr>
              <m:t>−</m:t>
            </m:r>
            <m:r>
              <m:t>3</m:t>
            </m:r>
          </m:sup>
        </m:sSup>
      </m:oMath>
      <w:r>
        <w:t xml:space="preserve">;</w:t>
      </w:r>
      <w:r>
        <w:t xml:space="preserve"> </w:t>
      </w:r>
      <m:oMath>
        <m:sSub>
          <m:e>
            <m:r>
              <m:t>χ</m:t>
            </m:r>
          </m:e>
          <m:sub>
            <m:r>
              <m:rPr>
                <m:sty m:val="p"/>
              </m:rPr>
              <m:t>T</m:t>
            </m:r>
            <m:r>
              <m:rPr>
                <m:sty m:val="p"/>
              </m:rPr>
              <m:t>i</m:t>
            </m:r>
            <m:r>
              <m:rPr>
                <m:sty m:val="p"/>
              </m:rPr>
              <m:t>O</m:t>
            </m:r>
            <m:r>
              <m:rPr>
                <m:sty m:val="p"/>
              </m:rPr>
              <m:t>2</m:t>
            </m:r>
          </m:sub>
        </m:sSub>
        <m:r>
          <m:rPr>
            <m:sty m:val="p"/>
          </m:rPr>
          <m:t>=</m:t>
        </m:r>
        <m:r>
          <m:t>4.0</m:t>
        </m:r>
      </m:oMath>
      <w:r>
        <w:t xml:space="preserve"> eV surveyed throughout).</w:t>
      </w:r>
    </w:p>
    <w:tbl>
      <w:tblPr>
        <w:tblStyle w:val="Table"/>
        <w:tblW w:type="auto" w:w="0"/>
        <w:tblLook w:firstRow="1" w:lastRow="0" w:firstColumn="0" w:lastColumn="0" w:noHBand="0" w:noVBand="0" w:val="0020"/>
        <w:tblCaption w:val="Round A leaderboard (best ten of 96; N_{D,\mathrm{ETL}}=9\times10^{17} cm^{-3}; \chi_{\mathrm{TiO2}}=4.0 eV surveyed throughout)."/>
      </w:tblPr>
      <w:tblGrid>
        <w:gridCol w:w="1131"/>
        <w:gridCol w:w="1131"/>
        <w:gridCol w:w="1131"/>
        <w:gridCol w:w="1131"/>
        <w:gridCol w:w="1131"/>
        <w:gridCol w:w="1131"/>
        <w:gridCol w:w="1131"/>
      </w:tblGrid>
      <w:tr>
        <w:trPr>
          <w:tblHeader w:val="on"/>
        </w:trPr>
        <w:tc>
          <w:tcPr/>
          <w:p>
            <w:pPr>
              <w:pStyle w:val="Compact"/>
              <w:jc w:val="left"/>
            </w:pPr>
            <m:oMath>
              <m:r>
                <m:t>d</m:t>
              </m:r>
            </m:oMath>
            <w:r>
              <w:t xml:space="preserve"> </w:t>
            </w:r>
            <w:r>
              <w:t xml:space="preserve">(</w:t>
            </w:r>
            <m:oMath>
              <m:r>
                <m:t>μ</m:t>
              </m:r>
            </m:oMath>
            <w:r>
              <w:t xml:space="preserve">m)</w:t>
            </w:r>
          </w:p>
        </w:tc>
        <w:tc>
          <w:tcPr/>
          <w:p>
            <w:pPr>
              <w:pStyle w:val="Compact"/>
              <w:jc w:val="left"/>
            </w:pPr>
            <m:oMath>
              <m:sSub>
                <m:e>
                  <m:r>
                    <m:t>N</m:t>
                  </m:r>
                </m:e>
                <m:sub>
                  <m:r>
                    <m:t>A</m:t>
                  </m:r>
                </m:sub>
              </m:sSub>
            </m:oMath>
          </w:p>
        </w:tc>
        <w:tc>
          <w:tcPr/>
          <w:p>
            <w:pPr>
              <w:pStyle w:val="Compact"/>
              <w:jc w:val="left"/>
            </w:pPr>
            <m:oMath>
              <m:sSub>
                <m:e>
                  <m:r>
                    <m:t>N</m:t>
                  </m:r>
                </m:e>
                <m:sub>
                  <m:r>
                    <m:t>t</m:t>
                  </m:r>
                </m:sub>
              </m:sSub>
            </m:oMath>
          </w:p>
        </w:tc>
        <w:tc>
          <w:tcPr/>
          <w:p>
            <w:pPr>
              <w:pStyle w:val="Compact"/>
              <w:jc w:val="left"/>
            </w:pPr>
            <m:oMath>
              <m:sSub>
                <m:e>
                  <m:r>
                    <m:t>E</m:t>
                  </m:r>
                </m:e>
                <m:sub>
                  <m:r>
                    <m:t>g</m:t>
                  </m:r>
                </m:sub>
              </m:sSub>
            </m:oMath>
          </w:p>
        </w:tc>
        <w:tc>
          <w:tcPr/>
          <w:p>
            <w:pPr>
              <w:pStyle w:val="Compact"/>
              <w:jc w:val="left"/>
            </w:pPr>
            <w:r>
              <w:t xml:space="preserve">Voc</w:t>
            </w:r>
          </w:p>
        </w:tc>
        <w:tc>
          <w:tcPr/>
          <w:p>
            <w:pPr>
              <w:pStyle w:val="Compact"/>
              <w:jc w:val="left"/>
            </w:pPr>
            <w:r>
              <w:t xml:space="preserve">Jsc</w:t>
            </w:r>
          </w:p>
        </w:tc>
        <w:tc>
          <w:tcPr/>
          <w:p>
            <w:pPr>
              <w:pStyle w:val="Compact"/>
              <w:jc w:val="left"/>
            </w:pPr>
            <w:r>
              <w:t xml:space="preserve">PCE</w:t>
            </w:r>
          </w:p>
        </w:tc>
      </w:tr>
      <w:tr>
        <w:tc>
          <w:tcPr/>
          <w:p>
            <w:pPr>
              <w:pStyle w:val="Compact"/>
              <w:jc w:val="left"/>
            </w:pPr>
            <w:r>
              <w:t xml:space="preserve">2.0</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1.233</w:t>
            </w:r>
          </w:p>
        </w:tc>
        <w:tc>
          <w:tcPr/>
          <w:p>
            <w:pPr>
              <w:pStyle w:val="Compact"/>
              <w:jc w:val="left"/>
            </w:pPr>
            <w:r>
              <w:t xml:space="preserve">21.18</w:t>
            </w:r>
          </w:p>
        </w:tc>
        <w:tc>
          <w:tcPr/>
          <w:p>
            <w:pPr>
              <w:pStyle w:val="Compact"/>
              <w:jc w:val="left"/>
            </w:pPr>
            <w:r>
              <w:t xml:space="preserve">23.47</w:t>
            </w:r>
          </w:p>
        </w:tc>
      </w:tr>
      <w:tr>
        <w:tc>
          <w:tcPr/>
          <w:p>
            <w:pPr>
              <w:pStyle w:val="Compact"/>
              <w:jc w:val="left"/>
            </w:pPr>
            <w:r>
              <w:t xml:space="preserve">1.8</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1.233</w:t>
            </w:r>
          </w:p>
        </w:tc>
        <w:tc>
          <w:tcPr/>
          <w:p>
            <w:pPr>
              <w:pStyle w:val="Compact"/>
              <w:jc w:val="left"/>
            </w:pPr>
            <w:r>
              <w:t xml:space="preserve">21.16</w:t>
            </w:r>
          </w:p>
        </w:tc>
        <w:tc>
          <w:tcPr/>
          <w:p>
            <w:pPr>
              <w:pStyle w:val="Compact"/>
              <w:jc w:val="left"/>
            </w:pPr>
            <w:r>
              <w:t xml:space="preserve">23.45</w:t>
            </w:r>
          </w:p>
        </w:tc>
      </w:tr>
      <w:tr>
        <w:tc>
          <w:tcPr/>
          <w:p>
            <w:pPr>
              <w:pStyle w:val="Compact"/>
              <w:jc w:val="left"/>
            </w:pPr>
            <w:r>
              <w:t xml:space="preserve">1.5</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1.234</w:t>
            </w:r>
          </w:p>
        </w:tc>
        <w:tc>
          <w:tcPr/>
          <w:p>
            <w:pPr>
              <w:pStyle w:val="Compact"/>
              <w:jc w:val="left"/>
            </w:pPr>
            <w:r>
              <w:t xml:space="preserve">21.11</w:t>
            </w:r>
          </w:p>
        </w:tc>
        <w:tc>
          <w:tcPr/>
          <w:p>
            <w:pPr>
              <w:pStyle w:val="Compact"/>
              <w:jc w:val="left"/>
            </w:pPr>
            <w:r>
              <w:t xml:space="preserve">23.40</w:t>
            </w:r>
          </w:p>
        </w:tc>
      </w:tr>
      <w:tr>
        <w:tc>
          <w:tcPr/>
          <w:p>
            <w:pPr>
              <w:pStyle w:val="Compact"/>
              <w:jc w:val="left"/>
            </w:pPr>
            <w:r>
              <w:t xml:space="preserve">1.5</w:t>
            </w:r>
          </w:p>
        </w:tc>
        <w:tc>
          <w:tcPr/>
          <w:p>
            <w:pPr>
              <w:pStyle w:val="Compact"/>
              <w:jc w:val="left"/>
            </w:pPr>
            <w:r>
              <w:t xml:space="preserve">1e15</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1.233</w:t>
            </w:r>
          </w:p>
        </w:tc>
        <w:tc>
          <w:tcPr/>
          <w:p>
            <w:pPr>
              <w:pStyle w:val="Compact"/>
              <w:jc w:val="left"/>
            </w:pPr>
            <w:r>
              <w:t xml:space="preserve">21.11</w:t>
            </w:r>
          </w:p>
        </w:tc>
        <w:tc>
          <w:tcPr/>
          <w:p>
            <w:pPr>
              <w:pStyle w:val="Compact"/>
              <w:jc w:val="left"/>
            </w:pPr>
            <w:r>
              <w:t xml:space="preserve">23.29</w:t>
            </w:r>
          </w:p>
        </w:tc>
      </w:tr>
      <w:tr>
        <w:tc>
          <w:tcPr/>
          <w:p>
            <w:pPr>
              <w:pStyle w:val="Compact"/>
              <w:jc w:val="left"/>
            </w:pPr>
            <w:r>
              <w:t xml:space="preserve">2.0</w:t>
            </w:r>
          </w:p>
        </w:tc>
        <w:tc>
          <w:tcPr/>
          <w:p>
            <w:pPr>
              <w:pStyle w:val="Compact"/>
              <w:jc w:val="left"/>
            </w:pPr>
            <w:r>
              <w:t xml:space="preserve">1e15</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1.233</w:t>
            </w:r>
          </w:p>
        </w:tc>
        <w:tc>
          <w:tcPr/>
          <w:p>
            <w:pPr>
              <w:pStyle w:val="Compact"/>
              <w:jc w:val="left"/>
            </w:pPr>
            <w:r>
              <w:t xml:space="preserve">21.18</w:t>
            </w:r>
          </w:p>
        </w:tc>
        <w:tc>
          <w:tcPr/>
          <w:p>
            <w:pPr>
              <w:pStyle w:val="Compact"/>
              <w:jc w:val="left"/>
            </w:pPr>
            <w:r>
              <w:t xml:space="preserve">23.29</w:t>
            </w:r>
          </w:p>
        </w:tc>
      </w:tr>
      <w:tr>
        <w:tc>
          <w:tcPr/>
          <w:p>
            <w:pPr>
              <w:pStyle w:val="Compact"/>
              <w:jc w:val="left"/>
            </w:pPr>
            <w:r>
              <w:t xml:space="preserve">1.0</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1.234</w:t>
            </w:r>
          </w:p>
        </w:tc>
        <w:tc>
          <w:tcPr/>
          <w:p>
            <w:pPr>
              <w:pStyle w:val="Compact"/>
              <w:jc w:val="left"/>
            </w:pPr>
            <w:r>
              <w:t xml:space="preserve">20.90</w:t>
            </w:r>
          </w:p>
        </w:tc>
        <w:tc>
          <w:tcPr/>
          <w:p>
            <w:pPr>
              <w:pStyle w:val="Compact"/>
              <w:jc w:val="left"/>
            </w:pPr>
            <w:r>
              <w:t xml:space="preserve">23.18</w:t>
            </w:r>
          </w:p>
        </w:tc>
      </w:tr>
      <w:tr>
        <w:tc>
          <w:tcPr/>
          <w:p>
            <w:pPr>
              <w:pStyle w:val="Compact"/>
              <w:jc w:val="left"/>
            </w:pPr>
            <w:r>
              <w:t xml:space="preserve">1.0</w:t>
            </w:r>
          </w:p>
        </w:tc>
        <w:tc>
          <w:tcPr/>
          <w:p>
            <w:pPr>
              <w:pStyle w:val="Compact"/>
              <w:jc w:val="left"/>
            </w:pPr>
            <w:r>
              <w:t xml:space="preserve">1e15</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1.233</w:t>
            </w:r>
          </w:p>
        </w:tc>
        <w:tc>
          <w:tcPr/>
          <w:p>
            <w:pPr>
              <w:pStyle w:val="Compact"/>
              <w:jc w:val="left"/>
            </w:pPr>
            <w:r>
              <w:t xml:space="preserve">20.90</w:t>
            </w:r>
          </w:p>
        </w:tc>
        <w:tc>
          <w:tcPr/>
          <w:p>
            <w:pPr>
              <w:pStyle w:val="Compact"/>
              <w:jc w:val="left"/>
            </w:pPr>
            <w:r>
              <w:t xml:space="preserve">23.11</w:t>
            </w:r>
          </w:p>
        </w:tc>
      </w:tr>
      <w:tr>
        <w:tc>
          <w:tcPr/>
          <w:p>
            <w:pPr>
              <w:pStyle w:val="Compact"/>
              <w:jc w:val="left"/>
            </w:pPr>
            <w:r>
              <w:t xml:space="preserve">1.8</w:t>
            </w:r>
          </w:p>
        </w:tc>
        <w:tc>
          <w:tcPr/>
          <w:p>
            <w:pPr>
              <w:pStyle w:val="Compact"/>
              <w:jc w:val="left"/>
            </w:pPr>
            <w:r>
              <w:t xml:space="preserve">1e16</w:t>
            </w:r>
          </w:p>
        </w:tc>
        <w:tc>
          <w:tcPr/>
          <w:p>
            <w:pPr>
              <w:pStyle w:val="Compact"/>
              <w:jc w:val="left"/>
            </w:pPr>
            <w:r>
              <w:t xml:space="preserve">1e13</w:t>
            </w:r>
          </w:p>
        </w:tc>
        <w:tc>
          <w:tcPr/>
          <w:p>
            <w:pPr>
              <w:pStyle w:val="Compact"/>
              <w:jc w:val="left"/>
            </w:pPr>
            <w:r>
              <w:t xml:space="preserve">1.65</w:t>
            </w:r>
          </w:p>
        </w:tc>
        <w:tc>
          <w:tcPr/>
          <w:p>
            <w:pPr>
              <w:pStyle w:val="Compact"/>
              <w:jc w:val="left"/>
            </w:pPr>
            <w:r>
              <w:t xml:space="preserve">1.221</w:t>
            </w:r>
          </w:p>
        </w:tc>
        <w:tc>
          <w:tcPr/>
          <w:p>
            <w:pPr>
              <w:pStyle w:val="Compact"/>
              <w:jc w:val="left"/>
            </w:pPr>
            <w:r>
              <w:t xml:space="preserve">21.16</w:t>
            </w:r>
          </w:p>
        </w:tc>
        <w:tc>
          <w:tcPr/>
          <w:p>
            <w:pPr>
              <w:pStyle w:val="Compact"/>
              <w:jc w:val="left"/>
            </w:pPr>
            <w:r>
              <w:t xml:space="preserve">23.04</w:t>
            </w:r>
          </w:p>
        </w:tc>
      </w:tr>
      <w:tr>
        <w:tc>
          <w:tcPr/>
          <w:p>
            <w:pPr>
              <w:pStyle w:val="Compact"/>
              <w:jc w:val="left"/>
            </w:pPr>
            <w:r>
              <w:t xml:space="preserve">2.0</w:t>
            </w:r>
          </w:p>
        </w:tc>
        <w:tc>
          <w:tcPr/>
          <w:p>
            <w:pPr>
              <w:pStyle w:val="Compact"/>
              <w:jc w:val="left"/>
            </w:pPr>
            <w:r>
              <w:t xml:space="preserve">1e16</w:t>
            </w:r>
          </w:p>
        </w:tc>
        <w:tc>
          <w:tcPr/>
          <w:p>
            <w:pPr>
              <w:pStyle w:val="Compact"/>
              <w:jc w:val="left"/>
            </w:pPr>
            <w:r>
              <w:t xml:space="preserve">1e13</w:t>
            </w:r>
          </w:p>
        </w:tc>
        <w:tc>
          <w:tcPr/>
          <w:p>
            <w:pPr>
              <w:pStyle w:val="Compact"/>
              <w:jc w:val="left"/>
            </w:pPr>
            <w:r>
              <w:t xml:space="preserve">1.65</w:t>
            </w:r>
          </w:p>
        </w:tc>
        <w:tc>
          <w:tcPr/>
          <w:p>
            <w:pPr>
              <w:pStyle w:val="Compact"/>
              <w:jc w:val="left"/>
            </w:pPr>
            <w:r>
              <w:t xml:space="preserve">1.219</w:t>
            </w:r>
          </w:p>
        </w:tc>
        <w:tc>
          <w:tcPr/>
          <w:p>
            <w:pPr>
              <w:pStyle w:val="Compact"/>
              <w:jc w:val="left"/>
            </w:pPr>
            <w:r>
              <w:t xml:space="preserve">21.18</w:t>
            </w:r>
          </w:p>
        </w:tc>
        <w:tc>
          <w:tcPr/>
          <w:p>
            <w:pPr>
              <w:pStyle w:val="Compact"/>
              <w:jc w:val="left"/>
            </w:pPr>
            <w:r>
              <w:t xml:space="preserve">23.03</w:t>
            </w:r>
          </w:p>
        </w:tc>
      </w:tr>
      <w:tr>
        <w:tc>
          <w:tcPr/>
          <w:p>
            <w:pPr>
              <w:pStyle w:val="Compact"/>
              <w:jc w:val="left"/>
            </w:pPr>
            <w:r>
              <w:t xml:space="preserve">1.5</w:t>
            </w:r>
          </w:p>
        </w:tc>
        <w:tc>
          <w:tcPr/>
          <w:p>
            <w:pPr>
              <w:pStyle w:val="Compact"/>
              <w:jc w:val="left"/>
            </w:pPr>
            <w:r>
              <w:t xml:space="preserve">1e16</w:t>
            </w:r>
          </w:p>
        </w:tc>
        <w:tc>
          <w:tcPr/>
          <w:p>
            <w:pPr>
              <w:pStyle w:val="Compact"/>
              <w:jc w:val="left"/>
            </w:pPr>
            <w:r>
              <w:t xml:space="preserve">1e13</w:t>
            </w:r>
          </w:p>
        </w:tc>
        <w:tc>
          <w:tcPr/>
          <w:p>
            <w:pPr>
              <w:pStyle w:val="Compact"/>
              <w:jc w:val="left"/>
            </w:pPr>
            <w:r>
              <w:t xml:space="preserve">1.65</w:t>
            </w:r>
          </w:p>
        </w:tc>
        <w:tc>
          <w:tcPr/>
          <w:p>
            <w:pPr>
              <w:pStyle w:val="Compact"/>
              <w:jc w:val="left"/>
            </w:pPr>
            <w:r>
              <w:t xml:space="preserve">1.223</w:t>
            </w:r>
          </w:p>
        </w:tc>
        <w:tc>
          <w:tcPr/>
          <w:p>
            <w:pPr>
              <w:pStyle w:val="Compact"/>
              <w:jc w:val="left"/>
            </w:pPr>
            <w:r>
              <w:t xml:space="preserve">21.11</w:t>
            </w:r>
          </w:p>
        </w:tc>
        <w:tc>
          <w:tcPr/>
          <w:p>
            <w:pPr>
              <w:pStyle w:val="Compact"/>
              <w:jc w:val="left"/>
            </w:pPr>
            <w:r>
              <w:t xml:space="preserve">23.03</w:t>
            </w:r>
          </w:p>
        </w:tc>
      </w:tr>
    </w:tbl>
    <w:bookmarkEnd w:id="24"/>
    <w:bookmarkStart w:id="25" w:name="tab:top10b"/>
    <w:p>
      <w:pPr>
        <w:pStyle w:val="TableCaption"/>
      </w:pPr>
      <w:r>
        <w:t xml:space="preserve">Round B leaderboard (best ten of 36;</w:t>
      </w:r>
      <w:r>
        <w:t xml:space="preserve"> </w:t>
      </w:r>
      <m:oMath>
        <m:sSub>
          <m:e>
            <m:r>
              <m:t>N</m:t>
            </m:r>
          </m:e>
          <m:sub>
            <m:r>
              <m:t>D</m:t>
            </m:r>
            <m:r>
              <m:rPr>
                <m:sty m:val="p"/>
              </m:rPr>
              <m:t>,</m:t>
            </m:r>
            <m:r>
              <m:rPr>
                <m:sty m:val="p"/>
              </m:rPr>
              <m:t>E</m:t>
            </m:r>
            <m:r>
              <m:rPr>
                <m:sty m:val="p"/>
              </m:rPr>
              <m:t>T</m:t>
            </m:r>
            <m:r>
              <m:rPr>
                <m:sty m:val="p"/>
              </m:rPr>
              <m:t>L</m:t>
            </m:r>
          </m:sub>
        </m:sSub>
        <m:r>
          <m:rPr>
            <m:sty m:val="p"/>
          </m:rPr>
          <m:t>=</m:t>
        </m:r>
        <m:r>
          <m:t>9</m:t>
        </m:r>
        <m:r>
          <m:rPr>
            <m:sty m:val="p"/>
          </m:rPr>
          <m:t>×</m:t>
        </m:r>
        <m:sSup>
          <m:e>
            <m:r>
              <m:t>10</m:t>
            </m:r>
          </m:e>
          <m:sup>
            <m:r>
              <m:t>17</m:t>
            </m:r>
          </m:sup>
        </m:sSup>
      </m:oMath>
      <w:r>
        <w:t xml:space="preserve"> cm</w:t>
      </w:r>
      <m:oMath>
        <m:sSup>
          <m:e>
            <m:r>
              <m:t>​</m:t>
            </m:r>
          </m:e>
          <m:sup>
            <m:r>
              <m:rPr>
                <m:sty m:val="p"/>
              </m:rPr>
              <m:t>−</m:t>
            </m:r>
            <m:r>
              <m:t>3</m:t>
            </m:r>
          </m:sup>
        </m:sSup>
      </m:oMath>
      <w:r>
        <w:t xml:space="preserve">).</w:t>
      </w:r>
    </w:p>
    <w:tbl>
      <w:tblPr>
        <w:tblStyle w:val="Table"/>
        <w:tblW w:type="auto" w:w="0"/>
        <w:tblLook w:firstRow="1" w:lastRow="0" w:firstColumn="0" w:lastColumn="0" w:noHBand="0" w:noVBand="0" w:val="0020"/>
        <w:tblCaption w:val="Round B leaderboard (best ten of 36; N_{D,\mathrm{ETL}}=9\times10^{17} cm^{-3})."/>
      </w:tblPr>
      <w:tblGrid>
        <w:gridCol w:w="1584"/>
        <w:gridCol w:w="1584"/>
        <w:gridCol w:w="1584"/>
        <w:gridCol w:w="1584"/>
        <w:gridCol w:w="1584"/>
      </w:tblGrid>
      <w:tr>
        <w:trPr>
          <w:tblHeader w:val="on"/>
        </w:trPr>
        <w:tc>
          <w:tcPr/>
          <w:p>
            <w:pPr>
              <w:pStyle w:val="Compact"/>
              <w:jc w:val="left"/>
            </w:pPr>
            <m:oMath>
              <m:r>
                <m:t>d</m:t>
              </m:r>
            </m:oMath>
            <w:r>
              <w:t xml:space="preserve"> </w:t>
            </w:r>
            <w:r>
              <w:t xml:space="preserve">(</w:t>
            </w:r>
            <m:oMath>
              <m:r>
                <m:t>μ</m:t>
              </m:r>
            </m:oMath>
            <w:r>
              <w:t xml:space="preserve">m)</w:t>
            </w:r>
          </w:p>
        </w:tc>
        <w:tc>
          <w:tcPr/>
          <w:p>
            <w:pPr>
              <w:pStyle w:val="Compact"/>
              <w:jc w:val="left"/>
            </w:pPr>
            <m:oMath>
              <m:sSub>
                <m:e>
                  <m:r>
                    <m:t>N</m:t>
                  </m:r>
                </m:e>
                <m:sub>
                  <m:r>
                    <m:t>A</m:t>
                  </m:r>
                </m:sub>
              </m:sSub>
            </m:oMath>
          </w:p>
        </w:tc>
        <w:tc>
          <w:tcPr/>
          <w:p>
            <w:pPr>
              <w:pStyle w:val="Compact"/>
              <w:jc w:val="left"/>
            </w:pPr>
            <m:oMath>
              <m:sSub>
                <m:e>
                  <m:r>
                    <m:t>N</m:t>
                  </m:r>
                </m:e>
                <m:sub>
                  <m:r>
                    <m:t>t</m:t>
                  </m:r>
                </m:sub>
              </m:sSub>
            </m:oMath>
          </w:p>
        </w:tc>
        <w:tc>
          <w:tcPr/>
          <w:p>
            <w:pPr>
              <w:pStyle w:val="Compact"/>
              <w:jc w:val="left"/>
            </w:pPr>
            <m:oMath>
              <m:sSub>
                <m:e>
                  <m:r>
                    <m:t>E</m:t>
                  </m:r>
                </m:e>
                <m:sub>
                  <m:r>
                    <m:t>g</m:t>
                  </m:r>
                </m:sub>
              </m:sSub>
            </m:oMath>
          </w:p>
        </w:tc>
        <w:tc>
          <w:tcPr/>
          <w:p>
            <w:pPr>
              <w:pStyle w:val="Compact"/>
              <w:jc w:val="left"/>
            </w:pPr>
            <w:r>
              <w:t xml:space="preserve">PCE</w:t>
            </w:r>
          </w:p>
        </w:tc>
      </w:tr>
      <w:tr>
        <w:tc>
          <w:tcPr/>
          <w:p>
            <w:pPr>
              <w:pStyle w:val="Compact"/>
              <w:jc w:val="left"/>
            </w:pPr>
            <w:r>
              <w:t xml:space="preserve">2.2</w:t>
            </w:r>
          </w:p>
        </w:tc>
        <w:tc>
          <w:tcPr/>
          <w:p>
            <w:pPr>
              <w:pStyle w:val="Compact"/>
              <w:jc w:val="left"/>
            </w:pPr>
            <w:r>
              <w:t xml:space="preserve">3e16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23.50</w:t>
            </w:r>
          </w:p>
        </w:tc>
      </w:tr>
      <w:tr>
        <w:tc>
          <w:tcPr/>
          <w:p>
            <w:pPr>
              <w:pStyle w:val="Compact"/>
              <w:jc w:val="left"/>
            </w:pPr>
            <w:r>
              <w:t xml:space="preserve">2.0</w:t>
            </w:r>
          </w:p>
        </w:tc>
        <w:tc>
          <w:tcPr/>
          <w:p>
            <w:pPr>
              <w:pStyle w:val="Compact"/>
              <w:jc w:val="left"/>
            </w:pPr>
            <w:r>
              <w:t xml:space="preserve">3e16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23.49</w:t>
            </w:r>
          </w:p>
        </w:tc>
      </w:tr>
      <w:tr>
        <w:tc>
          <w:tcPr/>
          <w:p>
            <w:pPr>
              <w:pStyle w:val="Compact"/>
              <w:jc w:val="left"/>
            </w:pPr>
            <w:r>
              <w:t xml:space="preserve">2.2</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23.48</w:t>
            </w:r>
          </w:p>
        </w:tc>
      </w:tr>
      <w:tr>
        <w:tc>
          <w:tcPr/>
          <w:p>
            <w:pPr>
              <w:pStyle w:val="Compact"/>
              <w:jc w:val="left"/>
            </w:pPr>
            <w:r>
              <w:t xml:space="preserve">2.0</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23.47</w:t>
            </w:r>
          </w:p>
        </w:tc>
      </w:tr>
      <w:tr>
        <w:tc>
          <w:tcPr/>
          <w:p>
            <w:pPr>
              <w:pStyle w:val="Compact"/>
              <w:jc w:val="left"/>
            </w:pPr>
            <w:r>
              <w:t xml:space="preserve">1.8</w:t>
            </w:r>
          </w:p>
        </w:tc>
        <w:tc>
          <w:tcPr/>
          <w:p>
            <w:pPr>
              <w:pStyle w:val="Compact"/>
              <w:jc w:val="left"/>
            </w:pPr>
            <w:r>
              <w:t xml:space="preserve">3e16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23.47</w:t>
            </w:r>
          </w:p>
        </w:tc>
      </w:tr>
      <w:tr>
        <w:tc>
          <w:tcPr/>
          <w:p>
            <w:pPr>
              <w:pStyle w:val="Compact"/>
              <w:jc w:val="left"/>
            </w:pPr>
            <w:r>
              <w:t xml:space="preserve">2.2</w:t>
            </w:r>
          </w:p>
        </w:tc>
        <w:tc>
          <w:tcPr/>
          <w:p>
            <w:pPr>
              <w:pStyle w:val="Compact"/>
              <w:jc w:val="left"/>
            </w:pPr>
            <w:r>
              <w:t xml:space="preserve">3e16</w:t>
            </w:r>
          </w:p>
        </w:tc>
        <w:tc>
          <w:tcPr/>
          <w:p>
            <w:pPr>
              <w:pStyle w:val="Compact"/>
              <w:jc w:val="left"/>
            </w:pPr>
            <w:r>
              <w:t xml:space="preserve">3e12</w:t>
            </w:r>
          </w:p>
        </w:tc>
        <w:tc>
          <w:tcPr/>
          <w:p>
            <w:pPr>
              <w:pStyle w:val="Compact"/>
              <w:jc w:val="left"/>
            </w:pPr>
            <w:r>
              <w:t xml:space="preserve">1.65</w:t>
            </w:r>
          </w:p>
        </w:tc>
        <w:tc>
          <w:tcPr/>
          <w:p>
            <w:pPr>
              <w:pStyle w:val="Compact"/>
              <w:jc w:val="left"/>
            </w:pPr>
            <w:r>
              <w:t xml:space="preserve">23.45</w:t>
            </w:r>
          </w:p>
        </w:tc>
      </w:tr>
      <w:tr>
        <w:tc>
          <w:tcPr/>
          <w:p>
            <w:pPr>
              <w:pStyle w:val="Compact"/>
              <w:jc w:val="left"/>
            </w:pPr>
            <w:r>
              <w:t xml:space="preserve">1.8</w:t>
            </w:r>
          </w:p>
        </w:tc>
        <w:tc>
          <w:tcPr/>
          <w:p>
            <w:pPr>
              <w:pStyle w:val="Compact"/>
              <w:jc w:val="left"/>
            </w:pPr>
            <w:r>
              <w:t xml:space="preserve">1e16</w:t>
            </w:r>
          </w:p>
        </w:tc>
        <w:tc>
          <w:tcPr/>
          <w:p>
            <w:pPr>
              <w:pStyle w:val="Compact"/>
              <w:jc w:val="left"/>
            </w:pPr>
            <w:r>
              <w:t xml:space="preserve">1e12</w:t>
            </w:r>
          </w:p>
        </w:tc>
        <w:tc>
          <w:tcPr/>
          <w:p>
            <w:pPr>
              <w:pStyle w:val="Compact"/>
              <w:jc w:val="left"/>
            </w:pPr>
            <w:r>
              <w:t xml:space="preserve">1.65</w:t>
            </w:r>
          </w:p>
        </w:tc>
        <w:tc>
          <w:tcPr/>
          <w:p>
            <w:pPr>
              <w:pStyle w:val="Compact"/>
              <w:jc w:val="left"/>
            </w:pPr>
            <w:r>
              <w:t xml:space="preserve">23.45</w:t>
            </w:r>
          </w:p>
        </w:tc>
      </w:tr>
      <w:tr>
        <w:tc>
          <w:tcPr/>
          <w:p>
            <w:pPr>
              <w:pStyle w:val="Compact"/>
              <w:jc w:val="left"/>
            </w:pPr>
            <w:r>
              <w:t xml:space="preserve">2.0</w:t>
            </w:r>
          </w:p>
        </w:tc>
        <w:tc>
          <w:tcPr/>
          <w:p>
            <w:pPr>
              <w:pStyle w:val="Compact"/>
              <w:jc w:val="left"/>
            </w:pPr>
            <w:r>
              <w:t xml:space="preserve">3e16</w:t>
            </w:r>
          </w:p>
        </w:tc>
        <w:tc>
          <w:tcPr/>
          <w:p>
            <w:pPr>
              <w:pStyle w:val="Compact"/>
              <w:jc w:val="left"/>
            </w:pPr>
            <w:r>
              <w:t xml:space="preserve">3e12</w:t>
            </w:r>
          </w:p>
        </w:tc>
        <w:tc>
          <w:tcPr/>
          <w:p>
            <w:pPr>
              <w:pStyle w:val="Compact"/>
              <w:jc w:val="left"/>
            </w:pPr>
            <w:r>
              <w:t xml:space="preserve">1.65</w:t>
            </w:r>
          </w:p>
        </w:tc>
        <w:tc>
          <w:tcPr/>
          <w:p>
            <w:pPr>
              <w:pStyle w:val="Compact"/>
              <w:jc w:val="left"/>
            </w:pPr>
            <w:r>
              <w:t xml:space="preserve">23.44</w:t>
            </w:r>
          </w:p>
        </w:tc>
      </w:tr>
      <w:tr>
        <w:tc>
          <w:tcPr/>
          <w:p>
            <w:pPr>
              <w:pStyle w:val="Compact"/>
              <w:jc w:val="left"/>
            </w:pPr>
            <w:r>
              <w:t xml:space="preserve">1.8</w:t>
            </w:r>
          </w:p>
        </w:tc>
        <w:tc>
          <w:tcPr/>
          <w:p>
            <w:pPr>
              <w:pStyle w:val="Compact"/>
              <w:jc w:val="left"/>
            </w:pPr>
            <w:r>
              <w:t xml:space="preserve">3e16</w:t>
            </w:r>
          </w:p>
        </w:tc>
        <w:tc>
          <w:tcPr/>
          <w:p>
            <w:pPr>
              <w:pStyle w:val="Compact"/>
              <w:jc w:val="left"/>
            </w:pPr>
            <w:r>
              <w:t xml:space="preserve">3e12</w:t>
            </w:r>
          </w:p>
        </w:tc>
        <w:tc>
          <w:tcPr/>
          <w:p>
            <w:pPr>
              <w:pStyle w:val="Compact"/>
              <w:jc w:val="left"/>
            </w:pPr>
            <w:r>
              <w:t xml:space="preserve">1.65</w:t>
            </w:r>
          </w:p>
        </w:tc>
        <w:tc>
          <w:tcPr/>
          <w:p>
            <w:pPr>
              <w:pStyle w:val="Compact"/>
              <w:jc w:val="left"/>
            </w:pPr>
            <w:r>
              <w:t xml:space="preserve">23.42</w:t>
            </w:r>
          </w:p>
        </w:tc>
      </w:tr>
      <w:tr>
        <w:tc>
          <w:tcPr/>
          <w:p>
            <w:pPr>
              <w:pStyle w:val="Compact"/>
              <w:jc w:val="left"/>
            </w:pPr>
            <w:r>
              <w:t xml:space="preserve">2.2</w:t>
            </w:r>
          </w:p>
        </w:tc>
        <w:tc>
          <w:tcPr/>
          <w:p>
            <w:pPr>
              <w:pStyle w:val="Compact"/>
              <w:jc w:val="left"/>
            </w:pPr>
            <w:r>
              <w:t xml:space="preserve">1e16</w:t>
            </w:r>
          </w:p>
        </w:tc>
        <w:tc>
          <w:tcPr/>
          <w:p>
            <w:pPr>
              <w:pStyle w:val="Compact"/>
              <w:jc w:val="left"/>
            </w:pPr>
            <w:r>
              <w:t xml:space="preserve">3e12</w:t>
            </w:r>
          </w:p>
        </w:tc>
        <w:tc>
          <w:tcPr/>
          <w:p>
            <w:pPr>
              <w:pStyle w:val="Compact"/>
              <w:jc w:val="left"/>
            </w:pPr>
            <w:r>
              <w:t xml:space="preserve">1.65</w:t>
            </w:r>
          </w:p>
        </w:tc>
        <w:tc>
          <w:tcPr/>
          <w:p>
            <w:pPr>
              <w:pStyle w:val="Compact"/>
              <w:jc w:val="left"/>
            </w:pPr>
            <w:r>
              <w:t xml:space="preserve">23.32</w:t>
            </w:r>
          </w:p>
        </w:tc>
      </w:tr>
    </w:tbl>
    <w:bookmarkEnd w:id="25"/>
    <w:bookmarkStart w:id="29" w:name="fig:contour"/>
    <w:p>
      <w:pPr>
        <w:pStyle w:val="CaptionedFigure"/>
      </w:pPr>
      <w:r>
        <w:drawing>
          <wp:inline>
            <wp:extent cx="4267200" cy="3200400"/>
            <wp:effectExtent b="0" l="0" r="0" t="0"/>
            <wp:docPr descr="" title="" id="27" name="Picture"/>
            <a:graphic>
              <a:graphicData uri="http://schemas.openxmlformats.org/drawingml/2006/picture">
                <pic:pic>
                  <pic:nvPicPr>
                    <pic:cNvPr descr="/home/touhid/Documents/leadpaper/outputs/figs/fig_contour.png" id="28" name="Picture"/>
                    <pic:cNvPicPr>
                      <a:picLocks noChangeArrowheads="1" noChangeAspect="1"/>
                    </pic:cNvPicPr>
                  </pic:nvPicPr>
                  <pic:blipFill>
                    <a:blip r:embed="rId26"/>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Efficiency map over absorber thickness and bulk defect density (slice at</w:t>
      </w:r>
      <w:r>
        <w:t xml:space="preserve"> </w:t>
      </w:r>
      <m:oMath>
        <m:sSub>
          <m:e>
            <m:r>
              <m:t>N</m:t>
            </m:r>
          </m:e>
          <m:sub>
            <m:r>
              <m:t>A</m:t>
            </m:r>
          </m:sub>
        </m:sSub>
        <m:r>
          <m:rPr>
            <m:sty m:val="p"/>
          </m:rPr>
          <m:t>=</m:t>
        </m:r>
        <m:sSup>
          <m:e>
            <m:r>
              <m:t>10</m:t>
            </m:r>
          </m:e>
          <m:sup>
            <m:r>
              <m:t>16</m:t>
            </m:r>
          </m:sup>
        </m:sSup>
      </m:oMath>
      <w:r>
        <w:t xml:space="preserve"> cm</w:t>
      </w:r>
      <m:oMath>
        <m:sSup>
          <m:e>
            <m:r>
              <m:t>​</m:t>
            </m:r>
          </m:e>
          <m:sup>
            <m:r>
              <m:rPr>
                <m:sty m:val="p"/>
              </m:rPr>
              <m:t>−</m:t>
            </m:r>
            <m:r>
              <m:t>3</m:t>
            </m:r>
          </m:sup>
        </m:sSup>
      </m:oMath>
      <w:r>
        <w:t xml:space="preserve">,</w:t>
      </w:r>
      <w:r>
        <w:t xml:space="preserve"> </w:t>
      </w:r>
      <m:oMath>
        <m:sSub>
          <m:e>
            <m:r>
              <m:t>E</m:t>
            </m:r>
          </m:e>
          <m:sub>
            <m:r>
              <m:t>g</m:t>
            </m:r>
          </m:sub>
        </m:sSub>
        <m:r>
          <m:rPr>
            <m:sty m:val="p"/>
          </m:rPr>
          <m:t>=</m:t>
        </m:r>
        <m:r>
          <m:t>1.65</m:t>
        </m:r>
      </m:oMath>
      <w:r>
        <w:t xml:space="preserve"> eV).</w:t>
      </w:r>
    </w:p>
    <w:bookmarkEnd w:id="29"/>
    <w:bookmarkEnd w:id="30"/>
    <w:bookmarkStart w:id="35" w:name="band-alignment"/>
    <w:p>
      <w:pPr>
        <w:pStyle w:val="Heading1"/>
      </w:pPr>
      <w:r>
        <w:t xml:space="preserve">Band alignment</w:t>
      </w:r>
    </w:p>
    <w:p>
      <w:pPr>
        <w:pStyle w:val="FirstParagraph"/>
      </w:pPr>
      <w:r>
        <w:t xml:space="preserve">Figure </w:t>
      </w:r>
      <w:hyperlink w:anchor="fig:align">
        <w:r>
          <w:rPr>
            <w:rStyle w:val="Hyperlink"/>
          </w:rPr>
          <w:t xml:space="preserve">4</w:t>
        </w:r>
      </w:hyperlink>
      <w:r>
        <w:t xml:space="preserve"> </w:t>
      </w:r>
      <w:r>
        <w:t xml:space="preserve">constructs the equilibrium alignment from the joint-optimum parameters. The absorber conduction edge (</w:t>
      </w:r>
      <m:oMath>
        <m:r>
          <m:rPr>
            <m:sty m:val="p"/>
          </m:rPr>
          <m:t>−</m:t>
        </m:r>
        <m:r>
          <m:t>3.928</m:t>
        </m:r>
      </m:oMath>
      <w:r>
        <w:t xml:space="preserve"> eV) lies 0.23 eV</w:t>
      </w:r>
      <w:r>
        <w:t xml:space="preserve"> </w:t>
      </w:r>
      <w:r>
        <w:rPr>
          <w:i/>
          <w:iCs/>
        </w:rPr>
        <w:t xml:space="preserve">below</w:t>
      </w:r>
      <w:r>
        <w:t xml:space="preserve"> </w:t>
      </w:r>
      <w:r>
        <w:t xml:space="preserve">the TiO2 edge (</w:t>
      </w:r>
      <m:oMath>
        <m:r>
          <m:rPr>
            <m:sty m:val="p"/>
          </m:rPr>
          <m:t>−</m:t>
        </m:r>
        <m:r>
          <m:t>3.70</m:t>
        </m:r>
      </m:oMath>
      <w:r>
        <w:t xml:space="preserve"> eV), so electrons face a spike entering the ETL. The data support reading this as recombination physics, not transport: the interface recombination activation energy</w:t>
      </w:r>
      <w:r>
        <w:t xml:space="preserve"> </w:t>
      </w:r>
      <m:oMath>
        <m:sSub>
          <m:e>
            <m:r>
              <m:t>E</m:t>
            </m:r>
          </m:e>
          <m:sub>
            <m:r>
              <m:t>a</m:t>
            </m:r>
          </m:sub>
        </m:sSub>
        <m:r>
          <m:rPr>
            <m:sty m:val="p"/>
          </m:rPr>
          <m:t>=</m:t>
        </m:r>
        <m:sSub>
          <m:e>
            <m:r>
              <m:t>E</m:t>
            </m:r>
          </m:e>
          <m:sub>
            <m:r>
              <m:t>c</m:t>
            </m:r>
            <m:r>
              <m:rPr>
                <m:sty m:val="p"/>
              </m:rPr>
              <m:t>,</m:t>
            </m:r>
            <m:r>
              <m:rPr>
                <m:sty m:val="p"/>
              </m:rPr>
              <m:t>a</m:t>
            </m:r>
            <m:r>
              <m:rPr>
                <m:sty m:val="p"/>
              </m:rPr>
              <m:t>b</m:t>
            </m:r>
            <m:r>
              <m:rPr>
                <m:sty m:val="p"/>
              </m:rPr>
              <m:t>s</m:t>
            </m:r>
          </m:sub>
        </m:sSub>
        <m:r>
          <m:rPr>
            <m:sty m:val="p"/>
          </m:rPr>
          <m:t>−</m:t>
        </m:r>
        <m:sSub>
          <m:e>
            <m:r>
              <m:t>E</m:t>
            </m:r>
          </m:e>
          <m:sub>
            <m:r>
              <m:t>v</m:t>
            </m:r>
            <m:r>
              <m:rPr>
                <m:sty m:val="p"/>
              </m:rPr>
              <m:t>,</m:t>
            </m:r>
            <m:r>
              <m:rPr>
                <m:sty m:val="p"/>
              </m:rPr>
              <m:t>H</m:t>
            </m:r>
            <m:r>
              <m:rPr>
                <m:sty m:val="p"/>
              </m:rPr>
              <m:t>T</m:t>
            </m:r>
            <m:r>
              <m:rPr>
                <m:sty m:val="p"/>
              </m:rPr>
              <m:t>L</m:t>
            </m:r>
          </m:sub>
        </m:sSub>
      </m:oMath>
      <w:r>
        <w:t xml:space="preserve"> </w:t>
      </w:r>
      <w:r>
        <w:t xml:space="preserve">grows from 1.47 eV at</w:t>
      </w:r>
      <w:r>
        <w:t xml:space="preserve"> </w:t>
      </w:r>
      <m:oMath>
        <m:sSub>
          <m:e>
            <m:r>
              <m:t>χ</m:t>
            </m:r>
          </m:e>
          <m:sub>
            <m:r>
              <m:rPr>
                <m:sty m:val="p"/>
              </m:rPr>
              <m:t>C</m:t>
            </m:r>
            <m:r>
              <m:rPr>
                <m:sty m:val="p"/>
              </m:rPr>
              <m:t>B</m:t>
            </m:r>
            <m:r>
              <m:rPr>
                <m:sty m:val="p"/>
              </m:rPr>
              <m:t>T</m:t>
            </m:r>
            <m:r>
              <m:rPr>
                <m:sty m:val="p"/>
              </m:rPr>
              <m:t>S</m:t>
            </m:r>
          </m:sub>
        </m:sSub>
        <m:r>
          <m:rPr>
            <m:sty m:val="p"/>
          </m:rPr>
          <m:t>=</m:t>
        </m:r>
        <m:r>
          <m:t>3.5</m:t>
        </m:r>
      </m:oMath>
      <w:r>
        <w:t xml:space="preserve"> </w:t>
      </w:r>
      <w:r>
        <w:t xml:space="preserve">to 1.87 eV at 3.9 eV, and efficiency rises monotonically through zero hole-side offset (22.10% to 24.95% at</w:t>
      </w:r>
      <w:r>
        <w:t xml:space="preserve"> </w:t>
      </w:r>
      <m:oMath>
        <m:sSub>
          <m:e>
            <m:r>
              <m:t>χ</m:t>
            </m:r>
          </m:e>
          <m:sub>
            <m:r>
              <m:rPr>
                <m:sty m:val="p"/>
              </m:rPr>
              <m:t>T</m:t>
            </m:r>
            <m:r>
              <m:rPr>
                <m:sty m:val="p"/>
              </m:rPr>
              <m:t>i</m:t>
            </m:r>
            <m:r>
              <m:rPr>
                <m:sty m:val="p"/>
              </m:rPr>
              <m:t>O</m:t>
            </m:r>
            <m:r>
              <m:rPr>
                <m:sty m:val="p"/>
              </m:rPr>
              <m:t>2</m:t>
            </m:r>
          </m:sub>
        </m:sSub>
        <m:r>
          <m:rPr>
            <m:sty m:val="p"/>
          </m:rPr>
          <m:t>=</m:t>
        </m:r>
        <m:r>
          <m:t>3.7</m:t>
        </m:r>
      </m:oMath>
      <w:r>
        <w:t xml:space="preserve">; Table </w:t>
      </w:r>
      <w:hyperlink w:anchor="tab:chia">
        <w:r>
          <w:rPr>
            <w:rStyle w:val="Hyperlink"/>
          </w:rPr>
          <w:t xml:space="preserve">3</w:t>
        </w:r>
      </w:hyperlink>
      <w:r>
        <w:t xml:space="preserve">)—a transport reading predicts the barrier end should be worst, and it is the best. On the hole side, the absorber valence edge (</w:t>
      </w:r>
      <m:oMath>
        <m:r>
          <m:rPr>
            <m:sty m:val="p"/>
          </m:rPr>
          <m:t>−</m:t>
        </m:r>
        <m:r>
          <m:t>5.578</m:t>
        </m:r>
      </m:oMath>
      <w:r>
        <w:t xml:space="preserve"> eV) lies 0.22 eV</w:t>
      </w:r>
      <w:r>
        <w:t xml:space="preserve"> </w:t>
      </w:r>
      <w:r>
        <w:rPr>
          <w:i/>
          <w:iCs/>
        </w:rPr>
        <w:t xml:space="preserve">above</w:t>
      </w:r>
      <w:r>
        <w:t xml:space="preserve"> </w:t>
      </w:r>
      <w:r>
        <w:t xml:space="preserve">the CBTS edge (</w:t>
      </w:r>
      <m:oMath>
        <m:r>
          <m:rPr>
            <m:sty m:val="p"/>
          </m:rPr>
          <m:t>−</m:t>
        </m:r>
        <m:r>
          <m:t>5.80</m:t>
        </m:r>
      </m:oMath>
      <w:r>
        <w:t xml:space="preserve"> eV) at the optimum, past the ideal</w:t>
      </w:r>
      <w:r>
        <w:t xml:space="preserve"> </w:t>
      </w:r>
      <m:oMath>
        <m:r>
          <m:rPr>
            <m:sty m:val="p"/>
          </m:rPr>
          <m:t>−</m:t>
        </m:r>
        <m:r>
          <m:t>0.3</m:t>
        </m:r>
      </m:oMath>
      <w:r>
        <w:t xml:space="preserve"> </w:t>
      </w:r>
      <w:r>
        <w:t xml:space="preserve">to</w:t>
      </w:r>
      <w:r>
        <w:t xml:space="preserve"> </w:t>
      </w:r>
      <m:oMath>
        <m:r>
          <m:rPr>
            <m:sty m:val="p"/>
          </m:rPr>
          <m:t>−</m:t>
        </m:r>
        <m:r>
          <m:t>0.1</m:t>
        </m:r>
      </m:oMath>
      <w:r>
        <w:t xml:space="preserve"> eV window on the barrier side—yet efficiency peaks there, which a transport reading cannot produce. The same activation logic applies to the ETL side, which is why the spike buys rather than costs efficiency. Both optimum affinities sit outside the surveyed values (</w:t>
      </w:r>
      <m:oMath>
        <m:sSub>
          <m:e>
            <m:r>
              <m:t>χ</m:t>
            </m:r>
          </m:e>
          <m:sub>
            <m:r>
              <m:rPr>
                <m:sty m:val="p"/>
              </m:rPr>
              <m:t>T</m:t>
            </m:r>
            <m:r>
              <m:rPr>
                <m:sty m:val="p"/>
              </m:rPr>
              <m:t>i</m:t>
            </m:r>
            <m:r>
              <m:rPr>
                <m:sty m:val="p"/>
              </m:rPr>
              <m:t>O</m:t>
            </m:r>
            <m:r>
              <m:rPr>
                <m:sty m:val="p"/>
              </m:rPr>
              <m:t>2</m:t>
            </m:r>
          </m:sub>
        </m:sSub>
        <m:r>
          <m:rPr>
            <m:sty m:val="p"/>
          </m:rPr>
          <m:t>=</m:t>
        </m:r>
        <m:r>
          <m:t>3.7</m:t>
        </m:r>
      </m:oMath>
      <w:r>
        <w:t xml:space="preserve"> </w:t>
      </w:r>
      <w:r>
        <w:t xml:space="preserve">below the typical 4.0–4.2 eV;</w:t>
      </w:r>
      <w:r>
        <w:t xml:space="preserve"> </w:t>
      </w:r>
      <m:oMath>
        <m:sSub>
          <m:e>
            <m:r>
              <m:t>χ</m:t>
            </m:r>
          </m:e>
          <m:sub>
            <m:r>
              <m:rPr>
                <m:sty m:val="p"/>
              </m:rPr>
              <m:t>C</m:t>
            </m:r>
            <m:r>
              <m:rPr>
                <m:sty m:val="p"/>
              </m:rPr>
              <m:t>B</m:t>
            </m:r>
            <m:r>
              <m:rPr>
                <m:sty m:val="p"/>
              </m:rPr>
              <m:t>T</m:t>
            </m:r>
            <m:r>
              <m:rPr>
                <m:sty m:val="p"/>
              </m:rPr>
              <m:t>S</m:t>
            </m:r>
          </m:sub>
        </m:sSub>
        <m:r>
          <m:rPr>
            <m:sty m:val="p"/>
          </m:rPr>
          <m:t>=</m:t>
        </m:r>
        <m:r>
          <m:t>3.9</m:t>
        </m:r>
      </m:oMath>
      <w:r>
        <w:t xml:space="preserve"> </w:t>
      </w:r>
      <w:r>
        <w:t xml:space="preserve">above the surveyed 3.6 eV) and are reported as joint-optimum adoptions priced in Section 9.0, not surveyed values.</w:t>
      </w:r>
    </w:p>
    <w:bookmarkStart w:id="34" w:name="fig:align"/>
    <w:p>
      <w:pPr>
        <w:pStyle w:val="CaptionedFigure"/>
      </w:pPr>
      <w:r>
        <w:drawing>
          <wp:inline>
            <wp:extent cx="4267200" cy="2453640"/>
            <wp:effectExtent b="0" l="0" r="0" t="0"/>
            <wp:docPr descr="" title="" id="32" name="Picture"/>
            <a:graphic>
              <a:graphicData uri="http://schemas.openxmlformats.org/drawingml/2006/picture">
                <pic:pic>
                  <pic:nvPicPr>
                    <pic:cNvPr descr="/home/touhid/Documents/leadpaper/outputs/figs/fig_align.png" id="33" name="Picture"/>
                    <pic:cNvPicPr>
                      <a:picLocks noChangeArrowheads="1" noChangeAspect="1"/>
                    </pic:cNvPicPr>
                  </pic:nvPicPr>
                  <pic:blipFill>
                    <a:blip r:embed="rId31"/>
                    <a:stretch>
                      <a:fillRect/>
                    </a:stretch>
                  </pic:blipFill>
                  <pic:spPr bwMode="auto">
                    <a:xfrm>
                      <a:off x="0" y="0"/>
                      <a:ext cx="4267200" cy="2453640"/>
                    </a:xfrm>
                    <a:prstGeom prst="rect">
                      <a:avLst/>
                    </a:prstGeom>
                    <a:noFill/>
                    <a:ln w="9525">
                      <a:noFill/>
                      <a:headEnd/>
                      <a:tailEnd/>
                    </a:ln>
                  </pic:spPr>
                </pic:pic>
              </a:graphicData>
            </a:graphic>
          </wp:inline>
        </w:drawing>
      </w:r>
    </w:p>
    <w:p>
      <w:pPr>
        <w:pStyle w:val="ImageCaption"/>
      </w:pPr>
      <w:r>
        <w:t xml:space="preserve">Equilibrium band alignment of the champion stack from input parameters (energies in eV vs vacuum).</w:t>
      </w:r>
    </w:p>
    <w:bookmarkEnd w:id="34"/>
    <w:bookmarkEnd w:id="35"/>
    <w:bookmarkStart w:id="58" w:name="device-characterisation"/>
    <w:p>
      <w:pPr>
        <w:pStyle w:val="Heading1"/>
      </w:pPr>
      <w:r>
        <w:t xml:space="preserve">Device characterisation</w:t>
      </w:r>
    </w:p>
    <w:p>
      <w:pPr>
        <w:pStyle w:val="FirstParagraph"/>
      </w:pPr>
      <w:r>
        <w:t xml:space="preserve">The quantum efficiency (Figure </w:t>
      </w:r>
      <w:hyperlink w:anchor="fig:qe">
        <w:r>
          <w:rPr>
            <w:rStyle w:val="Hyperlink"/>
          </w:rPr>
          <w:t xml:space="preserve">5</w:t>
        </w:r>
      </w:hyperlink>
      <w:r>
        <w:t xml:space="preserve">) is flat at</w:t>
      </w:r>
      <w:r>
        <w:t xml:space="preserve"> </w:t>
      </w:r>
      <m:oMath>
        <m:r>
          <m:rPr>
            <m:sty m:val="p"/>
          </m:rPr>
          <m:t>∼</m:t>
        </m:r>
      </m:oMath>
      <w:r>
        <w:t xml:space="preserve">89–90% from 300 nm with the absorption edge red-shifted from 731 nm (baseline, 1.694 eV) to 752 nm (champion, 1.65 eV), directly explaining the Jsc gain. The UV plateau assumes the definition file’s flat 10% front reflection with no dispersive parasitic absorption in ITO or TiO2, so it is an upper envelope in the blue rather than a prediction; with TiO2 absorbing above 3.2 eV, of order 1 mA/cm</w:t>
      </w:r>
      <m:oMath>
        <m:sSup>
          <m:e>
            <m:r>
              <m:t>​</m:t>
            </m:r>
          </m:e>
          <m:sup>
            <m:r>
              <m:t>2</m:t>
            </m:r>
          </m:sup>
        </m:sSup>
      </m:oMath>
      <w:r>
        <w:t xml:space="preserve"> </w:t>
      </w:r>
      <w:r>
        <w:t xml:space="preserve">of the reported Jsc is at stake in the UV, which is large next to the points debated here and is stated as an uncertainty, not corrected. Integrating the computed QE against the AM1.5G spectrum gives 22.39 mA/cm</w:t>
      </w:r>
      <m:oMath>
        <m:sSup>
          <m:e>
            <m:r>
              <m:t>​</m:t>
            </m:r>
          </m:e>
          <m:sup>
            <m:r>
              <m:t>2</m:t>
            </m:r>
          </m:sup>
        </m:sSup>
      </m:oMath>
      <w:r>
        <w:t xml:space="preserve"> </w:t>
      </w:r>
      <w:r>
        <w:t xml:space="preserve">against the 21.20 mA/cm</w:t>
      </w:r>
      <m:oMath>
        <m:sSup>
          <m:e>
            <m:r>
              <m:t>​</m:t>
            </m:r>
          </m:e>
          <m:sup>
            <m:r>
              <m:t>2</m:t>
            </m:r>
          </m:sup>
        </m:sSup>
      </m:oMath>
      <w:r>
        <w:t xml:space="preserve"> </w:t>
      </w:r>
      <w:r>
        <w:t xml:space="preserve">IV value; the 1.19 mA/cm</w:t>
      </w:r>
      <m:oMath>
        <m:sSup>
          <m:e>
            <m:r>
              <m:t>​</m:t>
            </m:r>
          </m:e>
          <m:sup>
            <m:r>
              <m:t>2</m:t>
            </m:r>
          </m:sup>
        </m:sSup>
      </m:oMath>
      <w:r>
        <w:t xml:space="preserve"> </w:t>
      </w:r>
      <w:r>
        <w:t xml:space="preserve">gap is carried as Jsc uncertainty with the conservative IV value headlined. Capacitance–voltage analysis at 1 MHz (Figure </w:t>
      </w:r>
      <w:hyperlink w:anchor="fig:cv">
        <w:r>
          <w:rPr>
            <w:rStyle w:val="Hyperlink"/>
          </w:rPr>
          <w:t xml:space="preserve">6</w:t>
        </w:r>
      </w:hyperlink>
      <w:r>
        <w:t xml:space="preserve">) shows rising capacitance with forward bias (31 to 39 nF/cm</w:t>
      </w:r>
      <m:oMath>
        <m:sSup>
          <m:e>
            <m:r>
              <m:t>​</m:t>
            </m:r>
          </m:e>
          <m:sup>
            <m:r>
              <m:t>2</m:t>
            </m:r>
          </m:sup>
        </m:sSup>
      </m:oMath>
      <w:r>
        <w:t xml:space="preserve"> </w:t>
      </w:r>
      <w:r>
        <w:t xml:space="preserve">over 0–0.5 V). The low-bias</w:t>
      </w:r>
      <w:r>
        <w:t xml:space="preserve"> </w:t>
      </w:r>
      <m:oMath>
        <m:r>
          <m:t>1</m:t>
        </m:r>
        <m:r>
          <m:rPr>
            <m:sty m:val="p"/>
          </m:rPr>
          <m:t>/</m:t>
        </m:r>
        <m:sSup>
          <m:e>
            <m:r>
              <m:t>C</m:t>
            </m:r>
          </m:e>
          <m:sup>
            <m:r>
              <m:t>2</m:t>
            </m:r>
          </m:sup>
        </m:sSup>
      </m:oMath>
      <w:r>
        <w:t xml:space="preserve"> </w:t>
      </w:r>
      <w:r>
        <w:t xml:space="preserve">branch is linear (</w:t>
      </w:r>
      <m:oMath>
        <m:sSup>
          <m:e>
            <m:r>
              <m:t>R</m:t>
            </m:r>
          </m:e>
          <m:sup>
            <m:r>
              <m:t>2</m:t>
            </m:r>
          </m:sup>
        </m:sSup>
        <m:r>
          <m:rPr>
            <m:sty m:val="p"/>
          </m:rPr>
          <m:t>=</m:t>
        </m:r>
        <m:r>
          <m:t>1.000</m:t>
        </m:r>
      </m:oMath>
      <w:r>
        <w:t xml:space="preserve">) with the normal sign for a p-type absorber; its slope gives</w:t>
      </w:r>
      <w:r>
        <w:t xml:space="preserve"> </w:t>
      </w:r>
      <m:oMath>
        <m:sSub>
          <m:e>
            <m:r>
              <m:t>N</m:t>
            </m:r>
          </m:e>
          <m:sub>
            <m:r>
              <m:t>A</m:t>
            </m:r>
          </m:sub>
        </m:sSub>
        <m:r>
          <m:rPr>
            <m:sty m:val="p"/>
          </m:rPr>
          <m:t>=</m:t>
        </m:r>
        <m:r>
          <m:t>2.93</m:t>
        </m:r>
        <m:r>
          <m:rPr>
            <m:sty m:val="p"/>
          </m:rPr>
          <m:t>×</m:t>
        </m:r>
        <m:sSup>
          <m:e>
            <m:r>
              <m:t>10</m:t>
            </m:r>
          </m:e>
          <m:sup>
            <m:r>
              <m:t>16</m:t>
            </m:r>
          </m:sup>
        </m:sSup>
      </m:oMath>
      <w:r>
        <w:t xml:space="preserve"> cm</w:t>
      </w:r>
      <m:oMath>
        <m:sSup>
          <m:e>
            <m:r>
              <m:t>​</m:t>
            </m:r>
          </m:e>
          <m:sup>
            <m:r>
              <m:rPr>
                <m:sty m:val="p"/>
              </m:rPr>
              <m:t>−</m:t>
            </m:r>
            <m:r>
              <m:t>3</m:t>
            </m:r>
          </m:sup>
        </m:sSup>
      </m:oMath>
      <w:r>
        <w:t xml:space="preserve">, essentially the</w:t>
      </w:r>
      <w:r>
        <w:t xml:space="preserve"> </w:t>
      </w:r>
      <m:oMath>
        <m:r>
          <m:t>3</m:t>
        </m:r>
        <m:r>
          <m:rPr>
            <m:sty m:val="p"/>
          </m:rPr>
          <m:t>×</m:t>
        </m:r>
        <m:sSup>
          <m:e>
            <m:r>
              <m:t>10</m:t>
            </m:r>
          </m:e>
          <m:sup>
            <m:r>
              <m:t>16</m:t>
            </m:r>
          </m:sup>
        </m:sSup>
      </m:oMath>
      <w:r>
        <w:t xml:space="preserve"> cm</w:t>
      </w:r>
      <m:oMath>
        <m:sSup>
          <m:e>
            <m:r>
              <m:t>​</m:t>
            </m:r>
          </m:e>
          <m:sup>
            <m:r>
              <m:rPr>
                <m:sty m:val="p"/>
              </m:rPr>
              <m:t>−</m:t>
            </m:r>
            <m:r>
              <m:t>3</m:t>
            </m:r>
          </m:sup>
        </m:sSup>
      </m:oMath>
      <w:r>
        <w:t xml:space="preserve"> </w:t>
      </w:r>
      <w:r>
        <w:t xml:space="preserve">input, extrapolating to</w:t>
      </w:r>
      <w:r>
        <w:t xml:space="preserve"> </w:t>
      </w:r>
      <m:oMath>
        <m:sSub>
          <m:e>
            <m:r>
              <m:t>V</m:t>
            </m:r>
          </m:e>
          <m:sub>
            <m:r>
              <m:t>b</m:t>
            </m:r>
            <m:r>
              <m:t>i</m:t>
            </m:r>
          </m:sub>
        </m:sSub>
        <m:r>
          <m:rPr>
            <m:sty m:val="p"/>
          </m:rPr>
          <m:t>=</m:t>
        </m:r>
        <m:r>
          <m:t>1.30</m:t>
        </m:r>
      </m:oMath>
      <w:r>
        <w:t xml:space="preserve"> V—a solver self-consistency check on the doping from its own electrostatics, not an independent validation. The SCAPS-extracted width (0.29 to 0.22 </w:t>
      </w:r>
      <m:oMath>
        <m:r>
          <m:t>μ</m:t>
        </m:r>
      </m:oMath>
      <w:r>
        <w:t xml:space="preserve">m) sits an order of magnitude below the 2.2 </w:t>
      </w:r>
      <m:oMath>
        <m:r>
          <m:t>μ</m:t>
        </m:r>
      </m:oMath>
      <w:r>
        <w:t xml:space="preserve">m absorber throughout (the parallel-plate check gives 0.17 </w:t>
      </w:r>
      <m:oMath>
        <m:r>
          <m:t>μ</m:t>
        </m:r>
      </m:oMath>
      <w:r>
        <w:t xml:space="preserve">m at 0 V, consistent in order with extra deep-level capacitance unaccounted; this check therefore confirms the sign and linearity of the</w:t>
      </w:r>
      <w:r>
        <w:t xml:space="preserve"> </w:t>
      </w:r>
      <m:oMath>
        <m:r>
          <m:t>1</m:t>
        </m:r>
        <m:r>
          <m:rPr>
            <m:sty m:val="p"/>
          </m:rPr>
          <m:t>/</m:t>
        </m:r>
        <m:sSup>
          <m:e>
            <m:r>
              <m:t>C</m:t>
            </m:r>
          </m:e>
          <m:sup>
            <m:r>
              <m:t>2</m:t>
            </m:r>
          </m:sup>
        </m:sSup>
      </m:oMath>
      <w:r>
        <w:t xml:space="preserve"> </w:t>
      </w:r>
      <w:r>
        <w:t xml:space="preserve">branch, not the absorber thickness). The illuminated band diagram at short circuit (Figure </w:t>
      </w:r>
      <w:hyperlink w:anchor="fig:eb">
        <w:r>
          <w:rPr>
            <w:rStyle w:val="Hyperlink"/>
          </w:rPr>
          <w:t xml:space="preserve">7</w:t>
        </w:r>
      </w:hyperlink>
      <w:r>
        <w:t xml:space="preserve">) exhibits clean quasi-Fermi splitting, and generation exceeds recombination by at least two orders of magnitude at every mesh point of the full 2.33 </w:t>
      </w:r>
      <m:oMath>
        <m:r>
          <m:t>μ</m:t>
        </m:r>
      </m:oMath>
      <w:r>
        <w:t xml:space="preserve">m short-circuit profile (minimum ratio</w:t>
      </w:r>
      <w:r>
        <w:t xml:space="preserve"> </w:t>
      </w:r>
      <m:oMath>
        <m:r>
          <m:rPr>
            <m:sty m:val="p"/>
          </m:rPr>
          <m:t>∼</m:t>
        </m:r>
      </m:oMath>
      <w:r>
        <w:t xml:space="preserve">3</w:t>
      </w:r>
      <m:oMath>
        <m:r>
          <m:rPr>
            <m:sty m:val="p"/>
          </m:rPr>
          <m:t>×</m:t>
        </m:r>
        <m:sSup>
          <m:e>
            <m:r>
              <m:t>10</m:t>
            </m:r>
          </m:e>
          <m:sup>
            <m:r>
              <m:t>2</m:t>
            </m:r>
          </m:sup>
        </m:sSup>
      </m:oMath>
      <w:r>
        <w:t xml:space="preserve"> </w:t>
      </w:r>
      <w:r>
        <w:t xml:space="preserve">at</w:t>
      </w:r>
      <w:r>
        <w:t xml:space="preserve"> </w:t>
      </w:r>
      <m:oMath>
        <m:r>
          <m:t>x</m:t>
        </m:r>
        <m:r>
          <m:rPr>
            <m:sty m:val="p"/>
          </m:rPr>
          <m:t>≈</m:t>
        </m:r>
        <m:r>
          <m:t>0.2</m:t>
        </m:r>
      </m:oMath>
      <w:r>
        <w:t xml:space="preserve"> </w:t>
      </w:r>
      <m:oMath>
        <m:r>
          <m:t>μ</m:t>
        </m:r>
      </m:oMath>
      <w:r>
        <w:t xml:space="preserve">m near the back contact, rising above</w:t>
      </w:r>
      <w:r>
        <w:t xml:space="preserve"> </w:t>
      </w:r>
      <m:oMath>
        <m:sSup>
          <m:e>
            <m:r>
              <m:t>10</m:t>
            </m:r>
          </m:e>
          <m:sup>
            <m:r>
              <m:t>4</m:t>
            </m:r>
          </m:sup>
        </m:sSup>
      </m:oMath>
      <w:r>
        <w:t xml:space="preserve"> </w:t>
      </w:r>
      <w:r>
        <w:t xml:space="preserve">at both contacts; Figure </w:t>
      </w:r>
      <w:hyperlink w:anchor="fig:gr">
        <w:r>
          <w:rPr>
            <w:rStyle w:val="Hyperlink"/>
          </w:rPr>
          <w:t xml:space="preserve">8</w:t>
        </w:r>
      </w:hyperlink>
      <w:r>
        <w:t xml:space="preserve">). All profile statements in this section are at short circuit; nothing here constrains the maximum-power or open-circuit regime.</w:t>
      </w:r>
    </w:p>
    <w:bookmarkStart w:id="39" w:name="fig:qe"/>
    <w:p>
      <w:pPr>
        <w:pStyle w:val="CaptionedFigure"/>
      </w:pPr>
      <w:r>
        <w:drawing>
          <wp:inline>
            <wp:extent cx="4267200" cy="3200400"/>
            <wp:effectExtent b="0" l="0" r="0" t="0"/>
            <wp:docPr descr="" title="" id="37" name="Picture"/>
            <a:graphic>
              <a:graphicData uri="http://schemas.openxmlformats.org/drawingml/2006/picture">
                <pic:pic>
                  <pic:nvPicPr>
                    <pic:cNvPr descr="/home/touhid/Documents/leadpaper/outputs/figs/fig_QE.png" id="38" name="Picture"/>
                    <pic:cNvPicPr>
                      <a:picLocks noChangeArrowheads="1" noChangeAspect="1"/>
                    </pic:cNvPicPr>
                  </pic:nvPicPr>
                  <pic:blipFill>
                    <a:blip r:embed="rId36"/>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Quantum efficiency of baseline versus champion; the edge shifts 731 to 752 nm.</w:t>
      </w:r>
    </w:p>
    <w:bookmarkEnd w:id="39"/>
    <w:bookmarkStart w:id="43" w:name="fig:cv"/>
    <w:p>
      <w:pPr>
        <w:pStyle w:val="CaptionedFigure"/>
      </w:pPr>
      <w:r>
        <w:drawing>
          <wp:inline>
            <wp:extent cx="4267200" cy="4036540"/>
            <wp:effectExtent b="0" l="0" r="0" t="0"/>
            <wp:docPr descr="" title="" id="41" name="Picture"/>
            <a:graphic>
              <a:graphicData uri="http://schemas.openxmlformats.org/drawingml/2006/picture">
                <pic:pic>
                  <pic:nvPicPr>
                    <pic:cNvPr descr="/home/touhid/Documents/leadpaper/outputs/figs/fig_CV_MS.png" id="42" name="Picture"/>
                    <pic:cNvPicPr>
                      <a:picLocks noChangeArrowheads="1" noChangeAspect="1"/>
                    </pic:cNvPicPr>
                  </pic:nvPicPr>
                  <pic:blipFill>
                    <a:blip r:embed="rId40"/>
                    <a:stretch>
                      <a:fillRect/>
                    </a:stretch>
                  </pic:blipFill>
                  <pic:spPr bwMode="auto">
                    <a:xfrm>
                      <a:off x="0" y="0"/>
                      <a:ext cx="4267200" cy="4036540"/>
                    </a:xfrm>
                    <a:prstGeom prst="rect">
                      <a:avLst/>
                    </a:prstGeom>
                    <a:noFill/>
                    <a:ln w="9525">
                      <a:noFill/>
                      <a:headEnd/>
                      <a:tailEnd/>
                    </a:ln>
                  </pic:spPr>
                </pic:pic>
              </a:graphicData>
            </a:graphic>
          </wp:inline>
        </w:drawing>
      </w:r>
    </w:p>
    <w:p>
      <w:pPr>
        <w:pStyle w:val="ImageCaption"/>
      </w:pPr>
      <w:r>
        <w:t xml:space="preserve">Capacitance–voltage (1 MHz) and Mott–Schottky plots for baseline and champion.</w:t>
      </w:r>
    </w:p>
    <w:bookmarkEnd w:id="43"/>
    <w:bookmarkStart w:id="47" w:name="fig:eb"/>
    <w:p>
      <w:pPr>
        <w:pStyle w:val="CaptionedFigure"/>
      </w:pPr>
      <w:r>
        <w:drawing>
          <wp:inline>
            <wp:extent cx="4533900" cy="3400425"/>
            <wp:effectExtent b="0" l="0" r="0" t="0"/>
            <wp:docPr descr="" title="" id="45" name="Picture"/>
            <a:graphic>
              <a:graphicData uri="http://schemas.openxmlformats.org/drawingml/2006/picture">
                <pic:pic>
                  <pic:nvPicPr>
                    <pic:cNvPr descr="/home/touhid/Documents/leadpaper/outputs/figs/fig_EB.png" id="46" name="Picture"/>
                    <pic:cNvPicPr>
                      <a:picLocks noChangeArrowheads="1" noChangeAspect="1"/>
                    </pic:cNvPicPr>
                  </pic:nvPicPr>
                  <pic:blipFill>
                    <a:blip r:embed="rId44"/>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t xml:space="preserve">Illuminated band diagram of the champion at short circuit (x=0 at the back contact).</w:t>
      </w:r>
    </w:p>
    <w:bookmarkEnd w:id="47"/>
    <w:bookmarkStart w:id="51" w:name="fig:gr"/>
    <w:p>
      <w:pPr>
        <w:pStyle w:val="CaptionedFigure"/>
      </w:pPr>
      <w:r>
        <w:drawing>
          <wp:inline>
            <wp:extent cx="4533900" cy="3400425"/>
            <wp:effectExtent b="0" l="0" r="0" t="0"/>
            <wp:docPr descr="" title="" id="49" name="Picture"/>
            <a:graphic>
              <a:graphicData uri="http://schemas.openxmlformats.org/drawingml/2006/picture">
                <pic:pic>
                  <pic:nvPicPr>
                    <pic:cNvPr descr="/home/touhid/Documents/leadpaper/outputs/figs/fig_GR.png" id="50" name="Picture"/>
                    <pic:cNvPicPr>
                      <a:picLocks noChangeArrowheads="1" noChangeAspect="1"/>
                    </pic:cNvPicPr>
                  </pic:nvPicPr>
                  <pic:blipFill>
                    <a:blip r:embed="rId48"/>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t xml:space="preserve">Generation and recombination profiles at short circuit (log scale).</w:t>
      </w:r>
    </w:p>
    <w:bookmarkEnd w:id="51"/>
    <w:p>
      <w:pPr>
        <w:pStyle w:val="BodyText"/>
      </w:pPr>
      <w:r>
        <w:t xml:space="preserve">Temperature dependence (Figure </w:t>
      </w:r>
      <w:hyperlink w:anchor="fig:t">
        <w:r>
          <w:rPr>
            <w:rStyle w:val="Hyperlink"/>
          </w:rPr>
          <w:t xml:space="preserve">9</w:t>
        </w:r>
      </w:hyperlink>
      <w:r>
        <w:t xml:space="preserve">, Table </w:t>
      </w:r>
      <w:hyperlink w:anchor="tab:temp">
        <w:r>
          <w:rPr>
            <w:rStyle w:val="Hyperlink"/>
          </w:rPr>
          <w:t xml:space="preserve">6</w:t>
        </w:r>
      </w:hyperlink>
      <w:r>
        <w:t xml:space="preserve">) follows the established trend </w:t>
      </w:r>
      <w:r>
        <w:t xml:space="preserve">[5]</w:t>
      </w:r>
      <w:r>
        <w:t xml:space="preserve">: efficiency falls from 25.88% at 275 K to 18.13% at 475 K, driven by Voc (1.357 to 1.038 V) and FF while Jsc stays pinned at</w:t>
      </w:r>
      <w:r>
        <w:t xml:space="preserve"> </w:t>
      </w:r>
      <m:oMath>
        <m:r>
          <m:rPr>
            <m:sty m:val="p"/>
          </m:rPr>
          <m:t>∼</m:t>
        </m:r>
      </m:oMath>
      <w:r>
        <w:t xml:space="preserve">21.20 mA/cm</w:t>
      </w:r>
      <m:oMath>
        <m:sSup>
          <m:e>
            <m:r>
              <m:t>​</m:t>
            </m:r>
          </m:e>
          <m:sup>
            <m:r>
              <m:t>2</m:t>
            </m:r>
          </m:sup>
        </m:sSup>
      </m:oMath>
      <w:r>
        <w:t xml:space="preserve">, i.e. </w:t>
      </w:r>
      <m:oMath>
        <m:r>
          <m:rPr>
            <m:sty m:val="p"/>
          </m:rPr>
          <m:t>−</m:t>
        </m:r>
        <m:r>
          <m:t>0.16</m:t>
        </m:r>
      </m:oMath>
      <w:r>
        <w:t xml:space="preserve">%/K relative (</w:t>
      </w:r>
      <m:oMath>
        <m:r>
          <m:rPr>
            <m:sty m:val="p"/>
          </m:rPr>
          <m:t>−</m:t>
        </m:r>
        <m:r>
          <m:t>0.039</m:t>
        </m:r>
      </m:oMath>
      <w:r>
        <w:t xml:space="preserve"> </w:t>
      </w:r>
      <w:r>
        <w:t xml:space="preserve">points/K) over the 300–475 K span. The 275 K fill factor (89.96%) sits</w:t>
      </w:r>
      <w:r>
        <w:t xml:space="preserve"> </w:t>
      </w:r>
      <w:r>
        <w:rPr>
          <w:i/>
          <w:iCs/>
        </w:rPr>
        <w:t xml:space="preserve">below</w:t>
      </w:r>
      <w:r>
        <w:t xml:space="preserve"> </w:t>
      </w:r>
      <w:r>
        <w:t xml:space="preserve">Green’s ideal-diode value at that Voc and temperature (</w:t>
      </w:r>
      <m:oMath>
        <m:r>
          <m:rPr>
            <m:sty m:val="p"/>
          </m:rPr>
          <m:t>∼</m:t>
        </m:r>
      </m:oMath>
      <w:r>
        <w:t xml:space="preserve">91.3%), so no artefact needs invoking; likewise the joint optimum’s 89.11% is about 1.4 points below ideal (90.5%), leaving genuine FF headroom short of series resistance. The 275 K Voc (1.357 V) sits under the 275 K radiative limit (1.397 V, recomputed at that temperature), so the screen holds across the sweep. The 475 K end of the sweep ignores the temperature dependence of</w:t>
      </w:r>
      <w:r>
        <w:t xml:space="preserve"> </w:t>
      </w:r>
      <m:oMath>
        <m:sSub>
          <m:e>
            <m:r>
              <m:t>E</m:t>
            </m:r>
          </m:e>
          <m:sub>
            <m:r>
              <m:t>g</m:t>
            </m:r>
          </m:sub>
        </m:sSub>
      </m:oMath>
      <w:r>
        <w:t xml:space="preserve"> </w:t>
      </w:r>
      <w:r>
        <w:t xml:space="preserve">and black-phase stability, so it is a solver stress test, not a prediction.</w:t>
      </w:r>
    </w:p>
    <w:bookmarkStart w:id="57" w:name="parasitic-resistance-accounting"/>
    <w:p>
      <w:pPr>
        <w:pStyle w:val="Heading2"/>
      </w:pPr>
      <w:r>
        <w:t xml:space="preserve">Parasitic-resistance accounting</w:t>
      </w:r>
    </w:p>
    <w:p>
      <w:pPr>
        <w:pStyle w:val="FirstParagraph"/>
      </w:pPr>
      <w:r>
        <w:t xml:space="preserve">Series and shunt resistances are scriptable in SCAPS 3.3.10 (</w:t>
      </w:r>
      <w:r>
        <w:rPr>
          <w:rStyle w:val="VerbatimChar"/>
        </w:rPr>
        <w:t xml:space="preserve">set external.Rs/Rsh</w:t>
      </w:r>
      <w:r>
        <w:t xml:space="preserve">;</w:t>
      </w:r>
      <w:r>
        <w:t xml:space="preserve"> </w:t>
      </w:r>
      <w:r>
        <w:rPr>
          <w:rStyle w:val="VerbatimChar"/>
        </w:rPr>
        <w:t xml:space="preserve">scriptdescription3310.txt</w:t>
      </w:r>
      <w:r>
        <w:t xml:space="preserve">). Computed scripted sweeps at the joint-optimum base give 24.73% at</w:t>
      </w:r>
      <w:r>
        <w:t xml:space="preserve"> </w:t>
      </w:r>
      <m:oMath>
        <m:sSub>
          <m:e>
            <m:r>
              <m:t>R</m:t>
            </m:r>
          </m:e>
          <m:sub>
            <m:r>
              <m:t>s</m:t>
            </m:r>
          </m:sub>
        </m:sSub>
        <m:r>
          <m:rPr>
            <m:sty m:val="p"/>
          </m:rPr>
          <m:t>=</m:t>
        </m:r>
        <m:r>
          <m:t>0.5</m:t>
        </m:r>
        <m:r>
          <m:t> </m:t>
        </m:r>
        <m:r>
          <m:rPr>
            <m:sty m:val="p"/>
          </m:rPr>
          <m:t>Ω</m:t>
        </m:r>
      </m:oMath>
      <w:r>
        <w:t xml:space="preserve">cm</w:t>
      </w:r>
      <m:oMath>
        <m:sSup>
          <m:e>
            <m:r>
              <m:t>​</m:t>
            </m:r>
          </m:e>
          <m:sup>
            <m:r>
              <m:t>2</m:t>
            </m:r>
          </m:sup>
        </m:sSup>
      </m:oMath>
      <w:r>
        <w:t xml:space="preserve">,</w:t>
      </w:r>
      <w:r>
        <w:t xml:space="preserve"> </w:t>
      </w:r>
      <w:r>
        <w:rPr>
          <w:b/>
          <w:bCs/>
        </w:rPr>
        <w:t xml:space="preserve">24.52%</w:t>
      </w:r>
      <w:r>
        <w:t xml:space="preserve"> </w:t>
      </w:r>
      <w:r>
        <w:t xml:space="preserve">at</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r>
        <w:t xml:space="preserve">, and 24.09% at</w:t>
      </w:r>
      <w:r>
        <w:t xml:space="preserve"> </w:t>
      </w:r>
      <m:oMath>
        <m:sSub>
          <m:e>
            <m:r>
              <m:t>R</m:t>
            </m:r>
          </m:e>
          <m:sub>
            <m:r>
              <m:t>s</m:t>
            </m:r>
          </m:sub>
        </m:sSub>
        <m:r>
          <m:rPr>
            <m:sty m:val="p"/>
          </m:rPr>
          <m:t>=</m:t>
        </m:r>
        <m:r>
          <m:t>2</m:t>
        </m:r>
        <m:r>
          <m:t> </m:t>
        </m:r>
        <m:r>
          <m:rPr>
            <m:sty m:val="p"/>
          </m:rPr>
          <m:t>Ω</m:t>
        </m:r>
      </m:oMath>
      <w:r>
        <w:t xml:space="preserve">cm</w:t>
      </w:r>
      <m:oMath>
        <m:sSup>
          <m:e>
            <m:r>
              <m:t>​</m:t>
            </m:r>
          </m:e>
          <m:sup>
            <m:r>
              <m:t>2</m:t>
            </m:r>
          </m:sup>
        </m:sSup>
      </m:oMath>
      <w:r>
        <w:t xml:space="preserve"> </w:t>
      </w:r>
      <w:r>
        <w:t xml:space="preserve">(Table </w:t>
      </w:r>
      <w:hyperlink w:anchor="tab:rs">
        <w:r>
          <w:rPr>
            <w:rStyle w:val="Hyperlink"/>
          </w:rPr>
          <w:t xml:space="preserve">[tab:rs]</w:t>
        </w:r>
      </w:hyperlink>
      <w:r>
        <w:t xml:space="preserve">); a lumped-series analytic derate</w:t>
      </w:r>
      <w:r>
        <w:t xml:space="preserve"> </w:t>
      </w:r>
      <m:oMath>
        <m:r>
          <m:t>η</m:t>
        </m:r>
        <m:r>
          <m:rPr>
            <m:sty m:val="p"/>
          </m:rPr>
          <m:t>=</m:t>
        </m:r>
        <m:sSub>
          <m:e>
            <m:r>
              <m:t>η</m:t>
            </m:r>
          </m:e>
          <m:sub>
            <m:r>
              <m:t>0</m:t>
            </m:r>
          </m:sub>
        </m:sSub>
        <m:r>
          <m:rPr>
            <m:sty m:val="p"/>
          </m:rPr>
          <m:t>/</m:t>
        </m:r>
        <m:r>
          <m:rPr>
            <m:sty m:val="p"/>
          </m:rPr>
          <m:t>[</m:t>
        </m:r>
        <m:r>
          <m:t>1</m:t>
        </m:r>
        <m:r>
          <m:rPr>
            <m:sty m:val="p"/>
          </m:rPr>
          <m:t>+</m:t>
        </m:r>
        <m:sSub>
          <m:e>
            <m:r>
              <m:t>J</m:t>
            </m:r>
          </m:e>
          <m:sub>
            <m:r>
              <m:t>s</m:t>
            </m:r>
            <m:r>
              <m:t>c</m:t>
            </m:r>
          </m:sub>
        </m:sSub>
        <m:sSub>
          <m:e>
            <m:r>
              <m:t>R</m:t>
            </m:r>
          </m:e>
          <m:sub>
            <m:r>
              <m:t>s</m:t>
            </m:r>
          </m:sub>
        </m:sSub>
        <m:r>
          <m:rPr>
            <m:sty m:val="p"/>
          </m:rPr>
          <m:t>/</m:t>
        </m:r>
        <m:r>
          <m:rPr>
            <m:sty m:val="p"/>
          </m:rPr>
          <m:t>(</m:t>
        </m:r>
        <m:sSup>
          <m:e>
            <m:r>
              <m:t>10</m:t>
            </m:r>
          </m:e>
          <m:sup>
            <m:r>
              <m:t>3</m:t>
            </m:r>
          </m:sup>
        </m:sSup>
        <m:r>
          <m:t>F</m:t>
        </m:r>
        <m:sSub>
          <m:e>
            <m:r>
              <m:t>F</m:t>
            </m:r>
          </m:e>
          <m:sub>
            <m:r>
              <m:t>0</m:t>
            </m:r>
          </m:sub>
        </m:sSub>
        <m:sSub>
          <m:e>
            <m:r>
              <m:t>V</m:t>
            </m:r>
          </m:e>
          <m:sub>
            <m:r>
              <m:t>o</m:t>
            </m:r>
            <m:r>
              <m:t>c</m:t>
            </m:r>
          </m:sub>
        </m:sSub>
        <m:r>
          <m:rPr>
            <m:sty m:val="p"/>
          </m:rPr>
          <m:t>)</m:t>
        </m:r>
        <m:r>
          <m:rPr>
            <m:sty m:val="p"/>
          </m:rPr>
          <m:t>]</m:t>
        </m:r>
      </m:oMath>
      <w:r>
        <w:t xml:space="preserve">—the</w:t>
      </w:r>
      <w:r>
        <w:t xml:space="preserve"> </w:t>
      </w:r>
      <m:oMath>
        <m:sSup>
          <m:e>
            <m:r>
              <m:t>10</m:t>
            </m:r>
          </m:e>
          <m:sup>
            <m:r>
              <m:t>3</m:t>
            </m:r>
          </m:sup>
        </m:sSup>
      </m:oMath>
      <w:r>
        <w:t xml:space="preserve"> </w:t>
      </w:r>
      <w:r>
        <w:t xml:space="preserve">putting</w:t>
      </w:r>
      <w:r>
        <w:t xml:space="preserve"> </w:t>
      </w:r>
      <m:oMath>
        <m:r>
          <m:t>F</m:t>
        </m:r>
        <m:sSub>
          <m:e>
            <m:r>
              <m:t>F</m:t>
            </m:r>
          </m:e>
          <m:sub>
            <m:r>
              <m:t>0</m:t>
            </m:r>
          </m:sub>
        </m:sSub>
        <m:sSub>
          <m:e>
            <m:r>
              <m:t>V</m:t>
            </m:r>
          </m:e>
          <m:sub>
            <m:r>
              <m:t>o</m:t>
            </m:r>
            <m:r>
              <m:t>c</m:t>
            </m:r>
          </m:sub>
        </m:sSub>
      </m:oMath>
      <w:r>
        <w:t xml:space="preserve"> </w:t>
      </w:r>
      <w:r>
        <w:t xml:space="preserve">on the same millivolt scale as</w:t>
      </w:r>
      <w:r>
        <w:t xml:space="preserve"> </w:t>
      </w:r>
      <m:oMath>
        <m:sSub>
          <m:e>
            <m:r>
              <m:t>J</m:t>
            </m:r>
          </m:e>
          <m:sub>
            <m:r>
              <m:t>s</m:t>
            </m:r>
            <m:r>
              <m:t>c</m:t>
            </m:r>
          </m:sub>
        </m:sSub>
        <m:sSub>
          <m:e>
            <m:r>
              <m:t>R</m:t>
            </m:r>
          </m:e>
          <m:sub>
            <m:r>
              <m:t>s</m:t>
            </m:r>
          </m:sub>
        </m:sSub>
      </m:oMath>
      <w:r>
        <w:t xml:space="preserve">, with</w:t>
      </w:r>
      <w:r>
        <w:t xml:space="preserve"> </w:t>
      </w:r>
      <m:oMath>
        <m:r>
          <m:t>F</m:t>
        </m:r>
        <m:sSub>
          <m:e>
            <m:r>
              <m:t>F</m:t>
            </m:r>
          </m:e>
          <m:sub>
            <m:r>
              <m:t>0</m:t>
            </m:r>
          </m:sub>
        </m:sSub>
        <m:r>
          <m:rPr>
            <m:sty m:val="p"/>
          </m:rPr>
          <m:t>=</m:t>
        </m:r>
        <m:r>
          <m:t>0.891083</m:t>
        </m:r>
      </m:oMath>
      <w:r>
        <w:t xml:space="preserve"> </w:t>
      </w:r>
      <w:r>
        <w:t xml:space="preserve">the 89.11% of Table </w:t>
      </w:r>
      <w:hyperlink w:anchor="tab:champ">
        <w:r>
          <w:rPr>
            <w:rStyle w:val="Hyperlink"/>
          </w:rPr>
          <w:t xml:space="preserve">[tab:champ]</w:t>
        </w:r>
      </w:hyperlink>
      <w:r>
        <w:t xml:space="preserve"> </w:t>
      </w:r>
      <w:r>
        <w:t xml:space="preserve">as a fraction—tracks the computed sweep to within 0.011 points at all three</w:t>
      </w:r>
      <w:r>
        <w:t xml:space="preserve"> </w:t>
      </w:r>
      <m:oMath>
        <m:sSub>
          <m:e>
            <m:r>
              <m:t>R</m:t>
            </m:r>
          </m:e>
          <m:sub>
            <m:r>
              <m:t>s</m:t>
            </m:r>
          </m:sub>
        </m:sSub>
      </m:oMath>
      <w:r>
        <w:t xml:space="preserve"> </w:t>
      </w:r>
      <w:r>
        <w:t xml:space="preserve">(24.7237/24.5050/24.0790 against 24.7311/24.5160/24.0866). Shunt paths cost 0.14 points at</w:t>
      </w:r>
      <w:r>
        <w:t xml:space="preserve"> </w:t>
      </w:r>
      <m:oMath>
        <m:sSub>
          <m:e>
            <m:r>
              <m:t>R</m:t>
            </m:r>
          </m:e>
          <m:sub>
            <m:r>
              <m:t>s</m:t>
            </m:r>
            <m:r>
              <m:t>h</m:t>
            </m:r>
          </m:sub>
        </m:sSub>
        <m:r>
          <m:rPr>
            <m:sty m:val="p"/>
          </m:rPr>
          <m:t>=</m:t>
        </m:r>
        <m:sSup>
          <m:e>
            <m:r>
              <m:t>10</m:t>
            </m:r>
          </m:e>
          <m:sup>
            <m:r>
              <m:t>4</m:t>
            </m:r>
          </m:sup>
        </m:sSup>
        <m:r>
          <m:t> </m:t>
        </m:r>
        <m:r>
          <m:rPr>
            <m:sty m:val="p"/>
          </m:rPr>
          <m:t>Ω</m:t>
        </m:r>
      </m:oMath>
      <w:r>
        <w:t xml:space="preserve">cm</w:t>
      </w:r>
      <m:oMath>
        <m:sSup>
          <m:e>
            <m:r>
              <m:t>​</m:t>
            </m:r>
          </m:e>
          <m:sup>
            <m:r>
              <m:t>2</m:t>
            </m:r>
          </m:sup>
        </m:sSup>
      </m:oMath>
      <w:r>
        <w:t xml:space="preserve"> </w:t>
      </w:r>
      <w:r>
        <w:t xml:space="preserve">at the prior base; combined</w:t>
      </w:r>
      <w:r>
        <w:t xml:space="preserve"> </w:t>
      </w:r>
      <m:oMath>
        <m:sSub>
          <m:e>
            <m:r>
              <m:t>R</m:t>
            </m:r>
          </m:e>
          <m:sub>
            <m:r>
              <m:t>s</m:t>
            </m:r>
          </m:sub>
        </m:sSub>
        <m:r>
          <m:rPr>
            <m:sty m:val="p"/>
          </m:rPr>
          <m:t>=</m:t>
        </m:r>
        <m:r>
          <m:t>1</m:t>
        </m:r>
      </m:oMath>
      <w:r>
        <w:t xml:space="preserve">/</w:t>
      </w:r>
      <m:oMath>
        <m:sSub>
          <m:e>
            <m:r>
              <m:t>R</m:t>
            </m:r>
          </m:e>
          <m:sub>
            <m:r>
              <m:t>s</m:t>
            </m:r>
            <m:r>
              <m:t>h</m:t>
            </m:r>
          </m:sub>
        </m:sSub>
        <m:r>
          <m:rPr>
            <m:sty m:val="p"/>
          </m:rPr>
          <m:t>=</m:t>
        </m:r>
        <m:sSup>
          <m:e>
            <m:r>
              <m:t>10</m:t>
            </m:r>
          </m:e>
          <m:sup>
            <m:r>
              <m:t>4</m:t>
            </m:r>
          </m:sup>
        </m:sSup>
      </m:oMath>
      <w:r>
        <w:t xml:space="preserve"> </w:t>
      </w:r>
      <w:r>
        <w:t xml:space="preserve">at the joint optimum gives 24.38%. The best point therefore survives parasitics, but only just: at</w:t>
      </w:r>
      <w:r>
        <w:t xml:space="preserve"> </w:t>
      </w:r>
      <m:oMath>
        <m:sSub>
          <m:e>
            <m:r>
              <m:t>R</m:t>
            </m:r>
          </m:e>
          <m:sub>
            <m:r>
              <m:t>s</m:t>
            </m:r>
          </m:sub>
        </m:sSub>
        <m:r>
          <m:rPr>
            <m:sty m:val="p"/>
          </m:rPr>
          <m:t>=</m:t>
        </m:r>
        <m:r>
          <m:t>2</m:t>
        </m:r>
        <m:r>
          <m:t> </m:t>
        </m:r>
        <m:r>
          <m:rPr>
            <m:sty m:val="p"/>
          </m:rPr>
          <m:t>Ω</m:t>
        </m:r>
      </m:oMath>
      <w:r>
        <w:t xml:space="preserve">cm</w:t>
      </w:r>
      <m:oMath>
        <m:sSup>
          <m:e>
            <m:r>
              <m:t>​</m:t>
            </m:r>
          </m:e>
          <m:sup>
            <m:r>
              <m:t>2</m:t>
            </m:r>
          </m:sup>
        </m:sSup>
      </m:oMath>
      <w:r>
        <w:t xml:space="preserve"> </w:t>
      </w:r>
      <w:r>
        <w:t xml:space="preserve">the margin over the 22.02% certified record is about two points. At routine defects</w:t>
      </w:r>
      <w:r>
        <w:t xml:space="preserve"> </w:t>
      </w:r>
      <m:oMath>
        <m:sSub>
          <m:e>
            <m:r>
              <m:t>R</m:t>
            </m:r>
          </m:e>
          <m:sub>
            <m:r>
              <m:t>s</m:t>
            </m:r>
          </m:sub>
        </m:sSub>
        <m:r>
          <m:rPr>
            <m:sty m:val="p"/>
          </m:rPr>
          <m:t>=</m:t>
        </m:r>
        <m:r>
          <m:t>1</m:t>
        </m:r>
      </m:oMath>
      <w:r>
        <w:t xml:space="preserve"> </w:t>
      </w:r>
      <w:r>
        <w:t xml:space="preserve">costs 0.40 points (20.82 to 20.42%).</w:t>
      </w:r>
    </w:p>
    <w:bookmarkStart w:id="55" w:name="fig:t"/>
    <w:p>
      <w:pPr>
        <w:pStyle w:val="CaptionedFigure"/>
      </w:pPr>
      <w:r>
        <w:drawing>
          <wp:inline>
            <wp:extent cx="4267200" cy="2358189"/>
            <wp:effectExtent b="0" l="0" r="0" t="0"/>
            <wp:docPr descr="" title="" id="53" name="Picture"/>
            <a:graphic>
              <a:graphicData uri="http://schemas.openxmlformats.org/drawingml/2006/picture">
                <pic:pic>
                  <pic:nvPicPr>
                    <pic:cNvPr descr="/home/touhid/Documents/leadpaper/outputs/figs/fig_T.png" id="54" name="Picture"/>
                    <pic:cNvPicPr>
                      <a:picLocks noChangeArrowheads="1" noChangeAspect="1"/>
                    </pic:cNvPicPr>
                  </pic:nvPicPr>
                  <pic:blipFill>
                    <a:blip r:embed="rId52"/>
                    <a:stretch>
                      <a:fillRect/>
                    </a:stretch>
                  </pic:blipFill>
                  <pic:spPr bwMode="auto">
                    <a:xfrm>
                      <a:off x="0" y="0"/>
                      <a:ext cx="4267200" cy="2358189"/>
                    </a:xfrm>
                    <a:prstGeom prst="rect">
                      <a:avLst/>
                    </a:prstGeom>
                    <a:noFill/>
                    <a:ln w="9525">
                      <a:noFill/>
                      <a:headEnd/>
                      <a:tailEnd/>
                    </a:ln>
                  </pic:spPr>
                </pic:pic>
              </a:graphicData>
            </a:graphic>
          </wp:inline>
        </w:drawing>
      </w:r>
    </w:p>
    <w:p>
      <w:pPr>
        <w:pStyle w:val="ImageCaption"/>
      </w:pPr>
      <w:r>
        <w:t xml:space="preserve">Efficiency and open-circuit voltage versus operating temperature at the joint-optimum base (</w:t>
      </w:r>
      <m:oMath>
        <m:sSub>
          <m:e>
            <m:r>
              <m:t>R</m:t>
            </m:r>
          </m:e>
          <m:sub>
            <m:r>
              <m:t>s</m:t>
            </m:r>
          </m:sub>
        </m:sSub>
        <m:r>
          <m:rPr>
            <m:sty m:val="p"/>
          </m:rPr>
          <m:t>=</m:t>
        </m:r>
        <m:r>
          <m:t>0</m:t>
        </m:r>
      </m:oMath>
      <w:r>
        <w:t xml:space="preserve">); the 475 K end is a solver stress test that ignores</w:t>
      </w:r>
      <w:r>
        <w:t xml:space="preserve"> </w:t>
      </w:r>
      <m:oMath>
        <m:sSub>
          <m:e>
            <m:r>
              <m:t>E</m:t>
            </m:r>
          </m:e>
          <m:sub>
            <m:r>
              <m:t>g</m:t>
            </m:r>
          </m:sub>
        </m:sSub>
        <m:r>
          <m:rPr>
            <m:sty m:val="p"/>
          </m:rPr>
          <m:t>(</m:t>
        </m:r>
        <m:r>
          <m:t>T</m:t>
        </m:r>
        <m:r>
          <m:rPr>
            <m:sty m:val="p"/>
          </m:rPr>
          <m:t>)</m:t>
        </m:r>
      </m:oMath>
      <w:r>
        <w:t xml:space="preserve"> </w:t>
      </w:r>
      <w:r>
        <w:t xml:space="preserve">and black-phase stability.</w:t>
      </w:r>
    </w:p>
    <w:bookmarkEnd w:id="55"/>
    <w:bookmarkStart w:id="56" w:name="tab:temp"/>
    <w:p>
      <w:pPr>
        <w:pStyle w:val="TableCaption"/>
      </w:pPr>
      <w:r>
        <w:t xml:space="preserve">Temperature dependence at the joint-optimum base (1 sun; T300</w:t>
      </w:r>
      <w:r>
        <w:t xml:space="preserve"> </w:t>
      </w:r>
      <m:oMath>
        <m:r>
          <m:rPr>
            <m:sty m:val="p"/>
          </m:rPr>
          <m:t>=</m:t>
        </m:r>
        <m:r>
          <m:t>24.9464</m:t>
        </m:r>
      </m:oMath>
      <w:r>
        <w:t xml:space="preserve">).</w:t>
      </w:r>
    </w:p>
    <w:tbl>
      <w:tblPr>
        <w:tblStyle w:val="Table"/>
        <w:tblW w:type="auto" w:w="0"/>
        <w:tblLook w:firstRow="1" w:lastRow="0" w:firstColumn="0" w:lastColumn="0" w:noHBand="0" w:noVBand="0" w:val="0020"/>
        <w:tblCaption w:val="Temperature dependence at the joint-optimum base (1 sun; T300 =24.9464)."/>
      </w:tblPr>
      <w:tblGrid>
        <w:gridCol w:w="1584"/>
        <w:gridCol w:w="1584"/>
        <w:gridCol w:w="1584"/>
        <w:gridCol w:w="1584"/>
        <w:gridCol w:w="1584"/>
      </w:tblGrid>
      <w:tr>
        <w:trPr>
          <w:tblHeader w:val="on"/>
        </w:trPr>
        <w:tc>
          <w:tcPr/>
          <w:p>
            <w:pPr>
              <w:pStyle w:val="Compact"/>
              <w:jc w:val="left"/>
            </w:pPr>
            <w:r>
              <w:t xml:space="preserve">T (K)</w:t>
            </w:r>
          </w:p>
        </w:tc>
        <w:tc>
          <w:tcPr/>
          <w:p>
            <w:pPr>
              <w:pStyle w:val="Compact"/>
              <w:jc w:val="left"/>
            </w:pPr>
            <w:r>
              <w:t xml:space="preserve">Voc (V)</w:t>
            </w:r>
          </w:p>
        </w:tc>
        <w:tc>
          <w:tcPr/>
          <w:p>
            <w:pPr>
              <w:pStyle w:val="Compact"/>
              <w:jc w:val="left"/>
            </w:pPr>
            <w:r>
              <w:t xml:space="preserve">Jsc (mA/cm</w:t>
            </w:r>
            <m:oMath>
              <m:sSup>
                <m:e>
                  <m:r>
                    <m:t>​</m:t>
                  </m:r>
                </m:e>
                <m:sup>
                  <m:r>
                    <m:t>2</m:t>
                  </m:r>
                </m:sup>
              </m:sSup>
            </m:oMath>
            <w:r>
              <w:t xml:space="preserve">)</w:t>
            </w:r>
          </w:p>
        </w:tc>
        <w:tc>
          <w:tcPr/>
          <w:p>
            <w:pPr>
              <w:pStyle w:val="Compact"/>
              <w:jc w:val="left"/>
            </w:pPr>
            <w:r>
              <w:t xml:space="preserve">FF (%)</w:t>
            </w:r>
          </w:p>
        </w:tc>
        <w:tc>
          <w:tcPr/>
          <w:p>
            <w:pPr>
              <w:pStyle w:val="Compact"/>
              <w:jc w:val="left"/>
            </w:pPr>
            <w:r>
              <w:t xml:space="preserve">PCE (%)</w:t>
            </w:r>
          </w:p>
        </w:tc>
      </w:tr>
      <w:tr>
        <w:tc>
          <w:tcPr/>
          <w:p>
            <w:pPr>
              <w:pStyle w:val="Compact"/>
              <w:jc w:val="left"/>
            </w:pPr>
            <w:r>
              <w:t xml:space="preserve">275</w:t>
            </w:r>
          </w:p>
        </w:tc>
        <w:tc>
          <w:tcPr/>
          <w:p>
            <w:pPr>
              <w:pStyle w:val="Compact"/>
              <w:jc w:val="left"/>
            </w:pPr>
            <w:r>
              <w:t xml:space="preserve">1.357</w:t>
            </w:r>
          </w:p>
        </w:tc>
        <w:tc>
          <w:tcPr/>
          <w:p>
            <w:pPr>
              <w:pStyle w:val="Compact"/>
              <w:jc w:val="left"/>
            </w:pPr>
            <w:r>
              <w:t xml:space="preserve">21.20</w:t>
            </w:r>
          </w:p>
        </w:tc>
        <w:tc>
          <w:tcPr/>
          <w:p>
            <w:pPr>
              <w:pStyle w:val="Compact"/>
              <w:jc w:val="left"/>
            </w:pPr>
            <w:r>
              <w:t xml:space="preserve">89.96</w:t>
            </w:r>
          </w:p>
        </w:tc>
        <w:tc>
          <w:tcPr/>
          <w:p>
            <w:pPr>
              <w:pStyle w:val="Compact"/>
              <w:jc w:val="left"/>
            </w:pPr>
            <w:r>
              <w:t xml:space="preserve">25.88</w:t>
            </w:r>
          </w:p>
        </w:tc>
      </w:tr>
      <w:tr>
        <w:tc>
          <w:tcPr/>
          <w:p>
            <w:pPr>
              <w:pStyle w:val="Compact"/>
              <w:jc w:val="left"/>
            </w:pPr>
            <w:r>
              <w:t xml:space="preserve">300</w:t>
            </w:r>
          </w:p>
        </w:tc>
        <w:tc>
          <w:tcPr/>
          <w:p>
            <w:pPr>
              <w:pStyle w:val="Compact"/>
              <w:jc w:val="left"/>
            </w:pPr>
            <w:r>
              <w:t xml:space="preserve">1.321</w:t>
            </w:r>
          </w:p>
        </w:tc>
        <w:tc>
          <w:tcPr/>
          <w:p>
            <w:pPr>
              <w:pStyle w:val="Compact"/>
              <w:jc w:val="left"/>
            </w:pPr>
            <w:r>
              <w:t xml:space="preserve">21.20</w:t>
            </w:r>
          </w:p>
        </w:tc>
        <w:tc>
          <w:tcPr/>
          <w:p>
            <w:pPr>
              <w:pStyle w:val="Compact"/>
              <w:jc w:val="left"/>
            </w:pPr>
            <w:r>
              <w:t xml:space="preserve">89.11</w:t>
            </w:r>
          </w:p>
        </w:tc>
        <w:tc>
          <w:tcPr/>
          <w:p>
            <w:pPr>
              <w:pStyle w:val="Compact"/>
              <w:jc w:val="left"/>
            </w:pPr>
            <w:r>
              <w:t xml:space="preserve">24.95</w:t>
            </w:r>
          </w:p>
        </w:tc>
      </w:tr>
      <w:tr>
        <w:tc>
          <w:tcPr/>
          <w:p>
            <w:pPr>
              <w:pStyle w:val="Compact"/>
              <w:jc w:val="left"/>
            </w:pPr>
            <w:r>
              <w:t xml:space="preserve">350</w:t>
            </w:r>
          </w:p>
        </w:tc>
        <w:tc>
          <w:tcPr/>
          <w:p>
            <w:pPr>
              <w:pStyle w:val="Compact"/>
              <w:jc w:val="left"/>
            </w:pPr>
            <w:r>
              <w:t xml:space="preserve">1.245</w:t>
            </w:r>
          </w:p>
        </w:tc>
        <w:tc>
          <w:tcPr/>
          <w:p>
            <w:pPr>
              <w:pStyle w:val="Compact"/>
              <w:jc w:val="left"/>
            </w:pPr>
            <w:r>
              <w:t xml:space="preserve">21.20</w:t>
            </w:r>
          </w:p>
        </w:tc>
        <w:tc>
          <w:tcPr/>
          <w:p>
            <w:pPr>
              <w:pStyle w:val="Compact"/>
              <w:jc w:val="left"/>
            </w:pPr>
            <w:r>
              <w:t xml:space="preserve">87.37</w:t>
            </w:r>
          </w:p>
        </w:tc>
        <w:tc>
          <w:tcPr/>
          <w:p>
            <w:pPr>
              <w:pStyle w:val="Compact"/>
              <w:jc w:val="left"/>
            </w:pPr>
            <w:r>
              <w:t xml:space="preserve">23.05</w:t>
            </w:r>
          </w:p>
        </w:tc>
      </w:tr>
      <w:tr>
        <w:tc>
          <w:tcPr/>
          <w:p>
            <w:pPr>
              <w:pStyle w:val="Compact"/>
              <w:jc w:val="left"/>
            </w:pPr>
            <w:r>
              <w:t xml:space="preserve">400</w:t>
            </w:r>
          </w:p>
        </w:tc>
        <w:tc>
          <w:tcPr/>
          <w:p>
            <w:pPr>
              <w:pStyle w:val="Compact"/>
              <w:jc w:val="left"/>
            </w:pPr>
            <w:r>
              <w:t xml:space="preserve">1.165</w:t>
            </w:r>
          </w:p>
        </w:tc>
        <w:tc>
          <w:tcPr/>
          <w:p>
            <w:pPr>
              <w:pStyle w:val="Compact"/>
              <w:jc w:val="left"/>
            </w:pPr>
            <w:r>
              <w:t xml:space="preserve">21.20</w:t>
            </w:r>
          </w:p>
        </w:tc>
        <w:tc>
          <w:tcPr/>
          <w:p>
            <w:pPr>
              <w:pStyle w:val="Compact"/>
              <w:jc w:val="left"/>
            </w:pPr>
            <w:r>
              <w:t xml:space="preserve">85.51</w:t>
            </w:r>
          </w:p>
        </w:tc>
        <w:tc>
          <w:tcPr/>
          <w:p>
            <w:pPr>
              <w:pStyle w:val="Compact"/>
              <w:jc w:val="left"/>
            </w:pPr>
            <w:r>
              <w:t xml:space="preserve">21.12</w:t>
            </w:r>
          </w:p>
        </w:tc>
      </w:tr>
      <w:tr>
        <w:tc>
          <w:tcPr/>
          <w:p>
            <w:pPr>
              <w:pStyle w:val="Compact"/>
              <w:jc w:val="left"/>
            </w:pPr>
            <w:r>
              <w:t xml:space="preserve">475</w:t>
            </w:r>
          </w:p>
        </w:tc>
        <w:tc>
          <w:tcPr/>
          <w:p>
            <w:pPr>
              <w:pStyle w:val="Compact"/>
              <w:jc w:val="left"/>
            </w:pPr>
            <w:r>
              <w:t xml:space="preserve">1.038</w:t>
            </w:r>
          </w:p>
        </w:tc>
        <w:tc>
          <w:tcPr/>
          <w:p>
            <w:pPr>
              <w:pStyle w:val="Compact"/>
              <w:jc w:val="left"/>
            </w:pPr>
            <w:r>
              <w:t xml:space="preserve">21.20</w:t>
            </w:r>
          </w:p>
        </w:tc>
        <w:tc>
          <w:tcPr/>
          <w:p>
            <w:pPr>
              <w:pStyle w:val="Compact"/>
              <w:jc w:val="left"/>
            </w:pPr>
            <w:r>
              <w:t xml:space="preserve">82.43</w:t>
            </w:r>
          </w:p>
        </w:tc>
        <w:tc>
          <w:tcPr/>
          <w:p>
            <w:pPr>
              <w:pStyle w:val="Compact"/>
              <w:jc w:val="left"/>
            </w:pPr>
            <w:r>
              <w:t xml:space="preserve">18.13</w:t>
            </w:r>
          </w:p>
        </w:tc>
      </w:tr>
    </w:tbl>
    <w:bookmarkEnd w:id="56"/>
    <w:bookmarkEnd w:id="57"/>
    <w:bookmarkEnd w:id="58"/>
    <w:bookmarkStart w:id="67" w:name="X0b09050a57b0487b2f6a51cf9d75e3aaea8e960"/>
    <w:p>
      <w:pPr>
        <w:pStyle w:val="Heading1"/>
      </w:pPr>
      <w:r>
        <w:t xml:space="preserve">Interface dose–response and the limits of auditing others</w:t>
      </w:r>
    </w:p>
    <w:p>
      <w:pPr>
        <w:pStyle w:val="FirstParagraph"/>
      </w:pPr>
      <w:r>
        <w:t xml:space="preserve">Deleting the interface blocks (audit pairs in Table </w:t>
      </w:r>
      <w:hyperlink w:anchor="tab:audit">
        <w:r>
          <w:rPr>
            <w:rStyle w:val="Hyperlink"/>
          </w:rPr>
          <w:t xml:space="preserve">9</w:t>
        </w:r>
      </w:hyperlink>
      <w:r>
        <w:t xml:space="preserve">, dose–response plotted in Figure </w:t>
      </w:r>
      <w:hyperlink w:anchor="fig:audit">
        <w:r>
          <w:rPr>
            <w:rStyle w:val="Hyperlink"/>
          </w:rPr>
          <w:t xml:space="preserve">10</w:t>
        </w:r>
      </w:hyperlink>
      <w:r>
        <w:t xml:space="preserve">) inflates efficiency by 1.26–1.66 points absolute at the surveyed base (23.40 to 24.87%, 23.47 to 24.73%, 23.50 to 25.16%), almost entirely through a 0.13 V Voc rise as interface recombination vanishes. But the binary ON/OFF comparison understates the audit: the full dose–response at the prior adopted base (Table </w:t>
      </w:r>
      <w:hyperlink w:anchor="tab:ifdose">
        <w:r>
          <w:rPr>
            <w:rStyle w:val="Hyperlink"/>
          </w:rPr>
          <w:t xml:space="preserve">7</w:t>
        </w:r>
      </w:hyperlink>
      <w:r>
        <w:t xml:space="preserve">) runs 25.11% at</w:t>
      </w:r>
      <w:r>
        <w:t xml:space="preserve"> </w:t>
      </w:r>
      <m:oMath>
        <m:sSup>
          <m:e>
            <m:r>
              <m:t>10</m:t>
            </m:r>
          </m:e>
          <m:sup>
            <m:r>
              <m:t>8</m:t>
            </m:r>
          </m:sup>
        </m:sSup>
      </m:oMath>
      <w:r>
        <w:t xml:space="preserve"> cm</w:t>
      </w:r>
      <m:oMath>
        <m:sSup>
          <m:e>
            <m:r>
              <m:t>​</m:t>
            </m:r>
          </m:e>
          <m:sup>
            <m:r>
              <m:rPr>
                <m:sty m:val="p"/>
              </m:rPr>
              <m:t>−</m:t>
            </m:r>
            <m:r>
              <m:t>2</m:t>
            </m:r>
          </m:sup>
        </m:sSup>
      </m:oMath>
      <w:r>
        <w:t xml:space="preserve">, 24.77% at</w:t>
      </w:r>
      <w:r>
        <w:t xml:space="preserve"> </w:t>
      </w:r>
      <m:oMath>
        <m:sSup>
          <m:e>
            <m:r>
              <m:t>10</m:t>
            </m:r>
          </m:e>
          <m:sup>
            <m:r>
              <m:t>9</m:t>
            </m:r>
          </m:sup>
        </m:sSup>
      </m:oMath>
      <w:r>
        <w:t xml:space="preserve"> cm</w:t>
      </w:r>
      <m:oMath>
        <m:sSup>
          <m:e>
            <m:r>
              <m:t>​</m:t>
            </m:r>
          </m:e>
          <m:sup>
            <m:r>
              <m:rPr>
                <m:sty m:val="p"/>
              </m:rPr>
              <m:t>−</m:t>
            </m:r>
            <m:r>
              <m:t>2</m:t>
            </m:r>
          </m:sup>
        </m:sSup>
      </m:oMath>
      <w:r>
        <w:t xml:space="preserve">, 23.84% at the</w:t>
      </w:r>
      <w:r>
        <w:t xml:space="preserve"> </w:t>
      </w:r>
      <m:oMath>
        <m:sSup>
          <m:e>
            <m:r>
              <m:t>10</m:t>
            </m:r>
          </m:e>
          <m:sup>
            <m:r>
              <m:t>10</m:t>
            </m:r>
          </m:sup>
        </m:sSup>
      </m:oMath>
      <w:r>
        <w:t xml:space="preserve"> cm</w:t>
      </w:r>
      <m:oMath>
        <m:sSup>
          <m:e>
            <m:r>
              <m:t>​</m:t>
            </m:r>
          </m:e>
          <m:sup>
            <m:r>
              <m:rPr>
                <m:sty m:val="p"/>
              </m:rPr>
              <m:t>−</m:t>
            </m:r>
            <m:r>
              <m:t>2</m:t>
            </m:r>
          </m:sup>
        </m:sSup>
      </m:oMath>
      <w:r>
        <w:t xml:space="preserve"> </w:t>
      </w:r>
      <w:r>
        <w:t xml:space="preserve">guardrail, 22.62% at</w:t>
      </w:r>
      <w:r>
        <w:t xml:space="preserve"> </w:t>
      </w:r>
      <m:oMath>
        <m:sSup>
          <m:e>
            <m:r>
              <m:t>10</m:t>
            </m:r>
          </m:e>
          <m:sup>
            <m:r>
              <m:t>11</m:t>
            </m:r>
          </m:sup>
        </m:sSup>
      </m:oMath>
      <w:r>
        <w:t xml:space="preserve"> cm</w:t>
      </w:r>
      <m:oMath>
        <m:sSup>
          <m:e>
            <m:r>
              <m:t>​</m:t>
            </m:r>
          </m:e>
          <m:sup>
            <m:r>
              <m:rPr>
                <m:sty m:val="p"/>
              </m:rPr>
              <m:t>−</m:t>
            </m:r>
            <m:r>
              <m:t>2</m:t>
            </m:r>
          </m:sup>
        </m:sSup>
      </m:oMath>
      <w:r>
        <w:t xml:space="preserve">, and 21.20% at</w:t>
      </w:r>
      <w:r>
        <w:t xml:space="preserve"> </w:t>
      </w:r>
      <m:oMath>
        <m:sSup>
          <m:e>
            <m:r>
              <m:t>10</m:t>
            </m:r>
          </m:e>
          <m:sup>
            <m:r>
              <m:t>12</m:t>
            </m:r>
          </m:sup>
        </m:sSup>
      </m:oMath>
      <w:r>
        <w:t xml:space="preserve"> cm</w:t>
      </w:r>
      <m:oMath>
        <m:sSup>
          <m:e>
            <m:r>
              <m:t>​</m:t>
            </m:r>
          </m:e>
          <m:sup>
            <m:r>
              <m:rPr>
                <m:sty m:val="p"/>
              </m:rPr>
              <m:t>−</m:t>
            </m:r>
            <m:r>
              <m:t>2</m:t>
            </m:r>
          </m:sup>
        </m:sSup>
      </m:oMath>
      <w:r>
        <w:t xml:space="preserve">. Because interface density and cross-section enter only as the product</w:t>
      </w:r>
      <w:r>
        <w:t xml:space="preserve"> </w:t>
      </w:r>
      <m:oMath>
        <m:r>
          <m:t>N</m:t>
        </m:r>
        <m:r>
          <m:t>σ</m:t>
        </m:r>
      </m:oMath>
      <w:r>
        <w:t xml:space="preserve">, Table </w:t>
      </w:r>
      <w:hyperlink w:anchor="tab:taus">
        <w:r>
          <w:rPr>
            <w:rStyle w:val="Hyperlink"/>
          </w:rPr>
          <w:t xml:space="preserve">8</w:t>
        </w:r>
      </w:hyperlink>
      <w:r>
        <w:t xml:space="preserve"> </w:t>
      </w:r>
      <w:r>
        <w:t xml:space="preserve">restates the guardrailed regime in the portable metrics other studies can compare against: bulk lifetime</w:t>
      </w:r>
      <w:r>
        <w:t xml:space="preserve"> </w:t>
      </w:r>
      <m:oMath>
        <m:r>
          <m:t>τ</m:t>
        </m:r>
        <m:r>
          <m:rPr>
            <m:sty m:val="p"/>
          </m:rPr>
          <m:t>=</m:t>
        </m:r>
        <m:r>
          <m:t>1</m:t>
        </m:r>
        <m:r>
          <m:rPr>
            <m:sty m:val="p"/>
          </m:rPr>
          <m:t>/</m:t>
        </m:r>
        <m:r>
          <m:rPr>
            <m:sty m:val="p"/>
          </m:rPr>
          <m:t>(</m:t>
        </m:r>
        <m:r>
          <m:t>σ</m:t>
        </m:r>
        <m:sSub>
          <m:e>
            <m:r>
              <m:t>v</m:t>
            </m:r>
          </m:e>
          <m:sub>
            <m:r>
              <m:t>t</m:t>
            </m:r>
            <m:r>
              <m:t>h</m:t>
            </m:r>
          </m:sub>
        </m:sSub>
        <m:sSub>
          <m:e>
            <m:r>
              <m:t>N</m:t>
            </m:r>
          </m:e>
          <m:sub>
            <m:r>
              <m:t>t</m:t>
            </m:r>
          </m:sub>
        </m:sSub>
        <m:r>
          <m:rPr>
            <m:sty m:val="p"/>
          </m:rPr>
          <m:t>)</m:t>
        </m:r>
      </m:oMath>
      <w:r>
        <w:t xml:space="preserve"> </w:t>
      </w:r>
      <w:r>
        <w:t xml:space="preserve">and interface velocity</w:t>
      </w:r>
      <w:r>
        <w:t xml:space="preserve"> </w:t>
      </w:r>
      <m:oMath>
        <m:r>
          <m:t>S</m:t>
        </m:r>
        <m:r>
          <m:rPr>
            <m:sty m:val="p"/>
          </m:rPr>
          <m:t>=</m:t>
        </m:r>
        <m:r>
          <m:t>σ</m:t>
        </m:r>
        <m:sSub>
          <m:e>
            <m:r>
              <m:t>v</m:t>
            </m:r>
          </m:e>
          <m:sub>
            <m:r>
              <m:t>t</m:t>
            </m:r>
            <m:r>
              <m:t>h</m:t>
            </m:r>
          </m:sub>
        </m:sSub>
        <m:sSub>
          <m:e>
            <m:r>
              <m:t>N</m:t>
            </m:r>
          </m:e>
          <m:sub>
            <m:r>
              <m:t>i</m:t>
            </m:r>
            <m:r>
              <m:t>f</m:t>
            </m:r>
          </m:sub>
        </m:sSub>
      </m:oMath>
      <w:r>
        <w:t xml:space="preserve"> </w:t>
      </w:r>
      <w:r>
        <w:t xml:space="preserve">(with</w:t>
      </w:r>
      <w:r>
        <w:t xml:space="preserve"> </w:t>
      </w:r>
      <m:oMath>
        <m:sSub>
          <m:e>
            <m:r>
              <m:t>v</m:t>
            </m:r>
          </m:e>
          <m:sub>
            <m:r>
              <m:t>t</m:t>
            </m:r>
            <m:r>
              <m:t>h</m:t>
            </m:r>
          </m:sub>
        </m:sSub>
        <m:r>
          <m:rPr>
            <m:sty m:val="p"/>
          </m:rPr>
          <m:t>=</m:t>
        </m:r>
        <m:sSup>
          <m:e>
            <m:r>
              <m:t>10</m:t>
            </m:r>
          </m:e>
          <m:sup>
            <m:r>
              <m:t>5</m:t>
            </m:r>
          </m:sup>
        </m:sSup>
      </m:oMath>
      <w:r>
        <w:t xml:space="preserve"> m/s). Our guardrail is</w:t>
      </w:r>
      <w:r>
        <w:t xml:space="preserve"> </w:t>
      </w:r>
      <m:oMath>
        <m:r>
          <m:t>τ</m:t>
        </m:r>
        <m:r>
          <m:rPr>
            <m:sty m:val="p"/>
          </m:rPr>
          <m:t>=</m:t>
        </m:r>
        <m:r>
          <m:t>100</m:t>
        </m:r>
      </m:oMath>
      <w:r>
        <w:t xml:space="preserve"> </w:t>
      </w:r>
      <m:oMath>
        <m:r>
          <m:t>μ</m:t>
        </m:r>
      </m:oMath>
      <w:r>
        <w:t xml:space="preserve">s with</w:t>
      </w:r>
      <w:r>
        <w:t xml:space="preserve"> </w:t>
      </w:r>
      <m:oMath>
        <m:r>
          <m:t>S</m:t>
        </m:r>
        <m:r>
          <m:rPr>
            <m:sty m:val="p"/>
          </m:rPr>
          <m:t>=</m:t>
        </m:r>
        <m:r>
          <m:t>100</m:t>
        </m:r>
      </m:oMath>
      <w:r>
        <w:t xml:space="preserve"> cm/s. The decisive screen, however, is energetic, not parametric: the detailed-balance Voc computed from the model’s own Eg-sqrt absorption is 1.371 V at 1.65 eV (1.418 V at 1.70 eV), and the no-interface cells we computed (1.363–1.382 V) sit within 0.011 V of that radiative limit—the top one above it, the rest with no margin either—because with</w:t>
      </w:r>
      <w:r>
        <w:t xml:space="preserve"> </w:t>
      </w:r>
      <m:oMath>
        <m:sSub>
          <m:e>
            <m:r>
              <m:t>k</m:t>
            </m:r>
          </m:e>
          <m:sub>
            <m:r>
              <m:t>r</m:t>
            </m:r>
            <m:r>
              <m:t>a</m:t>
            </m:r>
            <m:r>
              <m:t>d</m:t>
            </m:r>
          </m:sub>
        </m:sSub>
        <m:r>
          <m:rPr>
            <m:sty m:val="p"/>
          </m:rPr>
          <m:t>=</m:t>
        </m:r>
        <m:r>
          <m:t>0</m:t>
        </m:r>
      </m:oMath>
      <w:r>
        <w:t xml:space="preserve"> </w:t>
      </w:r>
      <w:r>
        <w:t xml:space="preserve">in the model there is nothing to hold the quasi-Fermi splitting below the radiative bound. A band that hugs the limit is not evidence of a working cell. The published 24.17% </w:t>
      </w:r>
      <w:r>
        <w:t xml:space="preserve">[7]</w:t>
      </w:r>
      <w:r>
        <w:t xml:space="preserve"> </w:t>
      </w:r>
      <w:r>
        <w:t xml:space="preserve">and 24.24% </w:t>
      </w:r>
      <w:r>
        <w:t xml:space="preserve">[8]</w:t>
      </w:r>
      <w:r>
        <w:t xml:space="preserve"> </w:t>
      </w:r>
      <w:r>
        <w:t xml:space="preserve">values are therefore not placed on our curve at all: their stacks, gaps, thicknesses and defect parameters all differ from ours, neither paper prints a complete parameter table from which</w:t>
      </w:r>
      <w:r>
        <w:t xml:space="preserve"> </w:t>
      </w:r>
      <m:oMath>
        <m:r>
          <m:t>τ</m:t>
        </m:r>
      </m:oMath>
      <w:r>
        <w:t xml:space="preserve"> </w:t>
      </w:r>
      <w:r>
        <w:t xml:space="preserve">or</w:t>
      </w:r>
      <w:r>
        <w:t xml:space="preserve"> </w:t>
      </w:r>
      <m:oMath>
        <m:r>
          <m:t>S</m:t>
        </m:r>
      </m:oMath>
      <w:r>
        <w:t xml:space="preserve"> </w:t>
      </w:r>
      <w:r>
        <w:t xml:space="preserve">could be reconstructed, and we state this as a limitation rather than a finding.</w:t>
      </w:r>
    </w:p>
    <w:bookmarkStart w:id="66" w:name="where-the-missing-points-go"/>
    <w:p>
      <w:pPr>
        <w:pStyle w:val="Heading2"/>
      </w:pPr>
      <w:r>
        <w:t xml:space="preserve">Where the missing points go</w:t>
      </w:r>
    </w:p>
    <w:p>
      <w:pPr>
        <w:pStyle w:val="FirstParagraph"/>
      </w:pPr>
      <w:r>
        <w:t xml:space="preserve">The inflation is almost entirely a Voc effect (</w:t>
      </w:r>
      <m:oMath>
        <m:r>
          <m:rPr>
            <m:sty m:val="p"/>
          </m:rPr>
          <m:t>+</m:t>
        </m:r>
      </m:oMath>
      <w:r>
        <w:t xml:space="preserve">0.13 V at the champion cell,</w:t>
      </w:r>
      <w:r>
        <w:t xml:space="preserve"> </w:t>
      </w:r>
      <m:oMath>
        <m:r>
          <m:rPr>
            <m:sty m:val="p"/>
          </m:rPr>
          <m:t>+</m:t>
        </m:r>
        <m:r>
          <m:t>0.148</m:t>
        </m:r>
      </m:oMath>
      <w:r>
        <w:t xml:space="preserve"> V at 1.5 </w:t>
      </w:r>
      <m:oMath>
        <m:r>
          <m:t>μ</m:t>
        </m:r>
      </m:oMath>
      <w:r>
        <w:t xml:space="preserve">m) with Jsc unchanged to within 0.02 mA/cm</w:t>
      </w:r>
      <m:oMath>
        <m:sSup>
          <m:e>
            <m:r>
              <m:t>​</m:t>
            </m:r>
          </m:e>
          <m:sup>
            <m:r>
              <m:t>2</m:t>
            </m:r>
          </m:sup>
        </m:sSup>
      </m:oMath>
      <w:r>
        <w:t xml:space="preserve">: removing the</w:t>
      </w:r>
      <w:r>
        <w:t xml:space="preserve"> </w:t>
      </w:r>
      <m:oMath>
        <m:sSup>
          <m:e>
            <m:r>
              <m:t>10</m:t>
            </m:r>
          </m:e>
          <m:sup>
            <m:r>
              <m:t>10</m:t>
            </m:r>
          </m:sup>
        </m:sSup>
      </m:oMath>
      <w:r>
        <w:t xml:space="preserve"> cm</w:t>
      </w:r>
      <m:oMath>
        <m:sSup>
          <m:e>
            <m:r>
              <m:t>​</m:t>
            </m:r>
          </m:e>
          <m:sup>
            <m:r>
              <m:rPr>
                <m:sty m:val="p"/>
              </m:rPr>
              <m:t>−</m:t>
            </m:r>
            <m:r>
              <m:t>2</m:t>
            </m:r>
          </m:sup>
        </m:sSup>
      </m:oMath>
      <w:r>
        <w:t xml:space="preserve"> </w:t>
      </w:r>
      <w:r>
        <w:t xml:space="preserve">interface states eliminates the dominant SRH channel at the heterojunctions, unpinning the quasi-Fermi splitting. The no-interface Voc values (1.363–1.382 V) all sit within 0.011 V of the 1.371 V detailed-balance limit computed from the model’s own absorption, the top one above it: with</w:t>
      </w:r>
      <w:r>
        <w:t xml:space="preserve"> </w:t>
      </w:r>
      <m:oMath>
        <m:sSub>
          <m:e>
            <m:r>
              <m:t>k</m:t>
            </m:r>
          </m:e>
          <m:sub>
            <m:r>
              <m:t>r</m:t>
            </m:r>
            <m:r>
              <m:t>a</m:t>
            </m:r>
            <m:r>
              <m:t>d</m:t>
            </m:r>
          </m:sub>
        </m:sSub>
        <m:r>
          <m:rPr>
            <m:sty m:val="p"/>
          </m:rPr>
          <m:t>=</m:t>
        </m:r>
        <m:r>
          <m:t>0</m:t>
        </m:r>
      </m:oMath>
      <w:r>
        <w:t xml:space="preserve"> </w:t>
      </w:r>
      <w:r>
        <w:t xml:space="preserve">there is no radiative channel to pin the splitting, so none of these cells carries margin and none is trusted, regardless of rank order. Fill factor moves non-monotonically (89.86% down to 85.25–87.05% across the three audited cells) as the recombination profile reshapes. The no-interface 87.05% at Voc 1.363 V sits 3.7 points below Green’s ideal (90.8%): the archived JV curve stays flat to 1.16 V with no kink or S-shape, so there is no visible extraction barrier, but the knee remains SRH-rounded by the surviving bulk channel—removing interfaces unpins Voc without idealising the diode. This bounds the</w:t>
      </w:r>
      <w:r>
        <w:t xml:space="preserve"> </w:t>
      </w:r>
      <w:r>
        <w:t xml:space="preserve">“no extraction barriers”</w:t>
      </w:r>
      <w:r>
        <w:t xml:space="preserve"> </w:t>
      </w:r>
      <w:r>
        <w:t xml:space="preserve">claim to current collection, not to fill factor. Asymmetric tests show both heterojunctions matter:</w:t>
      </w:r>
      <w:r>
        <w:t xml:space="preserve"> </w:t>
      </w:r>
      <m:oMath>
        <m:sSup>
          <m:e>
            <m:r>
              <m:t>10</m:t>
            </m:r>
          </m:e>
          <m:sup>
            <m:r>
              <m:t>12</m:t>
            </m:r>
          </m:sup>
        </m:sSup>
      </m:oMath>
      <w:r>
        <w:t xml:space="preserve"> cm</w:t>
      </w:r>
      <m:oMath>
        <m:sSup>
          <m:e>
            <m:r>
              <m:t>​</m:t>
            </m:r>
          </m:e>
          <m:sup>
            <m:r>
              <m:rPr>
                <m:sty m:val="p"/>
              </m:rPr>
              <m:t>−</m:t>
            </m:r>
            <m:r>
              <m:t>2</m:t>
            </m:r>
          </m:sup>
        </m:sSup>
      </m:oMath>
      <w:r>
        <w:t xml:space="preserve"> </w:t>
      </w:r>
      <w:r>
        <w:t xml:space="preserve">on the ETL side alone gives 21.35%, on the HTL side alone 21.20%. Raising the capture cross-section</w:t>
      </w:r>
      <w:r>
        <w:t xml:space="preserve"> </w:t>
      </w:r>
      <m:oMath>
        <m:r>
          <m:t>10</m:t>
        </m:r>
        <m:r>
          <m:rPr>
            <m:sty m:val="p"/>
          </m:rPr>
          <m:t>×</m:t>
        </m:r>
      </m:oMath>
      <w:r>
        <w:t xml:space="preserve"> </w:t>
      </w:r>
      <w:r>
        <w:t xml:space="preserve">at fixed</w:t>
      </w:r>
      <w:r>
        <w:t xml:space="preserve"> </w:t>
      </w:r>
      <m:oMath>
        <m:sSub>
          <m:e>
            <m:r>
              <m:t>N</m:t>
            </m:r>
          </m:e>
          <m:sub>
            <m:r>
              <m:t>i</m:t>
            </m:r>
            <m:r>
              <m:t>f</m:t>
            </m:r>
          </m:sub>
        </m:sSub>
        <m:r>
          <m:rPr>
            <m:sty m:val="p"/>
          </m:rPr>
          <m:t>=</m:t>
        </m:r>
        <m:sSup>
          <m:e>
            <m:r>
              <m:t>10</m:t>
            </m:r>
          </m:e>
          <m:sup>
            <m:r>
              <m:t>10</m:t>
            </m:r>
          </m:sup>
        </m:sSup>
      </m:oMath>
      <w:r>
        <w:t xml:space="preserve"> cm</w:t>
      </w:r>
      <m:oMath>
        <m:sSup>
          <m:e>
            <m:r>
              <m:t>​</m:t>
            </m:r>
          </m:e>
          <m:sup>
            <m:r>
              <m:rPr>
                <m:sty m:val="p"/>
              </m:rPr>
              <m:t>−</m:t>
            </m:r>
            <m:r>
              <m:t>2</m:t>
            </m:r>
          </m:sup>
        </m:sSup>
      </m:oMath>
      <w:r>
        <w:t xml:space="preserve"> </w:t>
      </w:r>
      <w:r>
        <w:t xml:space="preserve">gives 22.2108%, digit-identical to the</w:t>
      </w:r>
      <w:r>
        <w:t xml:space="preserve"> </w:t>
      </w:r>
      <m:oMath>
        <m:r>
          <m:t>N</m:t>
        </m:r>
        <m:r>
          <m:rPr>
            <m:sty m:val="p"/>
          </m:rPr>
          <m:t>×</m:t>
        </m:r>
        <m:r>
          <m:t>10</m:t>
        </m:r>
      </m:oMath>
      <w:r>
        <w:t xml:space="preserve"> </w:t>
      </w:r>
      <w:r>
        <w:t xml:space="preserve">run at the same base (both 22.2108; receipts in Table </w:t>
      </w:r>
      <w:hyperlink w:anchor="tab:runs">
        <w:r>
          <w:rPr>
            <w:rStyle w:val="Hyperlink"/>
          </w:rPr>
          <w:t xml:space="preserve">14</w:t>
        </w:r>
      </w:hyperlink>
      <w:r>
        <w:t xml:space="preserve">): for the symmetric single level, rate scales exactly with the</w:t>
      </w:r>
      <w:r>
        <w:t xml:space="preserve"> </w:t>
      </w:r>
      <m:oMath>
        <m:r>
          <m:t>N</m:t>
        </m:r>
        <m:r>
          <m:t>σ</m:t>
        </m:r>
      </m:oMath>
      <w:r>
        <w:t xml:space="preserve"> </w:t>
      </w:r>
      <w:r>
        <w:t xml:space="preserve">product. The same identity holds in the bulk:</w:t>
      </w:r>
      <w:r>
        <w:t xml:space="preserve"> </w:t>
      </w:r>
      <m:oMath>
        <m:r>
          <m:t>σ</m:t>
        </m:r>
        <m:r>
          <m:rPr>
            <m:sty m:val="p"/>
          </m:rPr>
          <m:t>×</m:t>
        </m:r>
        <m:r>
          <m:t>10</m:t>
        </m:r>
      </m:oMath>
      <w:r>
        <w:t xml:space="preserve"> </w:t>
      </w:r>
      <w:r>
        <w:t xml:space="preserve">at the</w:t>
      </w:r>
      <w:r>
        <w:t xml:space="preserve"> </w:t>
      </w:r>
      <m:oMath>
        <m:sSub>
          <m:e>
            <m:r>
              <m:t>N</m:t>
            </m:r>
          </m:e>
          <m:sub>
            <m:r>
              <m:t>t</m:t>
            </m:r>
          </m:sub>
        </m:sSub>
      </m:oMath>
      <w:r>
        <w:t xml:space="preserve"> </w:t>
      </w:r>
      <w:r>
        <w:t xml:space="preserve">floor gives 23.2572% (digit-identical to</w:t>
      </w:r>
      <w:r>
        <w:t xml:space="preserve"> </w:t>
      </w:r>
      <m:oMath>
        <m:sSub>
          <m:e>
            <m:r>
              <m:t>N</m:t>
            </m:r>
          </m:e>
          <m:sub>
            <m:r>
              <m:t>t</m:t>
            </m:r>
          </m:sub>
        </m:sSub>
        <m:r>
          <m:rPr>
            <m:sty m:val="p"/>
          </m:rPr>
          <m:t>×</m:t>
        </m:r>
        <m:r>
          <m:t>10</m:t>
        </m:r>
      </m:oMath>
      <w:r>
        <w:t xml:space="preserve"> </w:t>
      </w:r>
      <w:r>
        <w:t xml:space="preserve">at the same base,</w:t>
      </w:r>
      <w:r>
        <w:t xml:space="preserve"> </w:t>
      </w:r>
      <m:oMath>
        <m:r>
          <m:rPr>
            <m:sty m:val="p"/>
          </m:rPr>
          <m:t>=</m:t>
        </m:r>
        <m:r>
          <m:t>23.2572</m:t>
        </m:r>
      </m:oMath>
      <w:r>
        <w:t xml:space="preserve">; receipts in Table </w:t>
      </w:r>
      <w:hyperlink w:anchor="tab:runs">
        <w:r>
          <w:rPr>
            <w:rStyle w:val="Hyperlink"/>
          </w:rPr>
          <w:t xml:space="preserve">14</w:t>
        </w:r>
      </w:hyperlink>
      <w:r>
        <w:t xml:space="preserve">), a 0.25-point cost against the surveyed 23.5041 anchor. (A first attempt via the script</w:t>
      </w:r>
      <w:r>
        <w:t xml:space="preserve"> </w:t>
      </w:r>
      <w:r>
        <w:rPr>
          <w:rStyle w:val="VerbatimChar"/>
        </w:rPr>
        <w:t xml:space="preserve">set</w:t>
      </w:r>
      <w:r>
        <w:t xml:space="preserve"> </w:t>
      </w:r>
      <w:r>
        <w:t xml:space="preserve">key for</w:t>
      </w:r>
      <w:r>
        <w:t xml:space="preserve"> </w:t>
      </w:r>
      <m:oMath>
        <m:r>
          <m:t>σ</m:t>
        </m:r>
      </m:oMath>
      <w:r>
        <w:t xml:space="preserve"> </w:t>
      </w:r>
      <w:r>
        <w:t xml:space="preserve">neutralised the interfaces instead of scaling them; only the verified definition-file variant is reported—see Appendix A.) Bulk</w:t>
      </w:r>
      <w:r>
        <w:t xml:space="preserve"> </w:t>
      </w:r>
      <m:oMath>
        <m:sSub>
          <m:e>
            <m:r>
              <m:t>N</m:t>
            </m:r>
          </m:e>
          <m:sub>
            <m:r>
              <m:t>t</m:t>
            </m:r>
          </m:sub>
        </m:sSub>
        <m:r>
          <m:rPr>
            <m:sty m:val="p"/>
          </m:rPr>
          <m:t>×</m:t>
        </m:r>
        <m:r>
          <m:t>σ</m:t>
        </m:r>
      </m:oMath>
      <w:r>
        <w:t xml:space="preserve"> </w:t>
      </w:r>
      <w:r>
        <w:t xml:space="preserve">costs 0.25 points at the</w:t>
      </w:r>
      <w:r>
        <w:t xml:space="preserve"> </w:t>
      </w:r>
      <m:oMath>
        <m:sSup>
          <m:e>
            <m:r>
              <m:t>10</m:t>
            </m:r>
          </m:e>
          <m:sup>
            <m:r>
              <m:t>12</m:t>
            </m:r>
          </m:sup>
        </m:sSup>
      </m:oMath>
      <w:r>
        <w:t xml:space="preserve"> cm</w:t>
      </w:r>
      <m:oMath>
        <m:sSup>
          <m:e>
            <m:r>
              <m:t>​</m:t>
            </m:r>
          </m:e>
          <m:sup>
            <m:r>
              <m:rPr>
                <m:sty m:val="p"/>
              </m:rPr>
              <m:t>−</m:t>
            </m:r>
            <m:r>
              <m:t>3</m:t>
            </m:r>
          </m:sup>
        </m:sSup>
      </m:oMath>
      <w:r>
        <w:t xml:space="preserve"> </w:t>
      </w:r>
      <w:r>
        <w:t xml:space="preserve">floor but 3.12 points at routine</w:t>
      </w:r>
      <w:r>
        <w:t xml:space="preserve"> </w:t>
      </w:r>
      <m:oMath>
        <m:sSup>
          <m:e>
            <m:r>
              <m:t>10</m:t>
            </m:r>
          </m:e>
          <m:sup>
            <m:r>
              <m:t>15</m:t>
            </m:r>
          </m:sup>
        </m:sSup>
      </m:oMath>
      <w:r>
        <w:t xml:space="preserve"> cm</w:t>
      </w:r>
      <m:oMath>
        <m:sSup>
          <m:e>
            <m:r>
              <m:t>​</m:t>
            </m:r>
          </m:e>
          <m:sup>
            <m:r>
              <m:rPr>
                <m:sty m:val="p"/>
              </m:rPr>
              <m:t>−</m:t>
            </m:r>
            <m:r>
              <m:t>3</m:t>
            </m:r>
          </m:sup>
        </m:sSup>
      </m:oMath>
      <w:r>
        <w:t xml:space="preserve"> </w:t>
      </w:r>
      <w:r>
        <w:t xml:space="preserve">(20.5603% at matched</w:t>
      </w:r>
      <w:r>
        <w:t xml:space="preserve"> </w:t>
      </w:r>
      <m:oMath>
        <m:r>
          <m:t>σ</m:t>
        </m:r>
        <m:r>
          <m:rPr>
            <m:sty m:val="p"/>
          </m:rPr>
          <m:t>×</m:t>
        </m:r>
        <m:r>
          <m:t>1</m:t>
        </m:r>
      </m:oMath>
      <w:r>
        <w:t xml:space="preserve"> </w:t>
      </w:r>
      <w:r>
        <w:t xml:space="preserve">geometry down to 17.4433%), while</w:t>
      </w:r>
      <w:r>
        <w:t xml:space="preserve"> </w:t>
      </w:r>
      <m:oMath>
        <m:r>
          <m:t>σ</m:t>
        </m:r>
        <m:r>
          <m:rPr>
            <m:sty m:val="p"/>
          </m:rPr>
          <m:t>×</m:t>
        </m:r>
        <m:r>
          <m:t>0.1</m:t>
        </m:r>
      </m:oMath>
      <w:r>
        <w:t xml:space="preserve"> </w:t>
      </w:r>
      <w:r>
        <w:t xml:space="preserve">at the floor gains only 0.03 points (23.53%)—the floor is saturated.) The computed parasitic sweep at the adopted base is tabulated below.</w:t>
      </w:r>
    </w:p>
    <w:bookmarkStart w:id="62" w:name="fig:audit"/>
    <w:p>
      <w:pPr>
        <w:pStyle w:val="CaptionedFigure"/>
      </w:pPr>
      <w:r>
        <w:drawing>
          <wp:inline>
            <wp:extent cx="4267200" cy="2470484"/>
            <wp:effectExtent b="0" l="0" r="0" t="0"/>
            <wp:docPr descr="" title="" id="60" name="Picture"/>
            <a:graphic>
              <a:graphicData uri="http://schemas.openxmlformats.org/drawingml/2006/picture">
                <pic:pic>
                  <pic:nvPicPr>
                    <pic:cNvPr descr="/home/touhid/Documents/leadpaper/outputs/figs/fig_audit.png" id="61" name="Picture"/>
                    <pic:cNvPicPr>
                      <a:picLocks noChangeArrowheads="1" noChangeAspect="1"/>
                    </pic:cNvPicPr>
                  </pic:nvPicPr>
                  <pic:blipFill>
                    <a:blip r:embed="rId59"/>
                    <a:stretch>
                      <a:fillRect/>
                    </a:stretch>
                  </pic:blipFill>
                  <pic:spPr bwMode="auto">
                    <a:xfrm>
                      <a:off x="0" y="0"/>
                      <a:ext cx="4267200" cy="2470484"/>
                    </a:xfrm>
                    <a:prstGeom prst="rect">
                      <a:avLst/>
                    </a:prstGeom>
                    <a:noFill/>
                    <a:ln w="9525">
                      <a:noFill/>
                      <a:headEnd/>
                      <a:tailEnd/>
                    </a:ln>
                  </pic:spPr>
                </pic:pic>
              </a:graphicData>
            </a:graphic>
          </wp:inline>
        </w:drawing>
      </w:r>
    </w:p>
    <w:p>
      <w:pPr>
        <w:pStyle w:val="ImageCaption"/>
      </w:pPr>
      <w:r>
        <w:t xml:space="preserve">Same cell at graded interface quality: efficiency vs</w:t>
      </w:r>
      <w:r>
        <w:t xml:space="preserve"> </w:t>
      </w:r>
      <m:oMath>
        <m:sSub>
          <m:e>
            <m:r>
              <m:t>N</m:t>
            </m:r>
          </m:e>
          <m:sub>
            <m:r>
              <m:t>i</m:t>
            </m:r>
            <m:r>
              <m:t>f</m:t>
            </m:r>
          </m:sub>
        </m:sSub>
      </m:oMath>
      <w:r>
        <w:t xml:space="preserve"> </w:t>
      </w:r>
      <w:r>
        <w:t xml:space="preserve">(both sides). No literature scale bar is shown: cross-stack mapping is not claimed (Section 7.0).</w:t>
      </w:r>
    </w:p>
    <w:bookmarkEnd w:id="62"/>
    <w:bookmarkStart w:id="63" w:name="tab:ifdose"/>
    <w:p>
      <w:pPr>
        <w:pStyle w:val="TableCaption"/>
      </w:pPr>
      <w:r>
        <w:t xml:space="preserve">Interface dose–response (prior adopted base unless noted; both sides unless noted).</w:t>
      </w:r>
    </w:p>
    <w:tbl>
      <w:tblPr>
        <w:tblStyle w:val="Table"/>
        <w:tblW w:type="auto" w:w="0"/>
        <w:tblLook w:firstRow="1" w:lastRow="0" w:firstColumn="0" w:lastColumn="0" w:noHBand="0" w:noVBand="0" w:val="0020"/>
        <w:tblCaption w:val="Interface dose–response (prior adopted base unless noted; both sides unless noted)."/>
      </w:tblPr>
      <w:tblGrid>
        <w:gridCol w:w="2640"/>
        <w:gridCol w:w="2640"/>
        <w:gridCol w:w="2640"/>
      </w:tblGrid>
      <w:tr>
        <w:trPr>
          <w:tblHeader w:val="on"/>
        </w:trPr>
        <w:tc>
          <w:tcPr/>
          <w:p>
            <w:pPr>
              <w:pStyle w:val="Compact"/>
              <w:jc w:val="left"/>
            </w:pPr>
            <m:oMath>
              <m:sSub>
                <m:e>
                  <m:r>
                    <m:t>N</m:t>
                  </m:r>
                </m:e>
                <m:sub>
                  <m:r>
                    <m:t>i</m:t>
                  </m:r>
                  <m:r>
                    <m:t>f</m:t>
                  </m:r>
                </m:sub>
              </m:sSub>
            </m:oMath>
            <w:r>
              <w:t xml:space="preserve"> </w:t>
            </w:r>
            <w:r>
              <w:t xml:space="preserve">(cm</w:t>
            </w:r>
            <m:oMath>
              <m:sSup>
                <m:e>
                  <m:r>
                    <m:t>​</m:t>
                  </m:r>
                </m:e>
                <m:sup>
                  <m:r>
                    <m:rPr>
                      <m:sty m:val="p"/>
                    </m:rPr>
                    <m:t>−</m:t>
                  </m:r>
                  <m:r>
                    <m:t>2</m:t>
                  </m:r>
                </m:sup>
              </m:sSup>
            </m:oMath>
            <w:r>
              <w:t xml:space="preserve">)</w:t>
            </w:r>
          </w:p>
        </w:tc>
        <w:tc>
          <w:tcPr/>
          <w:p>
            <w:pPr>
              <w:pStyle w:val="Compact"/>
              <w:jc w:val="left"/>
            </w:pPr>
            <w:r>
              <w:t xml:space="preserve">PCE (%)</w:t>
            </w:r>
          </w:p>
        </w:tc>
        <w:tc>
          <w:tcPr/>
          <w:p>
            <w:pPr>
              <w:pStyle w:val="Compact"/>
              <w:jc w:val="left"/>
            </w:pPr>
            <w:r>
              <w:t xml:space="preserve">Note</w:t>
            </w:r>
          </w:p>
        </w:tc>
      </w:tr>
      <w:tr>
        <w:tc>
          <w:tcPr/>
          <w:p>
            <w:pPr>
              <w:pStyle w:val="Compact"/>
              <w:jc w:val="left"/>
            </w:pPr>
            <m:oMath>
              <m:sSup>
                <m:e>
                  <m:r>
                    <m:t>10</m:t>
                  </m:r>
                </m:e>
                <m:sup>
                  <m:r>
                    <m:t>8</m:t>
                  </m:r>
                </m:sup>
              </m:sSup>
            </m:oMath>
          </w:p>
        </w:tc>
        <w:tc>
          <w:tcPr/>
          <w:p>
            <w:pPr>
              <w:pStyle w:val="Compact"/>
              <w:jc w:val="left"/>
            </w:pPr>
            <w:r>
              <w:t xml:space="preserve">25.11</w:t>
            </w:r>
          </w:p>
        </w:tc>
        <w:tc>
          <w:tcPr/>
          <w:p>
            <w:pPr>
              <w:pStyle w:val="Compact"/>
              <w:jc w:val="left"/>
            </w:pPr>
            <w:r>
              <w:t xml:space="preserve">–</w:t>
            </w:r>
          </w:p>
        </w:tc>
      </w:tr>
      <w:tr>
        <w:tc>
          <w:tcPr/>
          <w:p>
            <w:pPr>
              <w:pStyle w:val="Compact"/>
              <w:jc w:val="left"/>
            </w:pPr>
            <m:oMath>
              <m:sSup>
                <m:e>
                  <m:r>
                    <m:t>10</m:t>
                  </m:r>
                </m:e>
                <m:sup>
                  <m:r>
                    <m:t>9</m:t>
                  </m:r>
                </m:sup>
              </m:sSup>
            </m:oMath>
          </w:p>
        </w:tc>
        <w:tc>
          <w:tcPr/>
          <w:p>
            <w:pPr>
              <w:pStyle w:val="Compact"/>
              <w:jc w:val="left"/>
            </w:pPr>
            <w:r>
              <w:t xml:space="preserve">24.77</w:t>
            </w:r>
          </w:p>
        </w:tc>
        <w:tc>
          <w:tcPr/>
          <w:p>
            <w:pPr>
              <w:pStyle w:val="Compact"/>
              <w:jc w:val="left"/>
            </w:pPr>
            <w:r>
              <w:t xml:space="preserve">–</w:t>
            </w:r>
          </w:p>
        </w:tc>
      </w:tr>
      <w:tr>
        <w:tc>
          <w:tcPr/>
          <w:p>
            <w:pPr>
              <w:pStyle w:val="Compact"/>
              <w:jc w:val="left"/>
            </w:pPr>
            <m:oMath>
              <m:sSup>
                <m:e>
                  <m:r>
                    <m:t>10</m:t>
                  </m:r>
                </m:e>
                <m:sup>
                  <m:r>
                    <m:t>10</m:t>
                  </m:r>
                </m:sup>
              </m:sSup>
            </m:oMath>
            <w:r>
              <w:t xml:space="preserve"> </w:t>
            </w:r>
            <w:r>
              <w:t xml:space="preserve">(guardrail)</w:t>
            </w:r>
          </w:p>
        </w:tc>
        <w:tc>
          <w:tcPr/>
          <w:p>
            <w:pPr>
              <w:pStyle w:val="Compact"/>
              <w:jc w:val="left"/>
            </w:pPr>
            <w:r>
              <w:t xml:space="preserve">23.84</w:t>
            </w:r>
          </w:p>
        </w:tc>
        <w:tc>
          <w:tcPr/>
          <w:p>
            <w:pPr>
              <w:pStyle w:val="Compact"/>
              <w:jc w:val="left"/>
            </w:pPr>
            <w:r>
              <w:t xml:space="preserve">prior adopted base</w:t>
            </w:r>
          </w:p>
        </w:tc>
      </w:tr>
      <w:tr>
        <w:tc>
          <w:tcPr/>
          <w:p>
            <w:pPr>
              <w:pStyle w:val="Compact"/>
              <w:jc w:val="left"/>
            </w:pPr>
            <m:oMath>
              <m:sSup>
                <m:e>
                  <m:r>
                    <m:t>10</m:t>
                  </m:r>
                </m:e>
                <m:sup>
                  <m:r>
                    <m:t>11</m:t>
                  </m:r>
                </m:sup>
              </m:sSup>
            </m:oMath>
          </w:p>
        </w:tc>
        <w:tc>
          <w:tcPr/>
          <w:p>
            <w:pPr>
              <w:pStyle w:val="Compact"/>
              <w:jc w:val="left"/>
            </w:pPr>
            <w:r>
              <w:t xml:space="preserve">22.62</w:t>
            </w:r>
          </w:p>
        </w:tc>
        <w:tc>
          <w:tcPr/>
          <w:p>
            <w:pPr>
              <w:pStyle w:val="Compact"/>
              <w:jc w:val="left"/>
            </w:pPr>
            <w:r>
              <w:t xml:space="preserve">–</w:t>
            </w:r>
          </w:p>
        </w:tc>
      </w:tr>
      <w:tr>
        <w:tc>
          <w:tcPr/>
          <w:p>
            <w:pPr>
              <w:pStyle w:val="Compact"/>
              <w:jc w:val="left"/>
            </w:pPr>
            <m:oMath>
              <m:sSup>
                <m:e>
                  <m:r>
                    <m:t>10</m:t>
                  </m:r>
                </m:e>
                <m:sup>
                  <m:r>
                    <m:t>12</m:t>
                  </m:r>
                </m:sup>
              </m:sSup>
            </m:oMath>
          </w:p>
        </w:tc>
        <w:tc>
          <w:tcPr/>
          <w:p>
            <w:pPr>
              <w:pStyle w:val="Compact"/>
              <w:jc w:val="left"/>
            </w:pPr>
            <w:r>
              <w:t xml:space="preserve">21.20</w:t>
            </w:r>
          </w:p>
        </w:tc>
        <w:tc>
          <w:tcPr/>
          <w:p>
            <w:pPr>
              <w:pStyle w:val="Compact"/>
              <w:jc w:val="left"/>
            </w:pPr>
            <w:r>
              <w:t xml:space="preserve">–</w:t>
            </w:r>
          </w:p>
        </w:tc>
      </w:tr>
      <w:tr>
        <w:tc>
          <w:tcPr/>
          <w:p>
            <w:pPr>
              <w:pStyle w:val="Compact"/>
              <w:jc w:val="left"/>
            </w:pPr>
            <m:oMath>
              <m:sSup>
                <m:e>
                  <m:r>
                    <m:t>10</m:t>
                  </m:r>
                </m:e>
                <m:sup>
                  <m:r>
                    <m:t>12</m:t>
                  </m:r>
                </m:sup>
              </m:sSup>
            </m:oMath>
            <w:r>
              <w:t xml:space="preserve"> </w:t>
            </w:r>
            <w:r>
              <w:t xml:space="preserve">ETL side only</w:t>
            </w:r>
          </w:p>
        </w:tc>
        <w:tc>
          <w:tcPr/>
          <w:p>
            <w:pPr>
              <w:pStyle w:val="Compact"/>
              <w:jc w:val="left"/>
            </w:pPr>
            <w:r>
              <w:t xml:space="preserve">21.35</w:t>
            </w:r>
          </w:p>
        </w:tc>
        <w:tc>
          <w:tcPr/>
          <w:p>
            <w:pPr>
              <w:pStyle w:val="Compact"/>
              <w:jc w:val="left"/>
            </w:pPr>
            <w:r>
              <w:t xml:space="preserve">surveyed base</w:t>
            </w:r>
          </w:p>
        </w:tc>
      </w:tr>
      <w:tr>
        <w:tc>
          <w:tcPr/>
          <w:p>
            <w:pPr>
              <w:pStyle w:val="Compact"/>
              <w:jc w:val="left"/>
            </w:pPr>
            <m:oMath>
              <m:sSup>
                <m:e>
                  <m:r>
                    <m:t>10</m:t>
                  </m:r>
                </m:e>
                <m:sup>
                  <m:r>
                    <m:t>12</m:t>
                  </m:r>
                </m:sup>
              </m:sSup>
            </m:oMath>
            <w:r>
              <w:t xml:space="preserve"> </w:t>
            </w:r>
            <w:r>
              <w:t xml:space="preserve">HTL side only</w:t>
            </w:r>
          </w:p>
        </w:tc>
        <w:tc>
          <w:tcPr/>
          <w:p>
            <w:pPr>
              <w:pStyle w:val="Compact"/>
              <w:jc w:val="left"/>
            </w:pPr>
            <w:r>
              <w:t xml:space="preserve">21.20</w:t>
            </w:r>
          </w:p>
        </w:tc>
        <w:tc>
          <w:tcPr/>
          <w:p>
            <w:pPr>
              <w:pStyle w:val="Compact"/>
              <w:jc w:val="left"/>
            </w:pPr>
            <w:r>
              <w:t xml:space="preserve">surveyed base</w:t>
            </w:r>
          </w:p>
        </w:tc>
      </w:tr>
      <w:tr>
        <w:tc>
          <w:tcPr/>
          <w:p>
            <w:pPr>
              <w:pStyle w:val="Compact"/>
              <w:jc w:val="left"/>
            </w:pPr>
            <m:oMath>
              <m:sSup>
                <m:e>
                  <m:r>
                    <m:t>10</m:t>
                  </m:r>
                </m:e>
                <m:sup>
                  <m:r>
                    <m:t>10</m:t>
                  </m:r>
                </m:sup>
              </m:sSup>
            </m:oMath>
            <w:r>
              <w:t xml:space="preserve">,</w:t>
            </w:r>
            <w:r>
              <w:t xml:space="preserve"> </w:t>
            </w:r>
            <m:oMath>
              <m:r>
                <m:t>σ</m:t>
              </m:r>
              <m:r>
                <m:rPr>
                  <m:sty m:val="p"/>
                </m:rPr>
                <m:t>×</m:t>
              </m:r>
              <m:r>
                <m:t>10</m:t>
              </m:r>
            </m:oMath>
            <w:r>
              <w:t xml:space="preserve"> </w:t>
            </w:r>
            <w:r>
              <w:t xml:space="preserve">(verified)</w:t>
            </w:r>
          </w:p>
        </w:tc>
        <w:tc>
          <w:tcPr/>
          <w:p>
            <w:pPr>
              <w:pStyle w:val="Compact"/>
              <w:jc w:val="left"/>
            </w:pPr>
            <w:r>
              <w:t xml:space="preserve">22.21</w:t>
            </w:r>
          </w:p>
        </w:tc>
        <w:tc>
          <w:tcPr/>
          <w:p>
            <w:pPr>
              <w:pStyle w:val="Compact"/>
              <w:jc w:val="left"/>
            </w:pPr>
            <w:r>
              <w:t xml:space="preserve">matches</w:t>
            </w:r>
            <w:r>
              <w:t xml:space="preserve"> </w:t>
            </w:r>
            <m:oMath>
              <m:r>
                <m:t>N</m:t>
              </m:r>
              <m:r>
                <m:rPr>
                  <m:sty m:val="p"/>
                </m:rPr>
                <m:t>×</m:t>
              </m:r>
              <m:r>
                <m:t>10</m:t>
              </m:r>
            </m:oMath>
            <w:r>
              <w:t xml:space="preserve"> </w:t>
            </w:r>
            <w:r>
              <w:t xml:space="preserve">(rate</w:t>
            </w:r>
            <w:r>
              <w:t xml:space="preserve"> </w:t>
            </w:r>
            <m:oMath>
              <m:r>
                <m:rPr>
                  <m:sty m:val="p"/>
                </m:rPr>
                <m:t>∝</m:t>
              </m:r>
              <m:r>
                <m:t>N</m:t>
              </m:r>
              <m:r>
                <m:t>σ</m:t>
              </m:r>
            </m:oMath>
            <w:r>
              <w:t xml:space="preserve">)</w:t>
            </w:r>
          </w:p>
        </w:tc>
      </w:tr>
      <w:tr>
        <w:tc>
          <w:tcPr/>
          <w:p>
            <w:pPr>
              <w:pStyle w:val="Compact"/>
              <w:jc w:val="left"/>
            </w:pPr>
            <w:r>
              <w:t xml:space="preserve">removed (noIF)</w:t>
            </w:r>
          </w:p>
        </w:tc>
        <w:tc>
          <w:tcPr/>
          <w:p>
            <w:pPr>
              <w:pStyle w:val="Compact"/>
              <w:jc w:val="left"/>
            </w:pPr>
            <w:r>
              <w:t xml:space="preserve">25.16</w:t>
            </w:r>
          </w:p>
        </w:tc>
        <w:tc>
          <w:tcPr/>
          <w:p>
            <w:pPr>
              <w:pStyle w:val="Compact"/>
              <w:jc w:val="left"/>
            </w:pPr>
            <w:r>
              <w:t xml:space="preserve">above detailed-balance Voc: unphysical</w:t>
            </w:r>
          </w:p>
        </w:tc>
      </w:tr>
    </w:tbl>
    <w:bookmarkEnd w:id="63"/>
    <w:bookmarkStart w:id="64" w:name="tab:taus"/>
    <w:p>
      <w:pPr>
        <w:pStyle w:val="TableCaption"/>
      </w:pPr>
      <w:r>
        <w:t xml:space="preserve">Guardrailed regime in portable metrics (</w:t>
      </w:r>
      <m:oMath>
        <m:r>
          <m:t>σ</m:t>
        </m:r>
        <m:r>
          <m:rPr>
            <m:sty m:val="p"/>
          </m:rPr>
          <m:t>=</m:t>
        </m:r>
        <m:sSup>
          <m:e>
            <m:r>
              <m:t>10</m:t>
            </m:r>
          </m:e>
          <m:sup>
            <m:r>
              <m:rPr>
                <m:sty m:val="p"/>
              </m:rPr>
              <m:t>−</m:t>
            </m:r>
            <m:r>
              <m:t>19</m:t>
            </m:r>
          </m:sup>
        </m:sSup>
      </m:oMath>
      <w:r>
        <w:t xml:space="preserve"> m</w:t>
      </w:r>
      <m:oMath>
        <m:sSup>
          <m:e>
            <m:r>
              <m:t>​</m:t>
            </m:r>
          </m:e>
          <m:sup>
            <m:r>
              <m:t>2</m:t>
            </m:r>
          </m:sup>
        </m:sSup>
      </m:oMath>
      <w:r>
        <w:t xml:space="preserve">,</w:t>
      </w:r>
      <w:r>
        <w:t xml:space="preserve"> </w:t>
      </w:r>
      <m:oMath>
        <m:sSub>
          <m:e>
            <m:r>
              <m:t>v</m:t>
            </m:r>
          </m:e>
          <m:sub>
            <m:r>
              <m:t>t</m:t>
            </m:r>
            <m:r>
              <m:t>h</m:t>
            </m:r>
          </m:sub>
        </m:sSub>
        <m:r>
          <m:rPr>
            <m:sty m:val="p"/>
          </m:rPr>
          <m:t>=</m:t>
        </m:r>
        <m:sSup>
          <m:e>
            <m:r>
              <m:t>10</m:t>
            </m:r>
          </m:e>
          <m:sup>
            <m:r>
              <m:t>5</m:t>
            </m:r>
          </m:sup>
        </m:sSup>
      </m:oMath>
      <w:r>
        <w:t xml:space="preserve"> m/s): bulk lifetime</w:t>
      </w:r>
      <w:r>
        <w:t xml:space="preserve"> </w:t>
      </w:r>
      <m:oMath>
        <m:r>
          <m:t>τ</m:t>
        </m:r>
      </m:oMath>
      <w:r>
        <w:t xml:space="preserve"> </w:t>
      </w:r>
      <w:r>
        <w:t xml:space="preserve">and interface velocity</w:t>
      </w:r>
      <w:r>
        <w:t xml:space="preserve"> </w:t>
      </w:r>
      <m:oMath>
        <m:r>
          <m:t>S</m:t>
        </m:r>
      </m:oMath>
      <w:r>
        <w:t xml:space="preserve">.</w:t>
      </w:r>
    </w:p>
    <w:tbl>
      <w:tblPr>
        <w:tblStyle w:val="Table"/>
        <w:tblW w:type="auto" w:w="0"/>
        <w:tblLook w:firstRow="1" w:lastRow="0" w:firstColumn="0" w:lastColumn="0" w:noHBand="0" w:noVBand="0" w:val="0020"/>
        <w:tblCaption w:val="Guardrailed regime in portable metrics (\sigma=10^{-19} m^2, v_{th}=10^5 m/s): bulk lifetime \tau and interface velocity S."/>
      </w:tblPr>
      <w:tblGrid>
        <w:gridCol w:w="2640"/>
        <w:gridCol w:w="2640"/>
        <w:gridCol w:w="2640"/>
      </w:tblGrid>
      <w:tr>
        <w:trPr>
          <w:tblHeader w:val="on"/>
        </w:trPr>
        <w:tc>
          <w:tcPr/>
          <w:p>
            <w:pPr>
              <w:pStyle w:val="Compact"/>
              <w:jc w:val="left"/>
            </w:pPr>
            <w:r>
              <w:t xml:space="preserve">Density</w:t>
            </w:r>
          </w:p>
        </w:tc>
        <w:tc>
          <w:tcPr/>
          <w:p>
            <w:pPr>
              <w:pStyle w:val="Compact"/>
              <w:jc w:val="left"/>
            </w:pPr>
            <m:oMath>
              <m:r>
                <m:t>τ</m:t>
              </m:r>
            </m:oMath>
            <w:r>
              <w:t xml:space="preserve"> </w:t>
            </w:r>
            <w:r>
              <w:t xml:space="preserve">/</w:t>
            </w:r>
            <w:r>
              <w:t xml:space="preserve"> </w:t>
            </w:r>
            <m:oMath>
              <m:r>
                <m:t>S</m:t>
              </m:r>
            </m:oMath>
          </w:p>
        </w:tc>
        <w:tc>
          <w:tcPr/>
          <w:p>
            <w:pPr>
              <w:pStyle w:val="Compact"/>
              <w:jc w:val="left"/>
            </w:pPr>
            <w:r>
              <w:t xml:space="preserve">Note</w:t>
            </w:r>
          </w:p>
        </w:tc>
      </w:tr>
      <w:tr>
        <w:tc>
          <w:tcPr/>
          <w:p>
            <w:pPr>
              <w:pStyle w:val="Compact"/>
              <w:jc w:val="left"/>
            </w:pP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 </w:t>
            </w:r>
            <w:r>
              <w:t xml:space="preserve">(floor)</w:t>
            </w:r>
          </w:p>
        </w:tc>
        <w:tc>
          <w:tcPr/>
          <w:p>
            <w:pPr>
              <w:pStyle w:val="Compact"/>
              <w:jc w:val="left"/>
            </w:pPr>
            <m:oMath>
              <m:r>
                <m:t>τ</m:t>
              </m:r>
              <m:r>
                <m:rPr>
                  <m:sty m:val="p"/>
                </m:rPr>
                <m:t>=</m:t>
              </m:r>
              <m:r>
                <m:t>100</m:t>
              </m:r>
            </m:oMath>
            <w:r>
              <w:t xml:space="preserve"> </w:t>
            </w:r>
            <m:oMath>
              <m:r>
                <m:t>μ</m:t>
              </m:r>
            </m:oMath>
            <w:r>
              <w:t xml:space="preserve">s</w:t>
            </w:r>
          </w:p>
        </w:tc>
        <w:tc>
          <w:tcPr/>
          <w:p>
            <w:pPr>
              <w:pStyle w:val="Compact"/>
              <w:jc w:val="left"/>
            </w:pPr>
            <w:r>
              <w:t xml:space="preserve">1–2 orders beyond best films</w:t>
            </w:r>
          </w:p>
        </w:tc>
      </w:tr>
      <w:tr>
        <w:tc>
          <w:tcPr/>
          <w:p>
            <w:pPr>
              <w:pStyle w:val="Compact"/>
              <w:jc w:val="left"/>
            </w:pPr>
            <m:oMath>
              <m:sSub>
                <m:e>
                  <m:r>
                    <m:t>N</m:t>
                  </m:r>
                </m:e>
                <m:sub>
                  <m:r>
                    <m:t>t</m:t>
                  </m:r>
                </m:sub>
              </m:sSub>
              <m:r>
                <m:rPr>
                  <m:sty m:val="p"/>
                </m:rPr>
                <m:t>=</m:t>
              </m:r>
              <m:sSup>
                <m:e>
                  <m:r>
                    <m:t>10</m:t>
                  </m:r>
                </m:e>
                <m:sup>
                  <m:r>
                    <m:t>13</m:t>
                  </m:r>
                </m:sup>
              </m:sSup>
            </m:oMath>
            <w:r>
              <w:t xml:space="preserve"> cm</w:t>
            </w:r>
            <m:oMath>
              <m:sSup>
                <m:e>
                  <m:r>
                    <m:t>​</m:t>
                  </m:r>
                </m:e>
                <m:sup>
                  <m:r>
                    <m:rPr>
                      <m:sty m:val="p"/>
                    </m:rPr>
                    <m:t>−</m:t>
                  </m:r>
                  <m:r>
                    <m:t>3</m:t>
                  </m:r>
                </m:sup>
              </m:sSup>
            </m:oMath>
          </w:p>
        </w:tc>
        <w:tc>
          <w:tcPr/>
          <w:p>
            <w:pPr>
              <w:pStyle w:val="Compact"/>
              <w:jc w:val="left"/>
            </w:pPr>
            <m:oMath>
              <m:r>
                <m:t>τ</m:t>
              </m:r>
              <m:r>
                <m:rPr>
                  <m:sty m:val="p"/>
                </m:rPr>
                <m:t>=</m:t>
              </m:r>
              <m:r>
                <m:t>10</m:t>
              </m:r>
            </m:oMath>
            <w:r>
              <w:t xml:space="preserve"> </w:t>
            </w:r>
            <m:oMath>
              <m:r>
                <m:t>μ</m:t>
              </m:r>
            </m:oMath>
            <w:r>
              <w:t xml:space="preserve">s</w:t>
            </w:r>
          </w:p>
        </w:tc>
        <w:tc>
          <w:tcPr/>
          <w:p>
            <w:pPr>
              <w:pStyle w:val="Compact"/>
              <w:jc w:val="left"/>
            </w:pPr>
            <w:r>
              <w:t xml:space="preserve">–</w:t>
            </w:r>
          </w:p>
        </w:tc>
      </w:tr>
      <w:tr>
        <w:tc>
          <w:tcPr/>
          <w:p>
            <w:pPr>
              <w:pStyle w:val="Compact"/>
              <w:jc w:val="left"/>
            </w:pPr>
            <m:oMath>
              <m:sSub>
                <m:e>
                  <m:r>
                    <m:t>N</m:t>
                  </m:r>
                </m:e>
                <m:sub>
                  <m:r>
                    <m:t>t</m:t>
                  </m:r>
                </m:sub>
              </m:sSub>
              <m:r>
                <m:rPr>
                  <m:sty m:val="p"/>
                </m:rPr>
                <m:t>=</m:t>
              </m:r>
              <m:sSup>
                <m:e>
                  <m:r>
                    <m:t>10</m:t>
                  </m:r>
                </m:e>
                <m:sup>
                  <m:r>
                    <m:t>14</m:t>
                  </m:r>
                </m:sup>
              </m:sSup>
            </m:oMath>
            <w:r>
              <w:t xml:space="preserve"> cm</w:t>
            </w:r>
            <m:oMath>
              <m:sSup>
                <m:e>
                  <m:r>
                    <m:t>​</m:t>
                  </m:r>
                </m:e>
                <m:sup>
                  <m:r>
                    <m:rPr>
                      <m:sty m:val="p"/>
                    </m:rPr>
                    <m:t>−</m:t>
                  </m:r>
                  <m:r>
                    <m:t>3</m:t>
                  </m:r>
                </m:sup>
              </m:sSup>
            </m:oMath>
          </w:p>
        </w:tc>
        <w:tc>
          <w:tcPr/>
          <w:p>
            <w:pPr>
              <w:pStyle w:val="Compact"/>
              <w:jc w:val="left"/>
            </w:pPr>
            <m:oMath>
              <m:r>
                <m:t>τ</m:t>
              </m:r>
              <m:r>
                <m:rPr>
                  <m:sty m:val="p"/>
                </m:rPr>
                <m:t>=</m:t>
              </m:r>
              <m:r>
                <m:t>1</m:t>
              </m:r>
            </m:oMath>
            <w:r>
              <w:t xml:space="preserve"> </w:t>
            </w:r>
            <m:oMath>
              <m:r>
                <m:t>μ</m:t>
              </m:r>
            </m:oMath>
            <w:r>
              <w:t xml:space="preserve">s</w:t>
            </w:r>
          </w:p>
        </w:tc>
        <w:tc>
          <w:tcPr/>
          <w:p>
            <w:pPr>
              <w:pStyle w:val="Compact"/>
              <w:jc w:val="left"/>
            </w:pPr>
            <w:r>
              <w:t xml:space="preserve">–</w:t>
            </w:r>
          </w:p>
        </w:tc>
      </w:tr>
      <w:tr>
        <w:tc>
          <w:tcPr/>
          <w:p>
            <w:pPr>
              <w:pStyle w:val="Compact"/>
              <w:jc w:val="left"/>
            </w:pPr>
            <m:oMath>
              <m:sSub>
                <m:e>
                  <m:r>
                    <m:t>N</m:t>
                  </m:r>
                </m:e>
                <m:sub>
                  <m:r>
                    <m:t>t</m:t>
                  </m:r>
                </m:sub>
              </m:sSub>
              <m:r>
                <m:rPr>
                  <m:sty m:val="p"/>
                </m:rPr>
                <m:t>=</m:t>
              </m:r>
              <m:sSup>
                <m:e>
                  <m:r>
                    <m:t>10</m:t>
                  </m:r>
                </m:e>
                <m:sup>
                  <m:r>
                    <m:t>15</m:t>
                  </m:r>
                </m:sup>
              </m:sSup>
            </m:oMath>
            <w:r>
              <w:t xml:space="preserve"> cm</w:t>
            </w:r>
            <m:oMath>
              <m:sSup>
                <m:e>
                  <m:r>
                    <m:t>​</m:t>
                  </m:r>
                </m:e>
                <m:sup>
                  <m:r>
                    <m:rPr>
                      <m:sty m:val="p"/>
                    </m:rPr>
                    <m:t>−</m:t>
                  </m:r>
                  <m:r>
                    <m:t>3</m:t>
                  </m:r>
                </m:sup>
              </m:sSup>
            </m:oMath>
            <w:r>
              <w:t xml:space="preserve"> </w:t>
            </w:r>
            <w:r>
              <w:t xml:space="preserve">(routine)</w:t>
            </w:r>
          </w:p>
        </w:tc>
        <w:tc>
          <w:tcPr/>
          <w:p>
            <w:pPr>
              <w:pStyle w:val="Compact"/>
              <w:jc w:val="left"/>
            </w:pPr>
            <m:oMath>
              <m:r>
                <m:t>τ</m:t>
              </m:r>
              <m:r>
                <m:rPr>
                  <m:sty m:val="p"/>
                </m:rPr>
                <m:t>=</m:t>
              </m:r>
              <m:r>
                <m:t>0.1</m:t>
              </m:r>
            </m:oMath>
            <w:r>
              <w:t xml:space="preserve"> </w:t>
            </w:r>
            <m:oMath>
              <m:r>
                <m:t>μ</m:t>
              </m:r>
            </m:oMath>
            <w:r>
              <w:t xml:space="preserve">s</w:t>
            </w:r>
          </w:p>
        </w:tc>
        <w:tc>
          <w:tcPr/>
          <w:p>
            <w:pPr>
              <w:pStyle w:val="Compact"/>
              <w:jc w:val="left"/>
            </w:pPr>
            <w:r>
              <w:t xml:space="preserve">routine case</w:t>
            </w:r>
          </w:p>
        </w:tc>
      </w:tr>
      <w:tr>
        <w:tc>
          <w:tcPr/>
          <w:p>
            <w:pPr>
              <w:pStyle w:val="Compact"/>
              <w:jc w:val="left"/>
            </w:pPr>
            <m:oMath>
              <m:sSub>
                <m:e>
                  <m:r>
                    <m:t>N</m:t>
                  </m:r>
                </m:e>
                <m:sub>
                  <m:r>
                    <m:t>i</m:t>
                  </m:r>
                  <m:r>
                    <m:t>f</m:t>
                  </m:r>
                </m:sub>
              </m:sSub>
              <m:r>
                <m:rPr>
                  <m:sty m:val="p"/>
                </m:rPr>
                <m:t>=</m:t>
              </m:r>
              <m:sSup>
                <m:e>
                  <m:r>
                    <m:t>10</m:t>
                  </m:r>
                </m:e>
                <m:sup>
                  <m:r>
                    <m:t>10</m:t>
                  </m:r>
                </m:sup>
              </m:sSup>
            </m:oMath>
            <w:r>
              <w:t xml:space="preserve"> cm</w:t>
            </w:r>
            <m:oMath>
              <m:sSup>
                <m:e>
                  <m:r>
                    <m:t>​</m:t>
                  </m:r>
                </m:e>
                <m:sup>
                  <m:r>
                    <m:rPr>
                      <m:sty m:val="p"/>
                    </m:rPr>
                    <m:t>−</m:t>
                  </m:r>
                  <m:r>
                    <m:t>2</m:t>
                  </m:r>
                </m:sup>
              </m:sSup>
            </m:oMath>
            <w:r>
              <w:t xml:space="preserve"> </w:t>
            </w:r>
            <w:r>
              <w:t xml:space="preserve">(guardrail)</w:t>
            </w:r>
          </w:p>
        </w:tc>
        <w:tc>
          <w:tcPr/>
          <w:p>
            <w:pPr>
              <w:pStyle w:val="Compact"/>
              <w:jc w:val="left"/>
            </w:pPr>
            <m:oMath>
              <m:r>
                <m:t>S</m:t>
              </m:r>
              <m:r>
                <m:rPr>
                  <m:sty m:val="p"/>
                </m:rPr>
                <m:t>=</m:t>
              </m:r>
              <m:r>
                <m:t>100</m:t>
              </m:r>
            </m:oMath>
            <w:r>
              <w:t xml:space="preserve"> cm/s</w:t>
            </w:r>
          </w:p>
        </w:tc>
        <w:tc>
          <w:tcPr/>
          <w:p>
            <w:pPr>
              <w:pStyle w:val="Compact"/>
              <w:jc w:val="left"/>
            </w:pPr>
            <w:r>
              <w:t xml:space="preserve">floor of stated box</w:t>
            </w:r>
          </w:p>
        </w:tc>
      </w:tr>
      <w:tr>
        <w:tc>
          <w:tcPr/>
          <w:p>
            <w:pPr>
              <w:pStyle w:val="Compact"/>
              <w:jc w:val="left"/>
            </w:pPr>
            <m:oMath>
              <m:sSub>
                <m:e>
                  <m:r>
                    <m:t>N</m:t>
                  </m:r>
                </m:e>
                <m:sub>
                  <m:r>
                    <m:t>i</m:t>
                  </m:r>
                  <m:r>
                    <m:t>f</m:t>
                  </m:r>
                </m:sub>
              </m:sSub>
              <m:r>
                <m:rPr>
                  <m:sty m:val="p"/>
                </m:rPr>
                <m:t>=</m:t>
              </m:r>
              <m:sSup>
                <m:e>
                  <m:r>
                    <m:t>10</m:t>
                  </m:r>
                </m:e>
                <m:sup>
                  <m:r>
                    <m:t>11</m:t>
                  </m:r>
                </m:sup>
              </m:sSup>
            </m:oMath>
            <w:r>
              <w:t xml:space="preserve"> cm</w:t>
            </w:r>
            <m:oMath>
              <m:sSup>
                <m:e>
                  <m:r>
                    <m:t>​</m:t>
                  </m:r>
                </m:e>
                <m:sup>
                  <m:r>
                    <m:rPr>
                      <m:sty m:val="p"/>
                    </m:rPr>
                    <m:t>−</m:t>
                  </m:r>
                  <m:r>
                    <m:t>2</m:t>
                  </m:r>
                </m:sup>
              </m:sSup>
            </m:oMath>
          </w:p>
        </w:tc>
        <w:tc>
          <w:tcPr/>
          <w:p>
            <w:pPr>
              <w:pStyle w:val="Compact"/>
              <w:jc w:val="left"/>
            </w:pPr>
            <m:oMath>
              <m:r>
                <m:t>S</m:t>
              </m:r>
              <m:r>
                <m:rPr>
                  <m:sty m:val="p"/>
                </m:rPr>
                <m:t>=</m:t>
              </m:r>
              <m:r>
                <m:t>1000</m:t>
              </m:r>
            </m:oMath>
            <w:r>
              <w:t xml:space="preserve"> cm/s</w:t>
            </w:r>
          </w:p>
        </w:tc>
        <w:tc>
          <w:tcPr/>
          <w:p>
            <w:pPr>
              <w:pStyle w:val="Compact"/>
              <w:jc w:val="left"/>
            </w:pPr>
            <w:r>
              <w:t xml:space="preserve">–</w:t>
            </w:r>
          </w:p>
        </w:tc>
      </w:tr>
    </w:tbl>
    <w:bookmarkEnd w:id="64"/>
    <w:bookmarkStart w:id="65" w:name="tab:audit"/>
    <w:p>
      <w:pPr>
        <w:pStyle w:val="TableCaption"/>
      </w:pPr>
      <w:r>
        <w:t xml:space="preserve">Guardrail audit: identical cells with interfaces ON versus OFF.</w:t>
      </w:r>
    </w:p>
    <w:tbl>
      <w:tblPr>
        <w:tblStyle w:val="Table"/>
        <w:tblW w:type="auto" w:w="0"/>
        <w:tblLook w:firstRow="1" w:lastRow="0" w:firstColumn="0" w:lastColumn="0" w:noHBand="0" w:noVBand="0" w:val="0020"/>
        <w:tblCaption w:val="Guardrail audit: identical cells with interfaces ON versus OFF."/>
      </w:tblPr>
      <w:tblGrid>
        <w:gridCol w:w="1980"/>
        <w:gridCol w:w="1980"/>
        <w:gridCol w:w="1980"/>
        <w:gridCol w:w="1980"/>
      </w:tblGrid>
      <w:tr>
        <w:trPr>
          <w:tblHeader w:val="on"/>
        </w:trPr>
        <w:tc>
          <w:tcPr/>
          <w:p>
            <w:pPr>
              <w:pStyle w:val="Compact"/>
              <w:jc w:val="left"/>
            </w:pPr>
            <w:r>
              <w:t xml:space="preserve">Cell</w:t>
            </w:r>
          </w:p>
        </w:tc>
        <w:tc>
          <w:tcPr/>
          <w:p>
            <w:pPr>
              <w:pStyle w:val="Compact"/>
              <w:jc w:val="left"/>
            </w:pPr>
            <w:r>
              <w:t xml:space="preserve">IF ON (%)</w:t>
            </w:r>
          </w:p>
        </w:tc>
        <w:tc>
          <w:tcPr/>
          <w:p>
            <w:pPr>
              <w:pStyle w:val="Compact"/>
              <w:jc w:val="left"/>
            </w:pPr>
            <w:r>
              <w:t xml:space="preserve">IF OFF (%)</w:t>
            </w:r>
          </w:p>
        </w:tc>
        <w:tc>
          <w:tcPr/>
          <w:p>
            <w:pPr>
              <w:pStyle w:val="Compact"/>
              <w:jc w:val="left"/>
            </w:pPr>
            <w:r>
              <w:t xml:space="preserve">Inflation (pts)</w:t>
            </w:r>
          </w:p>
        </w:tc>
      </w:tr>
      <w:tr>
        <w:tc>
          <w:tcPr/>
          <w:p>
            <w:pPr>
              <w:pStyle w:val="Compact"/>
              <w:jc w:val="left"/>
            </w:pPr>
            <w:r>
              <w:t xml:space="preserve">1.5 </w:t>
            </w:r>
            <m:oMath>
              <m:r>
                <m:t>μ</m:t>
              </m:r>
            </m:oMath>
            <w:r>
              <w:t xml:space="preserve">m cell</w:t>
            </w:r>
          </w:p>
        </w:tc>
        <w:tc>
          <w:tcPr/>
          <w:p>
            <w:pPr>
              <w:pStyle w:val="Compact"/>
              <w:jc w:val="left"/>
            </w:pPr>
            <w:r>
              <w:t xml:space="preserve">23.40</w:t>
            </w:r>
          </w:p>
        </w:tc>
        <w:tc>
          <w:tcPr/>
          <w:p>
            <w:pPr>
              <w:pStyle w:val="Compact"/>
              <w:jc w:val="left"/>
            </w:pPr>
            <w:r>
              <w:t xml:space="preserve">24.87</w:t>
            </w:r>
          </w:p>
        </w:tc>
        <w:tc>
          <w:tcPr/>
          <w:p>
            <w:pPr>
              <w:pStyle w:val="Compact"/>
              <w:jc w:val="left"/>
            </w:pPr>
            <w:r>
              <w:t xml:space="preserve">+1.46</w:t>
            </w:r>
          </w:p>
        </w:tc>
      </w:tr>
      <w:tr>
        <w:tc>
          <w:tcPr/>
          <w:p>
            <w:pPr>
              <w:pStyle w:val="Compact"/>
              <w:jc w:val="left"/>
            </w:pPr>
            <w:r>
              <w:t xml:space="preserve">2.0 </w:t>
            </w:r>
            <m:oMath>
              <m:r>
                <m:t>μ</m:t>
              </m:r>
            </m:oMath>
            <w:r>
              <w:t xml:space="preserve">m cell</w:t>
            </w:r>
          </w:p>
        </w:tc>
        <w:tc>
          <w:tcPr/>
          <w:p>
            <w:pPr>
              <w:pStyle w:val="Compact"/>
              <w:jc w:val="left"/>
            </w:pPr>
            <w:r>
              <w:t xml:space="preserve">23.47</w:t>
            </w:r>
          </w:p>
        </w:tc>
        <w:tc>
          <w:tcPr/>
          <w:p>
            <w:pPr>
              <w:pStyle w:val="Compact"/>
              <w:jc w:val="left"/>
            </w:pPr>
            <w:r>
              <w:t xml:space="preserve">24.73</w:t>
            </w:r>
          </w:p>
        </w:tc>
        <w:tc>
          <w:tcPr/>
          <w:p>
            <w:pPr>
              <w:pStyle w:val="Compact"/>
              <w:jc w:val="left"/>
            </w:pPr>
            <w:r>
              <w:t xml:space="preserve">+1.26</w:t>
            </w:r>
          </w:p>
        </w:tc>
      </w:tr>
      <w:tr>
        <w:tc>
          <w:tcPr/>
          <w:p>
            <w:pPr>
              <w:pStyle w:val="Compact"/>
              <w:jc w:val="left"/>
            </w:pPr>
            <w:r>
              <w:t xml:space="preserve">Champion (surveyed base)</w:t>
            </w:r>
          </w:p>
        </w:tc>
        <w:tc>
          <w:tcPr/>
          <w:p>
            <w:pPr>
              <w:pStyle w:val="Compact"/>
              <w:jc w:val="left"/>
            </w:pPr>
            <w:r>
              <w:t xml:space="preserve">23.50</w:t>
            </w:r>
          </w:p>
        </w:tc>
        <w:tc>
          <w:tcPr/>
          <w:p>
            <w:pPr>
              <w:pStyle w:val="Compact"/>
              <w:jc w:val="left"/>
            </w:pPr>
            <w:r>
              <w:t xml:space="preserve">25.16</w:t>
            </w:r>
          </w:p>
        </w:tc>
        <w:tc>
          <w:tcPr/>
          <w:p>
            <w:pPr>
              <w:pStyle w:val="Compact"/>
              <w:jc w:val="left"/>
            </w:pPr>
            <w:r>
              <w:t xml:space="preserve">+1.66</w:t>
            </w:r>
          </w:p>
        </w:tc>
      </w:tr>
    </w:tbl>
    <w:bookmarkEnd w:id="65"/>
    <w:bookmarkEnd w:id="66"/>
    <w:bookmarkEnd w:id="67"/>
    <w:bookmarkStart w:id="74" w:name="morris-sensitivity-screening"/>
    <w:p>
      <w:pPr>
        <w:pStyle w:val="Heading1"/>
      </w:pPr>
      <w:r>
        <w:t xml:space="preserve">Morris sensitivity screening</w:t>
      </w:r>
    </w:p>
    <w:p>
      <w:pPr>
        <w:pStyle w:val="FirstParagraph"/>
      </w:pPr>
      <w:r>
        <w:t xml:space="preserve">Grid methods with uneven ranges cannot rank physical importance, so we ran a Morris sensitivity screen instead:</w:t>
      </w:r>
      <w:r>
        <w:t xml:space="preserve"> </w:t>
      </w:r>
      <m:oMath>
        <m:r>
          <m:t>r</m:t>
        </m:r>
        <m:r>
          <m:rPr>
            <m:sty m:val="p"/>
          </m:rPr>
          <m:t>=</m:t>
        </m:r>
        <m:r>
          <m:t>8</m:t>
        </m:r>
      </m:oMath>
      <w:r>
        <w:t xml:space="preserve"> </w:t>
      </w:r>
      <w:r>
        <w:t xml:space="preserve">trajectories,</w:t>
      </w:r>
      <w:r>
        <w:t xml:space="preserve"> </w:t>
      </w:r>
      <m:oMath>
        <m:r>
          <m:t>p</m:t>
        </m:r>
        <m:r>
          <m:rPr>
            <m:sty m:val="p"/>
          </m:rPr>
          <m:t>=</m:t>
        </m:r>
        <m:r>
          <m:t>4</m:t>
        </m:r>
      </m:oMath>
      <w:r>
        <w:t xml:space="preserve"> </w:t>
      </w:r>
      <w:r>
        <w:t xml:space="preserve">levels,</w:t>
      </w:r>
      <w:r>
        <w:t xml:space="preserve"> </w:t>
      </w:r>
      <m:oMath>
        <m:r>
          <m:t>k</m:t>
        </m:r>
        <m:r>
          <m:rPr>
            <m:sty m:val="p"/>
          </m:rPr>
          <m:t>=</m:t>
        </m:r>
        <m:r>
          <m:t>6</m:t>
        </m:r>
      </m:oMath>
      <w:r>
        <w:t xml:space="preserve"> </w:t>
      </w:r>
      <w:r>
        <w:t xml:space="preserve">factors (absorber thickness,</w:t>
      </w:r>
      <w:r>
        <w:t xml:space="preserve"> </w:t>
      </w:r>
      <m:oMath>
        <m:r>
          <m:rPr>
            <m:sty m:val="p"/>
          </m:rPr>
          <m:t>log</m:t>
        </m:r>
        <m:sSub>
          <m:e>
            <m:r>
              <m:t>N</m:t>
            </m:r>
          </m:e>
          <m:sub>
            <m:r>
              <m:t>A</m:t>
            </m:r>
          </m:sub>
        </m:sSub>
      </m:oMath>
      <w:r>
        <w:t xml:space="preserve">,</w:t>
      </w:r>
      <w:r>
        <w:t xml:space="preserve"> </w:t>
      </w:r>
      <m:oMath>
        <m:r>
          <m:rPr>
            <m:sty m:val="p"/>
          </m:rPr>
          <m:t>log</m:t>
        </m:r>
        <m:sSub>
          <m:e>
            <m:r>
              <m:t>N</m:t>
            </m:r>
          </m:e>
          <m:sub>
            <m:r>
              <m:t>t</m:t>
            </m:r>
          </m:sub>
        </m:sSub>
      </m:oMath>
      <w:r>
        <w:t xml:space="preserve">,</w:t>
      </w:r>
      <w:r>
        <w:t xml:space="preserve"> </w:t>
      </w:r>
      <m:oMath>
        <m:r>
          <m:rPr>
            <m:sty m:val="p"/>
          </m:rPr>
          <m:t>log</m:t>
        </m:r>
        <m:sSub>
          <m:e>
            <m:r>
              <m:t>N</m:t>
            </m:r>
          </m:e>
          <m:sub>
            <m:r>
              <m:t>D</m:t>
            </m:r>
            <m:r>
              <m:rPr>
                <m:sty m:val="p"/>
              </m:rPr>
              <m:t>,</m:t>
            </m:r>
            <m:r>
              <m:t>E</m:t>
            </m:r>
            <m:r>
              <m:t>T</m:t>
            </m:r>
            <m:r>
              <m:t>L</m:t>
            </m:r>
          </m:sub>
        </m:sSub>
      </m:oMath>
      <w:r>
        <w:t xml:space="preserve">,</w:t>
      </w:r>
      <w:r>
        <w:t xml:space="preserve"> </w:t>
      </w:r>
      <m:oMath>
        <m:sSub>
          <m:e>
            <m:r>
              <m:t>E</m:t>
            </m:r>
          </m:e>
          <m:sub>
            <m:r>
              <m:t>g</m:t>
            </m:r>
          </m:sub>
        </m:sSub>
      </m:oMath>
      <w:r>
        <w:t xml:space="preserve"> </w:t>
      </w:r>
      <w:r>
        <w:t xml:space="preserve">with the</w:t>
      </w:r>
      <w:r>
        <w:t xml:space="preserve"> </w:t>
      </w:r>
      <m:oMath>
        <m:r>
          <m:t>χ</m:t>
        </m:r>
      </m:oMath>
      <w:r>
        <w:t xml:space="preserve"> </w:t>
      </w:r>
      <w:r>
        <w:t xml:space="preserve">link applied deterministically, and</w:t>
      </w:r>
      <w:r>
        <w:t xml:space="preserve"> </w:t>
      </w:r>
      <m:oMath>
        <m:r>
          <m:rPr>
            <m:sty m:val="p"/>
          </m:rPr>
          <m:t>log</m:t>
        </m:r>
        <m:sSub>
          <m:e>
            <m:r>
              <m:t>N</m:t>
            </m:r>
          </m:e>
          <m:sub>
            <m:r>
              <m:t>i</m:t>
            </m:r>
            <m:r>
              <m:t>f</m:t>
            </m:r>
          </m:sub>
        </m:sSub>
      </m:oMath>
      <w:r>
        <w:t xml:space="preserve"> </w:t>
      </w:r>
      <w:r>
        <w:t xml:space="preserve">tied on both interfaces), 56 fresh simulations, all converged, spanning 15.6–23.3% (Table </w:t>
      </w:r>
      <w:hyperlink w:anchor="tab:morris">
        <w:r>
          <w:rPr>
            <w:rStyle w:val="Hyperlink"/>
          </w:rPr>
          <w:t xml:space="preserve">10</w:t>
        </w:r>
      </w:hyperlink>
      <w:r>
        <w:t xml:space="preserve">, Figure </w:t>
      </w:r>
      <w:hyperlink w:anchor="fig:morris">
        <w:r>
          <w:rPr>
            <w:rStyle w:val="Hyperlink"/>
          </w:rPr>
          <w:t xml:space="preserve">11</w:t>
        </w:r>
      </w:hyperlink>
      <w:r>
        <w:t xml:space="preserve">). Per decade, interface quality leads at 1.02 points (bootstrap 95% CI [0.84, 1.22]) ahead of bulk defect density at 0.68 (CI [0.35, 0.99]). Because marginal intervals overlap, we ran the sharper paired test the design allows: the per-trajectory difference</w:t>
      </w:r>
      <w:r>
        <w:t xml:space="preserve"> </w:t>
      </w:r>
      <m:oMath>
        <m:r>
          <m:rPr>
            <m:sty m:val="p"/>
          </m:rPr>
          <m:t>|</m:t>
        </m:r>
        <m:r>
          <m:t>E</m:t>
        </m:r>
        <m:sSub>
          <m:e>
            <m:r>
              <m:t>E</m:t>
            </m:r>
          </m:e>
          <m:sub>
            <m:r>
              <m:t>N</m:t>
            </m:r>
            <m:r>
              <m:t>i</m:t>
            </m:r>
            <m:r>
              <m:t>f</m:t>
            </m:r>
          </m:sub>
        </m:sSub>
        <m:r>
          <m:rPr>
            <m:sty m:val="p"/>
          </m:rPr>
          <m:t>|</m:t>
        </m:r>
        <m:r>
          <m:rPr>
            <m:sty m:val="p"/>
          </m:rPr>
          <m:t>−</m:t>
        </m:r>
        <m:r>
          <m:rPr>
            <m:sty m:val="p"/>
          </m:rPr>
          <m:t>|</m:t>
        </m:r>
        <m:r>
          <m:t>E</m:t>
        </m:r>
        <m:sSub>
          <m:e>
            <m:r>
              <m:t>E</m:t>
            </m:r>
          </m:e>
          <m:sub>
            <m:r>
              <m:t>N</m:t>
            </m:r>
            <m:r>
              <m:t>t</m:t>
            </m:r>
          </m:sub>
        </m:sSub>
        <m:r>
          <m:rPr>
            <m:sty m:val="p"/>
          </m:rPr>
          <m:t>|</m:t>
        </m:r>
      </m:oMath>
      <w:r>
        <w:t xml:space="preserve"> </w:t>
      </w:r>
      <w:r>
        <w:t xml:space="preserve">averages</w:t>
      </w:r>
      <w:r>
        <w:t xml:space="preserve"> </w:t>
      </w:r>
      <m:oMath>
        <m:r>
          <m:rPr>
            <m:sty m:val="p"/>
          </m:rPr>
          <m:t>+</m:t>
        </m:r>
      </m:oMath>
      <w:r>
        <w:t xml:space="preserve">2.03 points with a bootstrap 95% CI of [0.70, 3.51] (6 of 8 trajectories positive)—interfaces genuinely lead</w:t>
      </w:r>
      <w:r>
        <w:t xml:space="preserve"> </w:t>
      </w:r>
      <w:r>
        <w:rPr>
          <w:i/>
          <w:iCs/>
        </w:rPr>
        <w:t xml:space="preserve">within the defect-floor regime</w:t>
      </w:r>
      <w:r>
        <w:t xml:space="preserve">. Per eV, bandgap moves 17.5 points; per</w:t>
      </w:r>
      <w:r>
        <w:t xml:space="preserve"> </w:t>
      </w:r>
      <m:oMath>
        <m:r>
          <m:t>μ</m:t>
        </m:r>
      </m:oMath>
      <w:r>
        <w:t xml:space="preserve">m, thickness 0.72. These per-unit numbers are not commensurable across units, the interface figure bundles both heterojunctions over a 4-decade range against 3 for bulk, and—crucially—the</w:t>
      </w:r>
      <w:r>
        <w:t xml:space="preserve"> </w:t>
      </w:r>
      <m:oMath>
        <m:sSub>
          <m:e>
            <m:r>
              <m:t>E</m:t>
            </m:r>
          </m:e>
          <m:sub>
            <m:r>
              <m:t>g</m:t>
            </m:r>
          </m:sub>
        </m:sSub>
      </m:oMath>
      <w:r>
        <w:t xml:space="preserve"> </w:t>
      </w:r>
      <w:r>
        <w:t xml:space="preserve">factor confounds gap with band offset, since the</w:t>
      </w:r>
      <w:r>
        <w:t xml:space="preserve"> </w:t>
      </w:r>
      <m:oMath>
        <m:r>
          <m:t>χ</m:t>
        </m:r>
      </m:oMath>
      <w:r>
        <w:t xml:space="preserve"> </w:t>
      </w:r>
      <w:r>
        <w:t xml:space="preserve">link assigns half of every gap step to the conduction band while Section 5.0 shows alignment alone moves efficiency by several points. The gap-step pattern betrays the confounding (all on the prior adopted base, 23.8365 anchor): 1.65 to 1.68 eV costs 1.13 points but 1.68 to 1.70 eV only 0.19 (and 1.70 to 1.72 eV costs 0.93), tracking the</w:t>
      </w:r>
      <w:r>
        <w:t xml:space="preserve"> </w:t>
      </w:r>
      <m:oMath>
        <m:sSub>
          <m:e>
            <m:r>
              <m:t>E</m:t>
            </m:r>
          </m:e>
          <m:sub>
            <m:r>
              <m:t>a</m:t>
            </m:r>
          </m:sub>
        </m:sSub>
      </m:oMath>
      <w:r>
        <w:t xml:space="preserve"> </w:t>
      </w:r>
      <w:r>
        <w:t xml:space="preserve">landscape rather than the absorption edge. On the joint-optimum base the same steps even change sign (24.44 to 24.73% from 1.68 to 1.70 eV), confirming the steps map the activation landscape, not the gap. The random-forest/Saltelli corroboration (</w:t>
      </w:r>
      <m:oMath>
        <m:sSub>
          <m:e>
            <m:r>
              <m:t>S</m:t>
            </m:r>
          </m:e>
          <m:sub>
            <m:r>
              <m:t>T</m:t>
            </m:r>
          </m:sub>
        </m:sSub>
        <m:r>
          <m:rPr>
            <m:sty m:val="p"/>
          </m:rPr>
          <m:t>=</m:t>
        </m:r>
        <m:r>
          <m:t>0.52</m:t>
        </m:r>
      </m:oMath>
      <w:r>
        <w:t xml:space="preserve"> </w:t>
      </w:r>
      <w:r>
        <w:t xml:space="preserve">interfaces, 0.33 bulk, 0.24</w:t>
      </w:r>
      <w:r>
        <w:t xml:space="preserve"> </w:t>
      </w:r>
      <m:oMath>
        <m:sSub>
          <m:e>
            <m:r>
              <m:t>E</m:t>
            </m:r>
          </m:e>
          <m:sub>
            <m:r>
              <m:t>g</m:t>
            </m:r>
          </m:sub>
        </m:sSub>
      </m:oMath>
      <w:r>
        <w:t xml:space="preserve">; OOB</w:t>
      </w:r>
      <w:r>
        <w:t xml:space="preserve"> </w:t>
      </w:r>
      <m:oMath>
        <m:sSup>
          <m:e>
            <m:r>
              <m:t>R</m:t>
            </m:r>
          </m:e>
          <m:sup>
            <m:r>
              <m:t>2</m:t>
            </m:r>
          </m:sup>
        </m:sSup>
        <m:r>
          <m:rPr>
            <m:sty m:val="p"/>
          </m:rPr>
          <m:t>=</m:t>
        </m:r>
        <m:r>
          <m:t>0.93</m:t>
        </m:r>
      </m:oMath>
      <w:r>
        <w:t xml:space="preserve">) is reported with the caveat that it is</w:t>
      </w:r>
      <w:r>
        <w:t xml:space="preserve"> </w:t>
      </w:r>
      <w:r>
        <w:rPr>
          <w:i/>
          <w:iCs/>
        </w:rPr>
        <w:t xml:space="preserve">not</w:t>
      </w:r>
      <w:r>
        <w:t xml:space="preserve"> </w:t>
      </w:r>
      <w:r>
        <w:t xml:space="preserve">independent evidence: the surrogate trains on all 190 standard-base runs including the Morris design itself, so its indices partly reflect the sampling design. The decisive test remains the dose–response repeated at routine defects: at</w:t>
      </w:r>
      <w:r>
        <w:t xml:space="preserve"> </w:t>
      </w:r>
      <m:oMath>
        <m:sSub>
          <m:e>
            <m:r>
              <m:t>N</m:t>
            </m:r>
          </m:e>
          <m:sub>
            <m:r>
              <m:t>t</m:t>
            </m:r>
          </m:sub>
        </m:sSub>
        <m:r>
          <m:rPr>
            <m:sty m:val="p"/>
          </m:rPr>
          <m:t>=</m:t>
        </m:r>
        <m:sSup>
          <m:e>
            <m:r>
              <m:t>10</m:t>
            </m:r>
          </m:e>
          <m:sup>
            <m:r>
              <m:t>15</m:t>
            </m:r>
          </m:sup>
        </m:sSup>
      </m:oMath>
      <w:r>
        <w:t xml:space="preserve"> cm</w:t>
      </w:r>
      <m:oMath>
        <m:sSup>
          <m:e>
            <m:r>
              <m:t>​</m:t>
            </m:r>
          </m:e>
          <m:sup>
            <m:r>
              <m:rPr>
                <m:sty m:val="p"/>
              </m:rPr>
              <m:t>−</m:t>
            </m:r>
            <m:r>
              <m:t>3</m:t>
            </m:r>
          </m:sup>
        </m:sSup>
      </m:oMath>
      <w:r>
        <w:t xml:space="preserve"> </w:t>
      </w:r>
      <w:r>
        <w:t xml:space="preserve">and 1.0 </w:t>
      </w:r>
      <m:oMath>
        <m:r>
          <m:t>μ</m:t>
        </m:r>
      </m:oMath>
      <w:r>
        <w:t xml:space="preserve">m,</w:t>
      </w:r>
      <w:r>
        <w:t xml:space="preserve"> </w:t>
      </w:r>
      <m:oMath>
        <m:sSub>
          <m:e>
            <m:r>
              <m:t>N</m:t>
            </m:r>
          </m:e>
          <m:sub>
            <m:r>
              <m:t>i</m:t>
            </m:r>
            <m:r>
              <m:t>f</m:t>
            </m:r>
          </m:sub>
        </m:sSub>
      </m:oMath>
      <w:r>
        <w:t xml:space="preserve"> </w:t>
      </w:r>
      <w:r>
        <w:t xml:space="preserve">10</w:t>
      </w:r>
      <m:oMath>
        <m:sSup>
          <m:e>
            <m:r>
              <m:t>​</m:t>
            </m:r>
          </m:e>
          <m:sup>
            <m:r>
              <m:t>9</m:t>
            </m:r>
          </m:sup>
        </m:sSup>
      </m:oMath>
      <w:r>
        <w:t xml:space="preserve">–</w:t>
      </w:r>
      <m:oMath>
        <m:sSup>
          <m:e>
            <m:r>
              <m:t>10</m:t>
            </m:r>
          </m:e>
          <m:sup>
            <m:r>
              <m:t>11</m:t>
            </m:r>
          </m:sup>
        </m:sSup>
      </m:oMath>
      <w:r>
        <w:t xml:space="preserve"> cm</w:t>
      </w:r>
      <m:oMath>
        <m:sSup>
          <m:e>
            <m:r>
              <m:t>​</m:t>
            </m:r>
          </m:e>
          <m:sup>
            <m:r>
              <m:rPr>
                <m:sty m:val="p"/>
              </m:rPr>
              <m:t>−</m:t>
            </m:r>
            <m:r>
              <m:t>2</m:t>
            </m:r>
          </m:sup>
        </m:sSup>
      </m:oMath>
      <w:r>
        <w:t xml:space="preserve"> </w:t>
      </w:r>
      <w:r>
        <w:t xml:space="preserve">moves efficiency only from 20.84% to 20.67% (0.16 points over two decades), while the</w:t>
      </w:r>
      <w:r>
        <w:t xml:space="preserve"> </w:t>
      </w:r>
      <m:oMath>
        <m:sSub>
          <m:e>
            <m:r>
              <m:t>N</m:t>
            </m:r>
          </m:e>
          <m:sub>
            <m:r>
              <m:t>t</m:t>
            </m:r>
          </m:sub>
        </m:sSub>
      </m:oMath>
      <w:r>
        <w:t xml:space="preserve"> </w:t>
      </w:r>
      <w:r>
        <w:t xml:space="preserve">10</w:t>
      </w:r>
      <m:oMath>
        <m:sSup>
          <m:e>
            <m:r>
              <m:t>​</m:t>
            </m:r>
          </m:e>
          <m:sup>
            <m:r>
              <m:t>14</m:t>
            </m:r>
          </m:sup>
        </m:sSup>
      </m:oMath>
      <w:r>
        <w:t xml:space="preserve">–</w:t>
      </w:r>
      <m:oMath>
        <m:sSup>
          <m:e>
            <m:r>
              <m:t>10</m:t>
            </m:r>
          </m:e>
          <m:sup>
            <m:r>
              <m:t>15</m:t>
            </m:r>
          </m:sup>
        </m:sSup>
      </m:oMath>
      <w:r>
        <w:t xml:space="preserve"> </w:t>
      </w:r>
      <w:r>
        <w:t xml:space="preserve">step costs far more. At the defect floor interfaces dominate; at routine defects bulk defects do. Trap depth is a non-factor at this defect level: moving</w:t>
      </w:r>
      <w:r>
        <w:t xml:space="preserve"> </w:t>
      </w:r>
      <m:oMath>
        <m:sSub>
          <m:e>
            <m:r>
              <m:t>E</m:t>
            </m:r>
          </m:e>
          <m:sub>
            <m:r>
              <m:t>t</m:t>
            </m:r>
          </m:sub>
        </m:sSub>
      </m:oMath>
      <w:r>
        <w:t xml:space="preserve"> </w:t>
      </w:r>
      <w:r>
        <w:t xml:space="preserve">to 0.3 or 0.9 eV changes efficiency by at most 0.012 points (23.8259% and 23.8241% against 23.8365%).</w:t>
      </w:r>
    </w:p>
    <w:bookmarkStart w:id="68" w:name="tab:morris"/>
    <w:p>
      <w:pPr>
        <w:pStyle w:val="TableCaption"/>
      </w:pPr>
      <w:r>
        <w:t xml:space="preserve">Morris screen design and results (</w:t>
      </w:r>
      <m:oMath>
        <m:r>
          <m:t>r</m:t>
        </m:r>
        <m:r>
          <m:rPr>
            <m:sty m:val="p"/>
          </m:rPr>
          <m:t>=</m:t>
        </m:r>
        <m:r>
          <m:t>8</m:t>
        </m:r>
      </m:oMath>
      <w:r>
        <w:t xml:space="preserve"> </w:t>
      </w:r>
      <w:r>
        <w:t xml:space="preserve">trajectories,</w:t>
      </w:r>
      <w:r>
        <w:t xml:space="preserve"> </w:t>
      </w:r>
      <m:oMath>
        <m:r>
          <m:t>p</m:t>
        </m:r>
        <m:r>
          <m:rPr>
            <m:sty m:val="p"/>
          </m:rPr>
          <m:t>=</m:t>
        </m:r>
        <m:r>
          <m:t>4</m:t>
        </m:r>
      </m:oMath>
      <w:r>
        <w:t xml:space="preserve">,</w:t>
      </w:r>
      <w:r>
        <w:t xml:space="preserve"> </w:t>
      </w:r>
      <m:oMath>
        <m:r>
          <m:rPr>
            <m:sty m:val="p"/>
          </m:rPr>
          <m:t>Δ</m:t>
        </m:r>
        <m:r>
          <m:rPr>
            <m:sty m:val="p"/>
          </m:rPr>
          <m:t>=</m:t>
        </m:r>
        <m:r>
          <m:t>2</m:t>
        </m:r>
        <m:r>
          <m:rPr>
            <m:sty m:val="p"/>
          </m:rPr>
          <m:t>/</m:t>
        </m:r>
        <m:r>
          <m:t>3</m:t>
        </m:r>
      </m:oMath>
      <w:r>
        <w:t xml:space="preserve">, seed 7; 56/56 converged).</w:t>
      </w:r>
      <w:r>
        <w:t xml:space="preserve"> </w:t>
      </w:r>
      <m:oMath>
        <m:sSup>
          <m:e>
            <m:r>
              <m:t>μ</m:t>
            </m:r>
          </m:e>
          <m:sup>
            <m:r>
              <m:rPr>
                <m:sty m:val="p"/>
              </m:rPr>
              <m:t>*</m:t>
            </m:r>
          </m:sup>
        </m:sSup>
      </m:oMath>
      <w:r>
        <w:t xml:space="preserve"> </w:t>
      </w:r>
      <w:r>
        <w:t xml:space="preserve">and</w:t>
      </w:r>
      <w:r>
        <w:t xml:space="preserve"> </w:t>
      </w:r>
      <m:oMath>
        <m:r>
          <m:t>σ</m:t>
        </m:r>
      </m:oMath>
      <w:r>
        <w:t xml:space="preserve"> </w:t>
      </w:r>
      <w:r>
        <w:t xml:space="preserve">are per normalised unit input; the per-decade column (sixth) and the CI column (seventh) are both per physical decade (per eV or per </w:t>
      </w:r>
      <m:oMath>
        <m:r>
          <m:t>μ</m:t>
        </m:r>
      </m:oMath>
      <w:r>
        <w:t xml:space="preserve">m where noted);</w:t>
      </w:r>
      <w:r>
        <w:t xml:space="preserve"> </w:t>
      </w:r>
      <m:oMath>
        <m:r>
          <m:t>n</m:t>
        </m:r>
        <m:r>
          <m:rPr>
            <m:sty m:val="p"/>
          </m:rPr>
          <m:t>=</m:t>
        </m:r>
        <m:r>
          <m:t>8</m:t>
        </m:r>
      </m:oMath>
      <w:r>
        <w:t xml:space="preserve"> </w:t>
      </w:r>
      <w:r>
        <w:t xml:space="preserve">unique directed effects per factor; CI = bootstrap 95% interval (5000 resamples), also per physical decade.</w:t>
      </w:r>
    </w:p>
    <w:tbl>
      <w:tblPr>
        <w:tblStyle w:val="Table"/>
        <w:tblW w:type="auto" w:w="0"/>
        <w:tblLook w:firstRow="1" w:lastRow="0" w:firstColumn="0" w:lastColumn="0" w:noHBand="0" w:noVBand="0" w:val="0020"/>
        <w:tblCaption w:val="Morris screen design and results (r=8 trajectories, p=4, \Delta=2/3, seed 7; 56/56 converged). \mu^* and \sigma are per normalised unit input; the per-decade column (sixth) and the CI column (seventh) are both per physical decade (per eV or per \mum where noted); n=8 unique directed effects per factor; CI = bootstrap 95% interval (5000 resamples), also per physical decade."/>
      </w:tblPr>
      <w:tblGrid>
        <w:gridCol w:w="1131"/>
        <w:gridCol w:w="1131"/>
        <w:gridCol w:w="1131"/>
        <w:gridCol w:w="1131"/>
        <w:gridCol w:w="1131"/>
        <w:gridCol w:w="1131"/>
        <w:gridCol w:w="1131"/>
      </w:tblGrid>
      <w:tr>
        <w:trPr>
          <w:tblHeader w:val="on"/>
        </w:trPr>
        <w:tc>
          <w:tcPr/>
          <w:p>
            <w:pPr>
              <w:pStyle w:val="Compact"/>
              <w:jc w:val="left"/>
            </w:pPr>
            <w:r>
              <w:t xml:space="preserve">Factor</w:t>
            </w:r>
          </w:p>
        </w:tc>
        <w:tc>
          <w:tcPr/>
          <w:p>
            <w:pPr>
              <w:pStyle w:val="Compact"/>
              <w:jc w:val="left"/>
            </w:pPr>
            <w:r>
              <w:t xml:space="preserve">Range</w:t>
            </w:r>
          </w:p>
        </w:tc>
        <w:tc>
          <w:tcPr/>
          <w:p>
            <w:pPr>
              <w:pStyle w:val="Compact"/>
              <w:jc w:val="left"/>
            </w:pPr>
            <m:oMath>
              <m:sSup>
                <m:e>
                  <m:r>
                    <m:t>μ</m:t>
                  </m:r>
                </m:e>
                <m:sup>
                  <m:r>
                    <m:rPr>
                      <m:sty m:val="p"/>
                    </m:rPr>
                    <m:t>*</m:t>
                  </m:r>
                </m:sup>
              </m:sSup>
            </m:oMath>
          </w:p>
        </w:tc>
        <w:tc>
          <w:tcPr/>
          <w:p>
            <w:pPr>
              <w:pStyle w:val="Compact"/>
              <w:jc w:val="left"/>
            </w:pPr>
            <m:oMath>
              <m:r>
                <m:t>σ</m:t>
              </m:r>
            </m:oMath>
          </w:p>
        </w:tc>
        <w:tc>
          <w:tcPr/>
          <w:p>
            <w:pPr>
              <w:pStyle w:val="Compact"/>
              <w:jc w:val="left"/>
            </w:pPr>
            <m:oMath>
              <m:r>
                <m:t>n</m:t>
              </m:r>
            </m:oMath>
          </w:p>
        </w:tc>
        <w:tc>
          <w:tcPr/>
          <w:p>
            <w:pPr>
              <w:pStyle w:val="Compact"/>
              <w:jc w:val="left"/>
            </w:pPr>
            <w:r>
              <w:t xml:space="preserve">per decade</w:t>
            </w:r>
          </w:p>
        </w:tc>
        <w:tc>
          <w:tcPr/>
          <w:p>
            <w:pPr>
              <w:pStyle w:val="Compact"/>
              <w:jc w:val="left"/>
            </w:pPr>
            <w:r>
              <w:t xml:space="preserve">95% CI</w:t>
            </w:r>
          </w:p>
        </w:tc>
      </w:tr>
      <w:tr>
        <w:tc>
          <w:tcPr/>
          <w:p>
            <w:pPr>
              <w:pStyle w:val="Compact"/>
              <w:jc w:val="left"/>
            </w:pPr>
            <m:oMath>
              <m:r>
                <m:rPr>
                  <m:sty m:val="p"/>
                </m:rPr>
                <m:t>log</m:t>
              </m:r>
              <m:sSub>
                <m:e>
                  <m:r>
                    <m:t>N</m:t>
                  </m:r>
                </m:e>
                <m:sub>
                  <m:r>
                    <m:t>i</m:t>
                  </m:r>
                  <m:r>
                    <m:t>f</m:t>
                  </m:r>
                </m:sub>
              </m:sSub>
            </m:oMath>
            <w:r>
              <w:t xml:space="preserve"> </w:t>
            </w:r>
            <w:r>
              <w:t xml:space="preserve">(both IF)</w:t>
            </w:r>
          </w:p>
        </w:tc>
        <w:tc>
          <w:tcPr/>
          <w:p>
            <w:pPr>
              <w:pStyle w:val="Compact"/>
              <w:jc w:val="left"/>
            </w:pPr>
            <m:oMath>
              <m:sSup>
                <m:e>
                  <m:r>
                    <m:t>10</m:t>
                  </m:r>
                </m:e>
                <m:sup>
                  <m:r>
                    <m:t>8</m:t>
                  </m:r>
                </m:sup>
              </m:sSup>
            </m:oMath>
            <w:r>
              <w:t xml:space="preserve">–</w:t>
            </w:r>
            <m:oMath>
              <m:sSup>
                <m:e>
                  <m:r>
                    <m:t>10</m:t>
                  </m:r>
                </m:e>
                <m:sup>
                  <m:r>
                    <m:t>12</m:t>
                  </m:r>
                </m:sup>
              </m:sSup>
            </m:oMath>
            <w:r>
              <w:t xml:space="preserve"> cm</w:t>
            </w:r>
            <m:oMath>
              <m:sSup>
                <m:e>
                  <m:r>
                    <m:t>​</m:t>
                  </m:r>
                </m:e>
                <m:sup>
                  <m:r>
                    <m:rPr>
                      <m:sty m:val="p"/>
                    </m:rPr>
                    <m:t>−</m:t>
                  </m:r>
                  <m:r>
                    <m:t>2</m:t>
                  </m:r>
                </m:sup>
              </m:sSup>
            </m:oMath>
          </w:p>
        </w:tc>
        <w:tc>
          <w:tcPr/>
          <w:p>
            <w:pPr>
              <w:pStyle w:val="Compact"/>
              <w:jc w:val="left"/>
            </w:pPr>
            <w:r>
              <w:t xml:space="preserve">4.08</w:t>
            </w:r>
          </w:p>
        </w:tc>
        <w:tc>
          <w:tcPr/>
          <w:p>
            <w:pPr>
              <w:pStyle w:val="Compact"/>
              <w:jc w:val="left"/>
            </w:pPr>
            <w:r>
              <w:t xml:space="preserve">1.08</w:t>
            </w:r>
          </w:p>
        </w:tc>
        <w:tc>
          <w:tcPr/>
          <w:p>
            <w:pPr>
              <w:pStyle w:val="Compact"/>
              <w:jc w:val="left"/>
            </w:pPr>
            <w:r>
              <w:t xml:space="preserve">8</w:t>
            </w:r>
          </w:p>
        </w:tc>
        <w:tc>
          <w:tcPr/>
          <w:p>
            <w:pPr>
              <w:pStyle w:val="Compact"/>
              <w:jc w:val="left"/>
            </w:pPr>
            <w:r>
              <w:t xml:space="preserve">1.02</w:t>
            </w:r>
          </w:p>
        </w:tc>
        <w:tc>
          <w:tcPr/>
          <w:p>
            <w:pPr>
              <w:pStyle w:val="Compact"/>
              <w:jc w:val="left"/>
            </w:pPr>
            <w:r>
              <w:t xml:space="preserve">[0.84, 1.22]</w:t>
            </w:r>
          </w:p>
        </w:tc>
      </w:tr>
      <w:tr>
        <w:tc>
          <w:tcPr/>
          <w:p>
            <w:pPr>
              <w:pStyle w:val="Compact"/>
              <w:jc w:val="left"/>
            </w:pPr>
            <m:oMath>
              <m:r>
                <m:rPr>
                  <m:sty m:val="p"/>
                </m:rPr>
                <m:t>log</m:t>
              </m:r>
              <m:sSub>
                <m:e>
                  <m:r>
                    <m:t>N</m:t>
                  </m:r>
                </m:e>
                <m:sub>
                  <m:r>
                    <m:t>t</m:t>
                  </m:r>
                </m:sub>
              </m:sSub>
            </m:oMath>
            <w:r>
              <w:t xml:space="preserve"> </w:t>
            </w:r>
            <w:r>
              <w:t xml:space="preserve">(absorber)</w:t>
            </w:r>
          </w:p>
        </w:tc>
        <w:tc>
          <w:tcPr/>
          <w:p>
            <w:pPr>
              <w:pStyle w:val="Compact"/>
              <w:jc w:val="left"/>
            </w:pPr>
            <m:oMath>
              <m:sSup>
                <m:e>
                  <m:r>
                    <m:t>10</m:t>
                  </m:r>
                </m:e>
                <m:sup>
                  <m:r>
                    <m:t>12</m:t>
                  </m:r>
                </m:sup>
              </m:sSup>
            </m:oMath>
            <w:r>
              <w:t xml:space="preserve">–</w:t>
            </w:r>
            <m:oMath>
              <m:sSup>
                <m:e>
                  <m:r>
                    <m:t>10</m:t>
                  </m:r>
                </m:e>
                <m:sup>
                  <m:r>
                    <m:t>15</m:t>
                  </m:r>
                </m:sup>
              </m:sSup>
            </m:oMath>
            <w:r>
              <w:t xml:space="preserve"> cm</w:t>
            </w:r>
            <m:oMath>
              <m:sSup>
                <m:e>
                  <m:r>
                    <m:t>​</m:t>
                  </m:r>
                </m:e>
                <m:sup>
                  <m:r>
                    <m:rPr>
                      <m:sty m:val="p"/>
                    </m:rPr>
                    <m:t>−</m:t>
                  </m:r>
                  <m:r>
                    <m:t>3</m:t>
                  </m:r>
                </m:sup>
              </m:sSup>
            </m:oMath>
          </w:p>
        </w:tc>
        <w:tc>
          <w:tcPr/>
          <w:p>
            <w:pPr>
              <w:pStyle w:val="Compact"/>
              <w:jc w:val="left"/>
            </w:pPr>
            <w:r>
              <w:t xml:space="preserve">2.05</w:t>
            </w:r>
          </w:p>
        </w:tc>
        <w:tc>
          <w:tcPr/>
          <w:p>
            <w:pPr>
              <w:pStyle w:val="Compact"/>
              <w:jc w:val="left"/>
            </w:pPr>
            <w:r>
              <w:t xml:space="preserve">1.40</w:t>
            </w:r>
          </w:p>
        </w:tc>
        <w:tc>
          <w:tcPr/>
          <w:p>
            <w:pPr>
              <w:pStyle w:val="Compact"/>
              <w:jc w:val="left"/>
            </w:pPr>
            <w:r>
              <w:t xml:space="preserve">8</w:t>
            </w:r>
          </w:p>
        </w:tc>
        <w:tc>
          <w:tcPr/>
          <w:p>
            <w:pPr>
              <w:pStyle w:val="Compact"/>
              <w:jc w:val="left"/>
            </w:pPr>
            <w:r>
              <w:t xml:space="preserve">0.68</w:t>
            </w:r>
          </w:p>
        </w:tc>
        <w:tc>
          <w:tcPr/>
          <w:p>
            <w:pPr>
              <w:pStyle w:val="Compact"/>
              <w:jc w:val="left"/>
            </w:pPr>
            <w:r>
              <w:t xml:space="preserve">[0.35, 0.99]</w:t>
            </w:r>
          </w:p>
        </w:tc>
      </w:tr>
      <w:tr>
        <w:tc>
          <w:tcPr/>
          <w:p>
            <w:pPr>
              <w:pStyle w:val="Compact"/>
              <w:jc w:val="left"/>
            </w:pPr>
            <m:oMath>
              <m:sSub>
                <m:e>
                  <m:r>
                    <m:t>E</m:t>
                  </m:r>
                </m:e>
                <m:sub>
                  <m:r>
                    <m:t>g</m:t>
                  </m:r>
                </m:sub>
              </m:sSub>
            </m:oMath>
            <w:r>
              <w:t xml:space="preserve"> </w:t>
            </w:r>
            <w:r>
              <w:t xml:space="preserve">(+</w:t>
            </w:r>
            <m:oMath>
              <m:r>
                <m:t>χ</m:t>
              </m:r>
            </m:oMath>
            <w:r>
              <w:t xml:space="preserve"> </w:t>
            </w:r>
            <w:r>
              <w:t xml:space="preserve">link)</w:t>
            </w:r>
          </w:p>
        </w:tc>
        <w:tc>
          <w:tcPr/>
          <w:p>
            <w:pPr>
              <w:pStyle w:val="Compact"/>
              <w:jc w:val="left"/>
            </w:pPr>
            <w:r>
              <w:t xml:space="preserve">1.65–1.75 eV</w:t>
            </w:r>
          </w:p>
        </w:tc>
        <w:tc>
          <w:tcPr/>
          <w:p>
            <w:pPr>
              <w:pStyle w:val="Compact"/>
              <w:jc w:val="left"/>
            </w:pPr>
            <w:r>
              <w:t xml:space="preserve">1.75</w:t>
            </w:r>
          </w:p>
        </w:tc>
        <w:tc>
          <w:tcPr/>
          <w:p>
            <w:pPr>
              <w:pStyle w:val="Compact"/>
              <w:jc w:val="left"/>
            </w:pPr>
            <w:r>
              <w:t xml:space="preserve">0.79</w:t>
            </w:r>
          </w:p>
        </w:tc>
        <w:tc>
          <w:tcPr/>
          <w:p>
            <w:pPr>
              <w:pStyle w:val="Compact"/>
              <w:jc w:val="left"/>
            </w:pPr>
            <w:r>
              <w:t xml:space="preserve">8</w:t>
            </w:r>
          </w:p>
        </w:tc>
        <w:tc>
          <w:tcPr/>
          <w:p>
            <w:pPr>
              <w:pStyle w:val="Compact"/>
              <w:jc w:val="left"/>
            </w:pPr>
            <w:r>
              <w:t xml:space="preserve">17.5/eV</w:t>
            </w:r>
          </w:p>
        </w:tc>
        <w:tc>
          <w:tcPr/>
          <w:p>
            <w:pPr>
              <w:pStyle w:val="Compact"/>
              <w:jc w:val="left"/>
            </w:pPr>
            <w:r>
              <w:t xml:space="preserve">[12.6, 23.2]</w:t>
            </w:r>
          </w:p>
        </w:tc>
      </w:tr>
      <w:tr>
        <w:tc>
          <w:tcPr/>
          <w:p>
            <w:pPr>
              <w:pStyle w:val="Compact"/>
              <w:jc w:val="left"/>
            </w:pPr>
            <w:r>
              <w:t xml:space="preserve">Thickness</w:t>
            </w:r>
          </w:p>
        </w:tc>
        <w:tc>
          <w:tcPr/>
          <w:p>
            <w:pPr>
              <w:pStyle w:val="Compact"/>
              <w:jc w:val="left"/>
            </w:pPr>
            <w:r>
              <w:t xml:space="preserve">0.4–2.2 </w:t>
            </w:r>
            <m:oMath>
              <m:r>
                <m:t>μ</m:t>
              </m:r>
            </m:oMath>
            <w:r>
              <w:t xml:space="preserve">m</w:t>
            </w:r>
          </w:p>
        </w:tc>
        <w:tc>
          <w:tcPr/>
          <w:p>
            <w:pPr>
              <w:pStyle w:val="Compact"/>
              <w:jc w:val="left"/>
            </w:pPr>
            <w:r>
              <w:t xml:space="preserve">1.29</w:t>
            </w:r>
          </w:p>
        </w:tc>
        <w:tc>
          <w:tcPr/>
          <w:p>
            <w:pPr>
              <w:pStyle w:val="Compact"/>
              <w:jc w:val="left"/>
            </w:pPr>
            <w:r>
              <w:t xml:space="preserve">0.99</w:t>
            </w:r>
          </w:p>
        </w:tc>
        <w:tc>
          <w:tcPr/>
          <w:p>
            <w:pPr>
              <w:pStyle w:val="Compact"/>
              <w:jc w:val="left"/>
            </w:pPr>
            <w:r>
              <w:t xml:space="preserve">8</w:t>
            </w:r>
          </w:p>
        </w:tc>
        <w:tc>
          <w:tcPr/>
          <w:p>
            <w:pPr>
              <w:pStyle w:val="Compact"/>
              <w:jc w:val="left"/>
            </w:pPr>
            <w:r>
              <w:t xml:space="preserve">0.72/</w:t>
            </w:r>
            <m:oMath>
              <m:r>
                <m:t>μ</m:t>
              </m:r>
            </m:oMath>
            <w:r>
              <w:t xml:space="preserve">m</w:t>
            </w:r>
          </w:p>
        </w:tc>
        <w:tc>
          <w:tcPr/>
          <w:p>
            <w:pPr>
              <w:pStyle w:val="Compact"/>
              <w:jc w:val="left"/>
            </w:pPr>
            <w:r>
              <w:t xml:space="preserve">[0.36, 1.07]</w:t>
            </w:r>
          </w:p>
        </w:tc>
      </w:tr>
      <w:tr>
        <w:tc>
          <w:tcPr/>
          <w:p>
            <w:pPr>
              <w:pStyle w:val="Compact"/>
              <w:jc w:val="left"/>
            </w:pPr>
            <m:oMath>
              <m:r>
                <m:rPr>
                  <m:sty m:val="p"/>
                </m:rPr>
                <m:t>log</m:t>
              </m:r>
              <m:sSub>
                <m:e>
                  <m:r>
                    <m:t>N</m:t>
                  </m:r>
                </m:e>
                <m:sub>
                  <m:r>
                    <m:t>D</m:t>
                  </m:r>
                  <m:r>
                    <m:rPr>
                      <m:sty m:val="p"/>
                    </m:rPr>
                    <m:t>,</m:t>
                  </m:r>
                  <m:r>
                    <m:t>E</m:t>
                  </m:r>
                  <m:r>
                    <m:t>T</m:t>
                  </m:r>
                  <m:r>
                    <m:t>L</m:t>
                  </m:r>
                </m:sub>
              </m:sSub>
            </m:oMath>
          </w:p>
        </w:tc>
        <w:tc>
          <w:tcPr/>
          <w:p>
            <w:pPr>
              <w:pStyle w:val="Compact"/>
              <w:jc w:val="left"/>
            </w:pPr>
            <m:oMath>
              <m:sSup>
                <m:e>
                  <m:r>
                    <m:t>10</m:t>
                  </m:r>
                </m:e>
                <m:sup>
                  <m:r>
                    <m:t>16</m:t>
                  </m:r>
                </m:sup>
              </m:sSup>
            </m:oMath>
            <w:r>
              <w:t xml:space="preserve">–</w:t>
            </w:r>
            <m:oMath>
              <m:sSup>
                <m:e>
                  <m:r>
                    <m:t>10</m:t>
                  </m:r>
                </m:e>
                <m:sup>
                  <m:r>
                    <m:t>19</m:t>
                  </m:r>
                </m:sup>
              </m:sSup>
            </m:oMath>
            <w:r>
              <w:t xml:space="preserve"> cm</w:t>
            </w:r>
            <m:oMath>
              <m:sSup>
                <m:e>
                  <m:r>
                    <m:t>​</m:t>
                  </m:r>
                </m:e>
                <m:sup>
                  <m:r>
                    <m:rPr>
                      <m:sty m:val="p"/>
                    </m:rPr>
                    <m:t>−</m:t>
                  </m:r>
                  <m:r>
                    <m:t>3</m:t>
                  </m:r>
                </m:sup>
              </m:sSup>
            </m:oMath>
          </w:p>
        </w:tc>
        <w:tc>
          <w:tcPr/>
          <w:p>
            <w:pPr>
              <w:pStyle w:val="Compact"/>
              <w:jc w:val="left"/>
            </w:pPr>
            <w:r>
              <w:t xml:space="preserve">0.68</w:t>
            </w:r>
          </w:p>
        </w:tc>
        <w:tc>
          <w:tcPr/>
          <w:p>
            <w:pPr>
              <w:pStyle w:val="Compact"/>
              <w:jc w:val="left"/>
            </w:pPr>
            <w:r>
              <w:t xml:space="preserve">1.04</w:t>
            </w:r>
          </w:p>
        </w:tc>
        <w:tc>
          <w:tcPr/>
          <w:p>
            <w:pPr>
              <w:pStyle w:val="Compact"/>
              <w:jc w:val="left"/>
            </w:pPr>
            <w:r>
              <w:t xml:space="preserve">8</w:t>
            </w:r>
          </w:p>
        </w:tc>
        <w:tc>
          <w:tcPr/>
          <w:p>
            <w:pPr>
              <w:pStyle w:val="Compact"/>
              <w:jc w:val="left"/>
            </w:pPr>
            <w:r>
              <w:t xml:space="preserve">0.23</w:t>
            </w:r>
          </w:p>
        </w:tc>
        <w:tc>
          <w:tcPr/>
          <w:p>
            <w:pPr>
              <w:pStyle w:val="Compact"/>
              <w:jc w:val="left"/>
            </w:pPr>
            <w:r>
              <w:t xml:space="preserve">[0.02, 0.47]</w:t>
            </w:r>
          </w:p>
        </w:tc>
      </w:tr>
      <w:tr>
        <w:tc>
          <w:tcPr/>
          <w:p>
            <w:pPr>
              <w:pStyle w:val="Compact"/>
              <w:jc w:val="left"/>
            </w:pPr>
            <m:oMath>
              <m:r>
                <m:rPr>
                  <m:sty m:val="p"/>
                </m:rPr>
                <m:t>log</m:t>
              </m:r>
              <m:sSub>
                <m:e>
                  <m:r>
                    <m:t>N</m:t>
                  </m:r>
                </m:e>
                <m:sub>
                  <m:r>
                    <m:t>A</m:t>
                  </m:r>
                </m:sub>
              </m:sSub>
            </m:oMath>
            <w:r>
              <w:t xml:space="preserve"> </w:t>
            </w:r>
            <w:r>
              <w:t xml:space="preserve">(absorber)</w:t>
            </w:r>
          </w:p>
        </w:tc>
        <w:tc>
          <w:tcPr/>
          <w:p>
            <w:pPr>
              <w:pStyle w:val="Compact"/>
              <w:jc w:val="left"/>
            </w:pPr>
            <m:oMath>
              <m:sSup>
                <m:e>
                  <m:r>
                    <m:t>10</m:t>
                  </m:r>
                </m:e>
                <m:sup>
                  <m:r>
                    <m:t>15</m:t>
                  </m:r>
                </m:sup>
              </m:sSup>
            </m:oMath>
            <w:r>
              <w:t xml:space="preserve">–</w:t>
            </w:r>
            <m:oMath>
              <m:r>
                <m:t>3</m:t>
              </m:r>
              <m:r>
                <m:rPr>
                  <m:sty m:val="p"/>
                </m:rPr>
                <m:t>×</m:t>
              </m:r>
              <m:sSup>
                <m:e>
                  <m:r>
                    <m:t>10</m:t>
                  </m:r>
                </m:e>
                <m:sup>
                  <m:r>
                    <m:t>16</m:t>
                  </m:r>
                </m:sup>
              </m:sSup>
            </m:oMath>
            <w:r>
              <w:t xml:space="preserve"> cm</w:t>
            </w:r>
            <m:oMath>
              <m:sSup>
                <m:e>
                  <m:r>
                    <m:t>​</m:t>
                  </m:r>
                </m:e>
                <m:sup>
                  <m:r>
                    <m:rPr>
                      <m:sty m:val="p"/>
                    </m:rPr>
                    <m:t>−</m:t>
                  </m:r>
                  <m:r>
                    <m:t>3</m:t>
                  </m:r>
                </m:sup>
              </m:sSup>
            </m:oMath>
          </w:p>
        </w:tc>
        <w:tc>
          <w:tcPr/>
          <w:p>
            <w:pPr>
              <w:pStyle w:val="Compact"/>
              <w:jc w:val="left"/>
            </w:pPr>
            <w:r>
              <w:t xml:space="preserve">0.48</w:t>
            </w:r>
          </w:p>
        </w:tc>
        <w:tc>
          <w:tcPr/>
          <w:p>
            <w:pPr>
              <w:pStyle w:val="Compact"/>
              <w:jc w:val="left"/>
            </w:pPr>
            <w:r>
              <w:t xml:space="preserve">0.56</w:t>
            </w:r>
          </w:p>
        </w:tc>
        <w:tc>
          <w:tcPr/>
          <w:p>
            <w:pPr>
              <w:pStyle w:val="Compact"/>
              <w:jc w:val="left"/>
            </w:pPr>
            <w:r>
              <w:t xml:space="preserve">8</w:t>
            </w:r>
          </w:p>
        </w:tc>
        <w:tc>
          <w:tcPr/>
          <w:p>
            <w:pPr>
              <w:pStyle w:val="Compact"/>
              <w:jc w:val="left"/>
            </w:pPr>
            <w:r>
              <w:t xml:space="preserve">0.32</w:t>
            </w:r>
          </w:p>
        </w:tc>
        <w:tc>
          <w:tcPr/>
          <w:p>
            <w:pPr>
              <w:pStyle w:val="Compact"/>
              <w:jc w:val="left"/>
            </w:pPr>
            <w:r>
              <w:t xml:space="preserve">[0.12, 0.58]</w:t>
            </w:r>
          </w:p>
        </w:tc>
      </w:tr>
    </w:tbl>
    <w:bookmarkEnd w:id="68"/>
    <w:bookmarkStart w:id="72" w:name="fig:morris"/>
    <w:p>
      <w:pPr>
        <w:pStyle w:val="CaptionedFigure"/>
      </w:pPr>
      <w:r>
        <w:drawing>
          <wp:inline>
            <wp:extent cx="4267200" cy="2133600"/>
            <wp:effectExtent b="0" l="0" r="0" t="0"/>
            <wp:docPr descr="" title="" id="70" name="Picture"/>
            <a:graphic>
              <a:graphicData uri="http://schemas.openxmlformats.org/drawingml/2006/picture">
                <pic:pic>
                  <pic:nvPicPr>
                    <pic:cNvPr descr="/home/touhid/Documents/leadpaper/outputs/figs/fig_morris.png" id="71" name="Picture"/>
                    <pic:cNvPicPr>
                      <a:picLocks noChangeArrowheads="1" noChangeAspect="1"/>
                    </pic:cNvPicPr>
                  </pic:nvPicPr>
                  <pic:blipFill>
                    <a:blip r:embed="rId69"/>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Morris</w:t>
      </w:r>
      <w:r>
        <w:t xml:space="preserve"> </w:t>
      </w:r>
      <m:oMath>
        <m:sSup>
          <m:e>
            <m:r>
              <m:t>μ</m:t>
            </m:r>
          </m:e>
          <m:sup>
            <m:r>
              <m:rPr>
                <m:sty m:val="p"/>
              </m:rPr>
              <m:t>*</m:t>
            </m:r>
          </m:sup>
        </m:sSup>
      </m:oMath>
      <w:r>
        <w:t xml:space="preserve"> </w:t>
      </w:r>
      <w:r>
        <w:t xml:space="preserve">(bars) with interaction spread</w:t>
      </w:r>
      <w:r>
        <w:t xml:space="preserve"> </w:t>
      </w:r>
      <m:oMath>
        <m:r>
          <m:t>σ</m:t>
        </m:r>
      </m:oMath>
      <w:r>
        <w:t xml:space="preserve"> </w:t>
      </w:r>
      <w:r>
        <w:t xml:space="preserve">(whiskers). Ranking is regime-conditional: interfaces lead at the defect floor, bulk defects at routine levels (Table </w:t>
      </w:r>
      <w:hyperlink w:anchor="tab:real">
        <w:r>
          <w:rPr>
            <w:rStyle w:val="Hyperlink"/>
          </w:rPr>
          <w:t xml:space="preserve">11</w:t>
        </w:r>
      </w:hyperlink>
      <w:r>
        <w:t xml:space="preserve">); large</w:t>
      </w:r>
      <w:r>
        <w:t xml:space="preserve"> </w:t>
      </w:r>
      <m:oMath>
        <m:r>
          <m:t>σ</m:t>
        </m:r>
      </m:oMath>
      <w:r>
        <w:t xml:space="preserve"> </w:t>
      </w:r>
      <w:r>
        <w:t xml:space="preserve">signals interactions.</w:t>
      </w:r>
    </w:p>
    <w:bookmarkEnd w:id="72"/>
    <w:bookmarkStart w:id="73" w:name="tab:real"/>
    <w:p>
      <w:pPr>
        <w:pStyle w:val="TableCaption"/>
      </w:pPr>
      <w:r>
        <w:t xml:space="preserve">Routine-defect case (</w:t>
      </w:r>
      <m:oMath>
        <m:sSub>
          <m:e>
            <m:r>
              <m:t>N</m:t>
            </m:r>
          </m:e>
          <m:sub>
            <m:r>
              <m:t>t</m:t>
            </m:r>
          </m:sub>
        </m:sSub>
        <m:r>
          <m:rPr>
            <m:sty m:val="p"/>
          </m:rPr>
          <m:t>=</m:t>
        </m:r>
        <m:sSup>
          <m:e>
            <m:r>
              <m:t>10</m:t>
            </m:r>
          </m:e>
          <m:sup>
            <m:r>
              <m:t>15</m:t>
            </m:r>
          </m:sup>
        </m:sSup>
      </m:oMath>
      <w:r>
        <w:t xml:space="preserve"> cm</w:t>
      </w:r>
      <m:oMath>
        <m:sSup>
          <m:e>
            <m:r>
              <m:t>​</m:t>
            </m:r>
          </m:e>
          <m:sup>
            <m:r>
              <m:rPr>
                <m:sty m:val="p"/>
              </m:rPr>
              <m:t>−</m:t>
            </m:r>
            <m:r>
              <m:t>3</m:t>
            </m:r>
          </m:sup>
        </m:sSup>
      </m:oMath>
      <w:r>
        <w:t xml:space="preserve">): interface dose–response is nearly flat, so bulk defects dominate here. Dose rows are 1.0 </w:t>
      </w:r>
      <m:oMath>
        <m:r>
          <m:t>μ</m:t>
        </m:r>
      </m:oMath>
      <w:r>
        <w:t xml:space="preserve">m and</w:t>
      </w:r>
      <w:r>
        <w:t xml:space="preserve"> </w:t>
      </w:r>
      <m:oMath>
        <m:r>
          <m:rPr>
            <m:sty m:val="p"/>
          </m:rPr>
          <m:t>Δ</m:t>
        </m:r>
      </m:oMath>
      <w:r>
        <w:t xml:space="preserve"> </w:t>
      </w:r>
      <w:r>
        <w:t xml:space="preserve">is against the 20.82% guardrail row of that base; the two ITO rows are 0.8 </w:t>
      </w:r>
      <m:oMath>
        <m:r>
          <m:t>μ</m:t>
        </m:r>
      </m:oMath>
      <w:r>
        <w:t xml:space="preserve">m runs (20.72% at surveyed</w:t>
      </w:r>
      <w:r>
        <w:t xml:space="preserve"> </w:t>
      </w:r>
      <m:oMath>
        <m:r>
          <m:t>χ</m:t>
        </m:r>
      </m:oMath>
      <w:r>
        <w:t xml:space="preserve">) and their</w:t>
      </w:r>
      <w:r>
        <w:t xml:space="preserve"> </w:t>
      </w:r>
      <m:oMath>
        <m:r>
          <m:rPr>
            <m:sty m:val="p"/>
          </m:rPr>
          <m:t>Δ</m:t>
        </m:r>
      </m:oMath>
      <w:r>
        <w:t xml:space="preserve"> </w:t>
      </w:r>
      <w:r>
        <w:t xml:space="preserve">is against that 0.8 </w:t>
      </w:r>
      <m:oMath>
        <m:r>
          <m:t>μ</m:t>
        </m:r>
      </m:oMath>
      <w:r>
        <w:t xml:space="preserve">m row, not the 1.0 </w:t>
      </w:r>
      <m:oMath>
        <m:r>
          <m:t>μ</m:t>
        </m:r>
      </m:oMath>
      <w:r>
        <w:t xml:space="preserve">m one. Values computed;</w:t>
      </w:r>
      <w:r>
        <w:t xml:space="preserve"> </w:t>
      </w:r>
      <m:oMath>
        <m:sSub>
          <m:e>
            <m:r>
              <m:t>R</m:t>
            </m:r>
          </m:e>
          <m:sub>
            <m:r>
              <m:t>s</m:t>
            </m:r>
          </m:sub>
        </m:sSub>
        <m:r>
          <m:rPr>
            <m:sty m:val="p"/>
          </m:rPr>
          <m:t>=</m:t>
        </m:r>
        <m:r>
          <m:t>0</m:t>
        </m:r>
      </m:oMath>
      <w:r>
        <w:t xml:space="preserve"> </w:t>
      </w:r>
      <w:r>
        <w:t xml:space="preserve">unless stated.</w:t>
      </w:r>
    </w:p>
    <w:tbl>
      <w:tblPr>
        <w:tblStyle w:val="Table"/>
        <w:tblW w:type="auto" w:w="0"/>
        <w:tblLook w:firstRow="1" w:lastRow="0" w:firstColumn="0" w:lastColumn="0" w:noHBand="0" w:noVBand="0" w:val="0020"/>
        <w:tblCaption w:val="Routine-defect case (N_t=10^{15} cm^{-3}): interface dose–response is nearly flat, so bulk defects dominate here. Dose rows are 1.0 \mum and \Delta is against the 20.82% guardrail row of that base; the two ITO rows are 0.8 \mum runs (20.72% at surveyed \chi) and their \Delta is against that 0.8 \mum row, not the 1.0 \mum one. Values computed; R_s=0 unless stated."/>
      </w:tblPr>
      <w:tblGrid>
        <w:gridCol w:w="1980"/>
        <w:gridCol w:w="1980"/>
        <w:gridCol w:w="1980"/>
        <w:gridCol w:w="1980"/>
      </w:tblGrid>
      <w:tr>
        <w:trPr>
          <w:tblHeader w:val="on"/>
        </w:trPr>
        <w:tc>
          <w:tcPr/>
          <w:p>
            <w:pPr>
              <w:pStyle w:val="Compact"/>
              <w:jc w:val="left"/>
            </w:pPr>
            <m:oMath>
              <m:sSub>
                <m:e>
                  <m:r>
                    <m:t>N</m:t>
                  </m:r>
                </m:e>
                <m:sub>
                  <m:r>
                    <m:t>i</m:t>
                  </m:r>
                  <m:r>
                    <m:t>f</m:t>
                  </m:r>
                </m:sub>
              </m:sSub>
            </m:oMath>
            <w:r>
              <w:t xml:space="preserve"> </w:t>
            </w:r>
            <w:r>
              <w:t xml:space="preserve">(cm</w:t>
            </w:r>
            <m:oMath>
              <m:sSup>
                <m:e>
                  <m:r>
                    <m:t>​</m:t>
                  </m:r>
                </m:e>
                <m:sup>
                  <m:r>
                    <m:rPr>
                      <m:sty m:val="p"/>
                    </m:rPr>
                    <m:t>−</m:t>
                  </m:r>
                  <m:r>
                    <m:t>2</m:t>
                  </m:r>
                </m:sup>
              </m:sSup>
            </m:oMath>
            <w:r>
              <w:t xml:space="preserve">)</w:t>
            </w:r>
          </w:p>
        </w:tc>
        <w:tc>
          <w:tcPr/>
          <w:p>
            <w:pPr>
              <w:pStyle w:val="Compact"/>
              <w:jc w:val="left"/>
            </w:pPr>
            <w:r>
              <w:t xml:space="preserve">PCE (%)</w:t>
            </w:r>
          </w:p>
        </w:tc>
        <w:tc>
          <w:tcPr/>
          <w:p>
            <w:pPr>
              <w:pStyle w:val="Compact"/>
              <w:jc w:val="left"/>
            </w:pPr>
            <m:oMath>
              <m:r>
                <m:rPr>
                  <m:sty m:val="p"/>
                </m:rPr>
                <m:t>Δ</m:t>
              </m:r>
            </m:oMath>
            <w:r>
              <w:t xml:space="preserve"> </w:t>
            </w:r>
            <w:r>
              <w:t xml:space="preserve">vs guardrail</w:t>
            </w:r>
          </w:p>
        </w:tc>
        <w:tc>
          <w:tcPr/>
          <w:p>
            <w:pPr>
              <w:pStyle w:val="Compact"/>
              <w:jc w:val="left"/>
            </w:pPr>
            <w:r>
              <w:t xml:space="preserve">Base</w:t>
            </w:r>
          </w:p>
        </w:tc>
      </w:tr>
      <w:tr>
        <w:tc>
          <w:tcPr/>
          <w:p>
            <w:pPr>
              <w:pStyle w:val="Compact"/>
              <w:jc w:val="left"/>
            </w:pPr>
            <m:oMath>
              <m:sSup>
                <m:e>
                  <m:r>
                    <m:t>10</m:t>
                  </m:r>
                </m:e>
                <m:sup>
                  <m:r>
                    <m:t>9</m:t>
                  </m:r>
                </m:sup>
              </m:sSup>
            </m:oMath>
          </w:p>
        </w:tc>
        <w:tc>
          <w:tcPr/>
          <w:p>
            <w:pPr>
              <w:pStyle w:val="Compact"/>
              <w:jc w:val="left"/>
            </w:pPr>
            <w:r>
              <w:t xml:space="preserve">20.84</w:t>
            </w:r>
          </w:p>
        </w:tc>
        <w:tc>
          <w:tcPr/>
          <w:p>
            <w:pPr>
              <w:pStyle w:val="Compact"/>
              <w:jc w:val="left"/>
            </w:pPr>
            <w:r>
              <w:t xml:space="preserve">+0.017</w:t>
            </w:r>
          </w:p>
        </w:tc>
        <w:tc>
          <w:tcPr/>
          <w:p>
            <w:pPr>
              <w:pStyle w:val="Compact"/>
              <w:jc w:val="left"/>
            </w:pPr>
            <w:r>
              <w:t xml:space="preserve">surveyed</w:t>
            </w:r>
            <w:r>
              <w:t xml:space="preserve"> </w:t>
            </w:r>
            <m:oMath>
              <m:r>
                <m:t>χ</m:t>
              </m:r>
            </m:oMath>
          </w:p>
        </w:tc>
      </w:tr>
      <w:tr>
        <w:tc>
          <w:tcPr/>
          <w:p>
            <w:pPr>
              <w:pStyle w:val="Compact"/>
              <w:jc w:val="left"/>
            </w:pPr>
            <m:oMath>
              <m:sSup>
                <m:e>
                  <m:r>
                    <m:t>10</m:t>
                  </m:r>
                </m:e>
                <m:sup>
                  <m:r>
                    <m:t>10</m:t>
                  </m:r>
                </m:sup>
              </m:sSup>
            </m:oMath>
            <w:r>
              <w:t xml:space="preserve"> </w:t>
            </w:r>
            <w:r>
              <w:t xml:space="preserve">(guardrail)</w:t>
            </w:r>
          </w:p>
        </w:tc>
        <w:tc>
          <w:tcPr/>
          <w:p>
            <w:pPr>
              <w:pStyle w:val="Compact"/>
              <w:jc w:val="left"/>
            </w:pPr>
            <w:r>
              <w:t xml:space="preserve">20.82</w:t>
            </w:r>
          </w:p>
        </w:tc>
        <w:tc>
          <w:tcPr/>
          <w:p>
            <w:pPr>
              <w:pStyle w:val="Compact"/>
              <w:jc w:val="left"/>
            </w:pPr>
            <w:r>
              <w:t xml:space="preserve">–</w:t>
            </w:r>
          </w:p>
        </w:tc>
        <w:tc>
          <w:tcPr/>
          <w:p>
            <w:pPr>
              <w:pStyle w:val="Compact"/>
              <w:jc w:val="left"/>
            </w:pPr>
            <w:r>
              <w:t xml:space="preserve">surveyed</w:t>
            </w:r>
            <w:r>
              <w:t xml:space="preserve"> </w:t>
            </w:r>
            <m:oMath>
              <m:r>
                <m:t>χ</m:t>
              </m:r>
            </m:oMath>
          </w:p>
        </w:tc>
      </w:tr>
      <w:tr>
        <w:tc>
          <w:tcPr/>
          <w:p>
            <w:pPr>
              <w:pStyle w:val="Compact"/>
              <w:jc w:val="left"/>
            </w:pPr>
            <m:oMath>
              <m:sSup>
                <m:e>
                  <m:r>
                    <m:t>10</m:t>
                  </m:r>
                </m:e>
                <m:sup>
                  <m:r>
                    <m:t>11</m:t>
                  </m:r>
                </m:sup>
              </m:sSup>
            </m:oMath>
          </w:p>
        </w:tc>
        <w:tc>
          <w:tcPr/>
          <w:p>
            <w:pPr>
              <w:pStyle w:val="Compact"/>
              <w:jc w:val="left"/>
            </w:pPr>
            <w:r>
              <w:t xml:space="preserve">20.67</w:t>
            </w:r>
          </w:p>
        </w:tc>
        <w:tc>
          <w:tcPr/>
          <w:p>
            <w:pPr>
              <w:pStyle w:val="Compact"/>
              <w:jc w:val="left"/>
            </w:pPr>
            <m:oMath>
              <m:r>
                <m:rPr>
                  <m:sty m:val="p"/>
                </m:rPr>
                <m:t>−</m:t>
              </m:r>
              <m:r>
                <m:t>0.147</m:t>
              </m:r>
            </m:oMath>
          </w:p>
        </w:tc>
        <w:tc>
          <w:tcPr/>
          <w:p>
            <w:pPr>
              <w:pStyle w:val="Compact"/>
              <w:jc w:val="left"/>
            </w:pPr>
            <w:r>
              <w:t xml:space="preserve">surveyed</w:t>
            </w:r>
            <w:r>
              <w:t xml:space="preserve"> </w:t>
            </w:r>
            <m:oMath>
              <m:r>
                <m:t>χ</m:t>
              </m:r>
            </m:oMath>
          </w:p>
        </w:tc>
      </w:tr>
      <w:tr>
        <w:tc>
          <w:tcPr/>
          <w:p>
            <w:pPr>
              <w:pStyle w:val="Compact"/>
              <w:jc w:val="left"/>
            </w:pPr>
            <m:oMath>
              <m:sSup>
                <m:e>
                  <m:r>
                    <m:t>10</m:t>
                  </m:r>
                </m:e>
                <m:sup>
                  <m:r>
                    <m:t>10</m:t>
                  </m:r>
                </m:sup>
              </m:sSup>
            </m:oMath>
            <w:r>
              <w:t xml:space="preserve">, ITO 4.4 eV (0.8 </w:t>
            </w:r>
            <m:oMath>
              <m:r>
                <m:t>μ</m:t>
              </m:r>
            </m:oMath>
            <w:r>
              <w:t xml:space="preserve">m)</w:t>
            </w:r>
          </w:p>
        </w:tc>
        <w:tc>
          <w:tcPr/>
          <w:p>
            <w:pPr>
              <w:pStyle w:val="Compact"/>
              <w:jc w:val="left"/>
            </w:pPr>
            <w:r>
              <w:t xml:space="preserve">20.68</w:t>
            </w:r>
          </w:p>
        </w:tc>
        <w:tc>
          <w:tcPr/>
          <w:p>
            <w:pPr>
              <w:pStyle w:val="Compact"/>
              <w:jc w:val="left"/>
            </w:pPr>
            <m:oMath>
              <m:r>
                <m:rPr>
                  <m:sty m:val="p"/>
                </m:rPr>
                <m:t>−</m:t>
              </m:r>
              <m:r>
                <m:t>0.04</m:t>
              </m:r>
            </m:oMath>
          </w:p>
        </w:tc>
        <w:tc>
          <w:tcPr/>
          <w:p>
            <w:pPr>
              <w:pStyle w:val="Compact"/>
              <w:jc w:val="left"/>
            </w:pPr>
            <w:r>
              <w:t xml:space="preserve">surveyed</w:t>
            </w:r>
            <w:r>
              <w:t xml:space="preserve"> </w:t>
            </w:r>
            <m:oMath>
              <m:r>
                <m:t>χ</m:t>
              </m:r>
            </m:oMath>
          </w:p>
        </w:tc>
      </w:tr>
      <w:tr>
        <w:tc>
          <w:tcPr/>
          <w:p>
            <w:pPr>
              <w:pStyle w:val="Compact"/>
              <w:jc w:val="left"/>
            </w:pPr>
            <m:oMath>
              <m:sSup>
                <m:e>
                  <m:r>
                    <m:t>10</m:t>
                  </m:r>
                </m:e>
                <m:sup>
                  <m:r>
                    <m:t>10</m:t>
                  </m:r>
                </m:sup>
              </m:sSup>
            </m:oMath>
            <w:r>
              <w:t xml:space="preserve">, ITO 4.4 eV (0.8 </w:t>
            </w:r>
            <m:oMath>
              <m:r>
                <m:t>μ</m:t>
              </m:r>
            </m:oMath>
            <w:r>
              <w:t xml:space="preserve">m)</w:t>
            </w:r>
          </w:p>
        </w:tc>
        <w:tc>
          <w:tcPr/>
          <w:p>
            <w:pPr>
              <w:pStyle w:val="Compact"/>
              <w:jc w:val="left"/>
            </w:pPr>
            <w:r>
              <w:t xml:space="preserve">18.11</w:t>
            </w:r>
          </w:p>
        </w:tc>
        <w:tc>
          <w:tcPr/>
          <w:p>
            <w:pPr>
              <w:pStyle w:val="Compact"/>
              <w:jc w:val="left"/>
            </w:pPr>
            <m:oMath>
              <m:r>
                <m:rPr>
                  <m:sty m:val="p"/>
                </m:rPr>
                <m:t>−</m:t>
              </m:r>
              <m:r>
                <m:t>2.61</m:t>
              </m:r>
            </m:oMath>
          </w:p>
        </w:tc>
        <w:tc>
          <w:tcPr/>
          <w:p>
            <w:pPr>
              <w:pStyle w:val="Compact"/>
              <w:jc w:val="left"/>
            </w:pPr>
            <w:r>
              <w:t xml:space="preserve">adopted</w:t>
            </w:r>
            <w:r>
              <w:t xml:space="preserve"> </w:t>
            </w:r>
            <m:oMath>
              <m:r>
                <m:t>χ</m:t>
              </m:r>
            </m:oMath>
          </w:p>
        </w:tc>
      </w:tr>
      <w:tr>
        <w:tc>
          <w:tcPr/>
          <w:p>
            <w:pPr>
              <w:pStyle w:val="Compact"/>
              <w:jc w:val="left"/>
            </w:pPr>
            <m:oMath>
              <m:sSup>
                <m:e>
                  <m:r>
                    <m:t>10</m:t>
                  </m:r>
                </m:e>
                <m:sup>
                  <m:r>
                    <m:t>10</m:t>
                  </m:r>
                </m:sup>
              </m:sSup>
            </m:oMath>
            <w:r>
              <w:t xml:space="preserve">,</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p>
        </w:tc>
        <w:tc>
          <w:tcPr/>
          <w:p>
            <w:pPr>
              <w:pStyle w:val="Compact"/>
              <w:jc w:val="left"/>
            </w:pPr>
            <w:r>
              <w:t xml:space="preserve">20.42</w:t>
            </w:r>
          </w:p>
        </w:tc>
        <w:tc>
          <w:tcPr/>
          <w:p>
            <w:pPr>
              <w:pStyle w:val="Compact"/>
              <w:jc w:val="left"/>
            </w:pPr>
            <m:oMath>
              <m:r>
                <m:rPr>
                  <m:sty m:val="p"/>
                </m:rPr>
                <m:t>−</m:t>
              </m:r>
              <m:r>
                <m:t>0.40</m:t>
              </m:r>
            </m:oMath>
          </w:p>
        </w:tc>
        <w:tc>
          <w:tcPr/>
          <w:p>
            <w:pPr>
              <w:pStyle w:val="Compact"/>
              <w:jc w:val="left"/>
            </w:pPr>
            <w:r>
              <w:t xml:space="preserve">surveyed</w:t>
            </w:r>
            <w:r>
              <w:t xml:space="preserve"> </w:t>
            </w:r>
            <m:oMath>
              <m:r>
                <m:t>χ</m:t>
              </m:r>
            </m:oMath>
            <w:r>
              <w:t xml:space="preserve">; computed (s14)</w:t>
            </w:r>
          </w:p>
        </w:tc>
      </w:tr>
    </w:tbl>
    <w:bookmarkEnd w:id="73"/>
    <w:p>
      <w:pPr>
        <w:pStyle w:val="BodyText"/>
      </w:pPr>
      <w:r>
        <w:t xml:space="preserve">Interface-led sensitivity is consistent with passivation studies in which interface-adjacent defects gate the voltage </w:t>
      </w:r>
      <w:r>
        <w:t xml:space="preserve">[29]</w:t>
      </w:r>
      <w:r>
        <w:t xml:space="preserve">, and with Bayesian optimisation on CsSnI3 where the optimal thickness likewise shifts with defect density </w:t>
      </w:r>
      <w:r>
        <w:t xml:space="preserve">[9]</w:t>
      </w:r>
      <w:r>
        <w:t xml:space="preserve">.</w:t>
      </w:r>
    </w:p>
    <w:bookmarkEnd w:id="74"/>
    <w:bookmarkStart w:id="76" w:name="discussion"/>
    <w:p>
      <w:pPr>
        <w:pStyle w:val="Heading1"/>
      </w:pPr>
      <w:r>
        <w:t xml:space="preserve">Discussion</w:t>
      </w:r>
    </w:p>
    <w:p>
      <w:pPr>
        <w:pStyle w:val="FirstParagraph"/>
      </w:pPr>
      <w:r>
        <w:t xml:space="preserve">Fabrication plausibility bounds the result, and the computed sweeps price each term.</w:t>
      </w:r>
      <w:r>
        <w:t xml:space="preserve"> </w:t>
      </w:r>
      <m:oMath>
        <m:sSub>
          <m:e>
            <m:r>
              <m:t>N</m:t>
            </m:r>
          </m:e>
          <m:sub>
            <m:r>
              <m:t>A</m:t>
            </m:r>
          </m:sub>
        </m:sSub>
        <m:r>
          <m:rPr>
            <m:sty m:val="p"/>
          </m:rPr>
          <m:t>=</m:t>
        </m:r>
        <m:r>
          <m:t>3</m:t>
        </m:r>
        <m:r>
          <m:rPr>
            <m:sty m:val="p"/>
          </m:rPr>
          <m:t>×</m:t>
        </m:r>
        <m:sSup>
          <m:e>
            <m:r>
              <m:t>10</m:t>
            </m:r>
          </m:e>
          <m:sup>
            <m:r>
              <m:t>16</m:t>
            </m:r>
          </m:sup>
        </m:sSup>
      </m:oMath>
      <w:r>
        <w:t xml:space="preserve"> cm</w:t>
      </w:r>
      <m:oMath>
        <m:sSup>
          <m:e>
            <m:r>
              <m:t>​</m:t>
            </m:r>
          </m:e>
          <m:sup>
            <m:r>
              <m:rPr>
                <m:sty m:val="p"/>
              </m:rPr>
              <m:t>−</m:t>
            </m:r>
            <m:r>
              <m:t>3</m:t>
            </m:r>
          </m:sup>
        </m:sSup>
      </m:oMath>
      <w:r>
        <w:t xml:space="preserve"> </w:t>
      </w:r>
      <w:r>
        <w:t xml:space="preserve">is routinely achievable;</w:t>
      </w:r>
      <w:r>
        <w:t xml:space="preserve"> </w:t>
      </w:r>
      <m:oMath>
        <m:sSub>
          <m:e>
            <m:r>
              <m:t>E</m:t>
            </m:r>
          </m:e>
          <m:sub>
            <m:r>
              <m:t>g</m:t>
            </m:r>
          </m:sub>
        </m:sSub>
        <m:r>
          <m:rPr>
            <m:sty m:val="p"/>
          </m:rPr>
          <m:t>=</m:t>
        </m:r>
        <m:r>
          <m:t>1.65</m:t>
        </m:r>
      </m:oMath>
      <w:r>
        <w:t xml:space="preserve"> eV sits below the</w:t>
      </w:r>
      <w:r>
        <w:t xml:space="preserve"> </w:t>
      </w:r>
      <m:oMath>
        <m:r>
          <m:rPr>
            <m:sty m:val="p"/>
          </m:rPr>
          <m:t>∼</m:t>
        </m:r>
      </m:oMath>
      <w:r>
        <w:t xml:space="preserve">1.7 eV of the experimental records and contributes roughly one point (best 1.694 eV grid point: 22.506%);</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 </w:t>
      </w:r>
      <w:r>
        <w:t xml:space="preserve">demands near-single-crystal quality (</w:t>
      </w:r>
      <m:oMath>
        <m:sSub>
          <m:e>
            <m:r>
              <m:t>τ</m:t>
            </m:r>
          </m:e>
          <m:sub>
            <m:r>
              <m:rPr>
                <m:sty m:val="p"/>
              </m:rPr>
              <m:t>S</m:t>
            </m:r>
            <m:r>
              <m:rPr>
                <m:sty m:val="p"/>
              </m:rPr>
              <m:t>R</m:t>
            </m:r>
            <m:r>
              <m:rPr>
                <m:sty m:val="p"/>
              </m:rPr>
              <m:t>H</m:t>
            </m:r>
          </m:sub>
        </m:sSub>
        <m:r>
          <m:rPr>
            <m:sty m:val="p"/>
          </m:rPr>
          <m:t>≈</m:t>
        </m:r>
        <m:r>
          <m:t>100</m:t>
        </m:r>
      </m:oMath>
      <w:r>
        <w:t xml:space="preserve"> </w:t>
      </w:r>
      <m:oMath>
        <m:r>
          <m:t>μ</m:t>
        </m:r>
      </m:oMath>
      <w:r>
        <w:t xml:space="preserve">s, Table </w:t>
      </w:r>
      <w:hyperlink w:anchor="tab:taus">
        <w:r>
          <w:rPr>
            <w:rStyle w:val="Hyperlink"/>
          </w:rPr>
          <w:t xml:space="preserve">8</w:t>
        </w:r>
      </w:hyperlink>
      <w:r>
        <w:t xml:space="preserve">). The contacts are load-bearing. At the surveyed anchor Ni 5.5 to 5.2 eV costs nothing (23.5041 to 23.5039%, the Ni 5.2 value reproduced digit-identically across two batches) while Ni 5.0 eV costs 0.25 points (23.2571%); on the joint-optimum affinities the same Ni 5.0 eV choice instead collapses the cell to 15.63% (Voc 1.01 V) against 18.83% at Ni 5.2 eV—a back-contact barrier cliff, not a slope, so the back-contact tolerance window collapses as the bands shift with affinity. ITO 4.0 to 4.7 eV collapses the cell to 18.60% (Voc 1.08 V)—SCAPS’s thermionic-only contact boundary, so 4.0 eV is the edge of what this model tolerates rather than a typical ITO value; the routine-defect penalty is larger still, with ITO 4.4 eV costing 0.04 points at surveyed</w:t>
      </w:r>
      <w:r>
        <w:t xml:space="preserve"> </w:t>
      </w:r>
      <m:oMath>
        <m:r>
          <m:t>χ</m:t>
        </m:r>
      </m:oMath>
      <w:r>
        <w:t xml:space="preserve"> </w:t>
      </w:r>
      <w:r>
        <w:t xml:space="preserve">(20.72 to 20.68% on the 0.8 </w:t>
      </w:r>
      <m:oMath>
        <m:r>
          <m:t>μ</m:t>
        </m:r>
      </m:oMath>
      <w:r>
        <w:t xml:space="preserve">m base) but 2.61 points at adopted</w:t>
      </w:r>
      <w:r>
        <w:t xml:space="preserve"> </w:t>
      </w:r>
      <m:oMath>
        <m:r>
          <m:t>χ</m:t>
        </m:r>
      </m:oMath>
      <w:r>
        <w:t xml:space="preserve"> </w:t>
      </w:r>
      <w:r>
        <w:t xml:space="preserve">(20.72 to 18.11% on the same base): the front-contact tolerance window itself shifts with ETL affinity (Table </w:t>
      </w:r>
      <w:hyperlink w:anchor="tab:real">
        <w:r>
          <w:rPr>
            <w:rStyle w:val="Hyperlink"/>
          </w:rPr>
          <w:t xml:space="preserve">11</w:t>
        </w:r>
      </w:hyperlink>
      <w:r>
        <w:t xml:space="preserve">). Both optimum affinities are aggressive (</w:t>
      </w:r>
      <m:oMath>
        <m:sSub>
          <m:e>
            <m:r>
              <m:t>χ</m:t>
            </m:r>
          </m:e>
          <m:sub>
            <m:r>
              <m:rPr>
                <m:sty m:val="p"/>
              </m:rPr>
              <m:t>T</m:t>
            </m:r>
            <m:r>
              <m:rPr>
                <m:sty m:val="p"/>
              </m:rPr>
              <m:t>i</m:t>
            </m:r>
            <m:r>
              <m:rPr>
                <m:sty m:val="p"/>
              </m:rPr>
              <m:t>O</m:t>
            </m:r>
            <m:r>
              <m:rPr>
                <m:sty m:val="p"/>
              </m:rPr>
              <m:t>2</m:t>
            </m:r>
          </m:sub>
        </m:sSub>
        <m:r>
          <m:rPr>
            <m:sty m:val="p"/>
          </m:rPr>
          <m:t>=</m:t>
        </m:r>
        <m:r>
          <m:t>3.7</m:t>
        </m:r>
      </m:oMath>
      <w:r>
        <w:t xml:space="preserve"> </w:t>
      </w:r>
      <w:r>
        <w:t xml:space="preserve">below the typical 4.0–4.2 eV window;</w:t>
      </w:r>
      <w:r>
        <w:t xml:space="preserve"> </w:t>
      </w:r>
      <m:oMath>
        <m:sSub>
          <m:e>
            <m:r>
              <m:t>χ</m:t>
            </m:r>
          </m:e>
          <m:sub>
            <m:r>
              <m:rPr>
                <m:sty m:val="p"/>
              </m:rPr>
              <m:t>C</m:t>
            </m:r>
            <m:r>
              <m:rPr>
                <m:sty m:val="p"/>
              </m:rPr>
              <m:t>B</m:t>
            </m:r>
            <m:r>
              <m:rPr>
                <m:sty m:val="p"/>
              </m:rPr>
              <m:t>T</m:t>
            </m:r>
            <m:r>
              <m:rPr>
                <m:sty m:val="p"/>
              </m:rPr>
              <m:t>S</m:t>
            </m:r>
          </m:sub>
        </m:sSub>
        <m:r>
          <m:rPr>
            <m:sty m:val="p"/>
          </m:rPr>
          <m:t>=</m:t>
        </m:r>
        <m:r>
          <m:t>3.9</m:t>
        </m:r>
      </m:oMath>
      <w:r>
        <w:t xml:space="preserve"> </w:t>
      </w:r>
      <w:r>
        <w:t xml:space="preserve">above the surveyed 3.6 eV) and move efficiency through the interface activation energy rather than transport (Table </w:t>
      </w:r>
      <w:hyperlink w:anchor="tab:chia">
        <w:r>
          <w:rPr>
            <w:rStyle w:val="Hyperlink"/>
          </w:rPr>
          <w:t xml:space="preserve">3</w:t>
        </w:r>
      </w:hyperlink>
      <w:r>
        <w:t xml:space="preserve">). At routine settings the model gives 20.82% (1.0 </w:t>
      </w:r>
      <m:oMath>
        <m:r>
          <m:t>μ</m:t>
        </m:r>
      </m:oMath>
      <w:r>
        <w:t xml:space="preserve">m,</w:t>
      </w:r>
      <w:r>
        <w:t xml:space="preserve"> </w:t>
      </w:r>
      <m:oMath>
        <m:sSub>
          <m:e>
            <m:r>
              <m:t>N</m:t>
            </m:r>
          </m:e>
          <m:sub>
            <m:r>
              <m:t>t</m:t>
            </m:r>
          </m:sub>
        </m:sSub>
        <m:r>
          <m:rPr>
            <m:sty m:val="p"/>
          </m:rPr>
          <m:t>=</m:t>
        </m:r>
        <m:sSup>
          <m:e>
            <m:r>
              <m:t>10</m:t>
            </m:r>
          </m:e>
          <m:sup>
            <m:r>
              <m:t>15</m:t>
            </m:r>
          </m:sup>
        </m:sSup>
      </m:oMath>
      <w:r>
        <w:t xml:space="preserve"> cm</w:t>
      </w:r>
      <m:oMath>
        <m:sSup>
          <m:e>
            <m:r>
              <m:t>​</m:t>
            </m:r>
          </m:e>
          <m:sup>
            <m:r>
              <m:rPr>
                <m:sty m:val="p"/>
              </m:rPr>
              <m:t>−</m:t>
            </m:r>
            <m:r>
              <m:t>3</m:t>
            </m:r>
          </m:sup>
        </m:sSup>
      </m:oMath>
      <w:r>
        <w:t xml:space="preserve">, surveyed</w:t>
      </w:r>
      <w:r>
        <w:t xml:space="preserve"> </w:t>
      </w:r>
      <m:oMath>
        <m:r>
          <m:t>χ</m:t>
        </m:r>
      </m:oMath>
      <w:r>
        <w:t xml:space="preserve">), 20.68% with ITO at 4.4 eV on the 0.8 </w:t>
      </w:r>
      <m:oMath>
        <m:r>
          <m:t>μ</m:t>
        </m:r>
      </m:oMath>
      <w:r>
        <w:t xml:space="preserve">m base, 18.11% when that ITO is combined with the adopted</w:t>
      </w:r>
      <w:r>
        <w:t xml:space="preserve"> </w:t>
      </w:r>
      <m:oMath>
        <m:sSub>
          <m:e>
            <m:r>
              <m:t>χ</m:t>
            </m:r>
          </m:e>
          <m:sub>
            <m:r>
              <m:rPr>
                <m:sty m:val="p"/>
              </m:rPr>
              <m:t>T</m:t>
            </m:r>
            <m:r>
              <m:rPr>
                <m:sty m:val="p"/>
              </m:rPr>
              <m:t>i</m:t>
            </m:r>
            <m:r>
              <m:rPr>
                <m:sty m:val="p"/>
              </m:rPr>
              <m:t>O</m:t>
            </m:r>
            <m:r>
              <m:rPr>
                <m:sty m:val="p"/>
              </m:rPr>
              <m:t>2</m:t>
            </m:r>
          </m:sub>
        </m:sSub>
      </m:oMath>
      <w:r>
        <w:t xml:space="preserve">, and 20.42% with</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r>
        <w:t xml:space="preserve">. Against experiment (Table </w:t>
      </w:r>
      <w:hyperlink w:anchor="tab:loss">
        <w:r>
          <w:rPr>
            <w:rStyle w:val="Hyperlink"/>
          </w:rPr>
          <w:t xml:space="preserve">12</w:t>
        </w:r>
      </w:hyperlink>
      <w:r>
        <w:t xml:space="preserve">): 24.95% exceeds the 22.02% certified record by 2.93 points; the excess over the best measured devices comes mostly from fill factor (</w:t>
      </w:r>
      <m:oMath>
        <m:r>
          <m:rPr>
            <m:sty m:val="p"/>
          </m:rPr>
          <m:t>∼</m:t>
        </m:r>
      </m:oMath>
      <w:r>
        <w:t xml:space="preserve">89% simulated against</w:t>
      </w:r>
      <w:r>
        <w:t xml:space="preserve"> </w:t>
      </w:r>
      <m:oMath>
        <m:r>
          <m:rPr>
            <m:sty m:val="p"/>
          </m:rPr>
          <m:t>∼</m:t>
        </m:r>
      </m:oMath>
      <w:r>
        <w:t xml:space="preserve">83% measured) and the low gap, not from voltage—and we do not attribute that FF excess to any single cause: the model carries no transport-layer bulk recombination and no back reflector, two systematic choices that both bias FF upward by amounts this study does not isolate, while the 0.017-point IV-step uncertainty only sets the significance threshold for any of these comparisons—our Voc deficit (0.33 V against</w:t>
      </w:r>
      <w:r>
        <w:t xml:space="preserve"> </w:t>
      </w:r>
      <m:oMath>
        <m:sSub>
          <m:e>
            <m:r>
              <m:t>E</m:t>
            </m:r>
          </m:e>
          <m:sub>
            <m:r>
              <m:t>g</m:t>
            </m:r>
          </m:sub>
        </m:sSub>
        <m:r>
          <m:rPr>
            <m:sty m:val="p"/>
          </m:rPr>
          <m:t>/</m:t>
        </m:r>
        <m:r>
          <m:t>q</m:t>
        </m:r>
      </m:oMath>
      <w:r>
        <w:t xml:space="preserve">, 0.05 V against the radiative limit) is comparable to the 1.27–1.29 V record devices. With computed</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r>
        <w:t xml:space="preserve"> </w:t>
      </w:r>
      <w:r>
        <w:t xml:space="preserve">(24.52%) the margin is 2.50 points, and at attainable gaps on the joint-optimum base the model gives 24.44% (</w:t>
      </w:r>
      <m:oMath>
        <m:sSub>
          <m:e>
            <m:r>
              <m:t>E</m:t>
            </m:r>
          </m:e>
          <m:sub>
            <m:r>
              <m:t>g</m:t>
            </m:r>
          </m:sub>
        </m:sSub>
        <m:r>
          <m:rPr>
            <m:sty m:val="p"/>
          </m:rPr>
          <m:t>=</m:t>
        </m:r>
        <m:r>
          <m:t>1.68</m:t>
        </m:r>
      </m:oMath>
      <w:r>
        <w:t xml:space="preserve"> eV), 24.73% (</w:t>
      </w:r>
      <m:oMath>
        <m:sSub>
          <m:e>
            <m:r>
              <m:t>E</m:t>
            </m:r>
          </m:e>
          <m:sub>
            <m:r>
              <m:t>g</m:t>
            </m:r>
          </m:sub>
        </m:sSub>
        <m:r>
          <m:rPr>
            <m:sty m:val="p"/>
          </m:rPr>
          <m:t>=</m:t>
        </m:r>
        <m:r>
          <m:t>1.70</m:t>
        </m:r>
      </m:oMath>
      <w:r>
        <w:t xml:space="preserve"> eV) and 24.28% (</w:t>
      </w:r>
      <m:oMath>
        <m:sSub>
          <m:e>
            <m:r>
              <m:t>E</m:t>
            </m:r>
          </m:e>
          <m:sub>
            <m:r>
              <m:t>g</m:t>
            </m:r>
          </m:sub>
        </m:sSub>
        <m:r>
          <m:rPr>
            <m:sty m:val="p"/>
          </m:rPr>
          <m:t>=</m:t>
        </m:r>
        <m:r>
          <m:t>1.72</m:t>
        </m:r>
      </m:oMath>
      <w:r>
        <w:t xml:space="preserve"> eV), with 24.34% at</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r>
        <w:t xml:space="preserve"> </w:t>
      </w:r>
      <w:r>
        <w:t xml:space="preserve">(</w:t>
      </w:r>
      <m:oMath>
        <m:sSub>
          <m:e>
            <m:r>
              <m:t>E</m:t>
            </m:r>
          </m:e>
          <m:sub>
            <m:r>
              <m:t>g</m:t>
            </m:r>
          </m:sub>
        </m:sSub>
        <m:r>
          <m:rPr>
            <m:sty m:val="p"/>
          </m:rPr>
          <m:t>=</m:t>
        </m:r>
        <m:r>
          <m:t>1.70</m:t>
        </m:r>
      </m:oMath>
      <w:r>
        <w:t xml:space="preserve"> eV;</w:t>
      </w:r>
      <w:r>
        <w:t xml:space="preserve"> </w:t>
      </w:r>
      <m:oMath>
        <m:sSub>
          <m:e>
            <m:r>
              <m:t>χ</m:t>
            </m:r>
          </m:e>
          <m:sub>
            <m:r>
              <m:rPr>
                <m:sty m:val="p"/>
              </m:rPr>
              <m:t>C</m:t>
            </m:r>
            <m:r>
              <m:rPr>
                <m:sty m:val="p"/>
              </m:rPr>
              <m:t>B</m:t>
            </m:r>
            <m:r>
              <m:rPr>
                <m:sty m:val="p"/>
              </m:rPr>
              <m:t>T</m:t>
            </m:r>
            <m:r>
              <m:rPr>
                <m:sty m:val="p"/>
              </m:rPr>
              <m:t>S</m:t>
            </m:r>
          </m:sub>
        </m:sSub>
        <m:r>
          <m:rPr>
            <m:sty m:val="p"/>
          </m:rPr>
          <m:t>=</m:t>
        </m:r>
        <m:r>
          <m:t>3.9</m:t>
        </m:r>
      </m:oMath>
      <w:r>
        <w:t xml:space="preserve">/</w:t>
      </w:r>
      <m:oMath>
        <m:sSub>
          <m:e>
            <m:r>
              <m:t>χ</m:t>
            </m:r>
          </m:e>
          <m:sub>
            <m:r>
              <m:rPr>
                <m:sty m:val="p"/>
              </m:rPr>
              <m:t>T</m:t>
            </m:r>
            <m:r>
              <m:rPr>
                <m:sty m:val="p"/>
              </m:rPr>
              <m:t>i</m:t>
            </m:r>
            <m:r>
              <m:rPr>
                <m:sty m:val="p"/>
              </m:rPr>
              <m:t>O</m:t>
            </m:r>
            <m:r>
              <m:rPr>
                <m:sty m:val="p"/>
              </m:rPr>
              <m:t>2</m:t>
            </m:r>
          </m:sub>
        </m:sSub>
        <m:r>
          <m:rPr>
            <m:sty m:val="p"/>
          </m:rPr>
          <m:t>=</m:t>
        </m:r>
        <m:r>
          <m:t>3.7</m:t>
        </m:r>
      </m:oMath>
      <w:r>
        <w:t xml:space="preserve">, ITO 4.0 eV throughout). The non-monotonic 1.68-to-1.70 step (</w:t>
      </w:r>
      <m:oMath>
        <m:r>
          <m:rPr>
            <m:sty m:val="p"/>
          </m:rPr>
          <m:t>+</m:t>
        </m:r>
      </m:oMath>
      <w:r>
        <w:t xml:space="preserve">0.29 points) is the</w:t>
      </w:r>
      <w:r>
        <w:t xml:space="preserve"> </w:t>
      </w:r>
      <m:oMath>
        <m:sSub>
          <m:e>
            <m:r>
              <m:t>E</m:t>
            </m:r>
          </m:e>
          <m:sub>
            <m:r>
              <m:t>a</m:t>
            </m:r>
          </m:sub>
        </m:sSub>
      </m:oMath>
      <w:r>
        <w:t xml:space="preserve"> </w:t>
      </w:r>
      <w:r>
        <w:t xml:space="preserve">confounding of Section 8.0, not an absorption effect. The result sits at about four-fifths of the</w:t>
      </w:r>
      <w:r>
        <w:t xml:space="preserve"> </w:t>
      </w:r>
      <m:oMath>
        <m:r>
          <m:rPr>
            <m:sty m:val="p"/>
          </m:rPr>
          <m:t>∼</m:t>
        </m:r>
      </m:oMath>
      <w:r>
        <w:t xml:space="preserve">30–31% Shockley–Queisser limit at 1.65 eV. A final calibration note: integrating the computed QE against the AM1.5G spectrum gives 22.39 mA/cm</w:t>
      </w:r>
      <m:oMath>
        <m:sSup>
          <m:e>
            <m:r>
              <m:t>​</m:t>
            </m:r>
          </m:e>
          <m:sup>
            <m:r>
              <m:t>2</m:t>
            </m:r>
          </m:sup>
        </m:sSup>
      </m:oMath>
      <w:r>
        <w:t xml:space="preserve"> </w:t>
      </w:r>
      <w:r>
        <w:t xml:space="preserve">against the 21.20 mA/cm</w:t>
      </w:r>
      <m:oMath>
        <m:sSup>
          <m:e>
            <m:r>
              <m:t>​</m:t>
            </m:r>
          </m:e>
          <m:sup>
            <m:r>
              <m:t>2</m:t>
            </m:r>
          </m:sup>
        </m:sSup>
      </m:oMath>
      <w:r>
        <w:t xml:space="preserve"> </w:t>
      </w:r>
      <w:r>
        <w:t xml:space="preserve">IV value—a 1.19 mA/cm</w:t>
      </w:r>
      <m:oMath>
        <m:sSup>
          <m:e>
            <m:r>
              <m:t>​</m:t>
            </m:r>
          </m:e>
          <m:sup>
            <m:r>
              <m:t>2</m:t>
            </m:r>
          </m:sup>
        </m:sSup>
      </m:oMath>
      <w:r>
        <w:t xml:space="preserve"> </w:t>
      </w:r>
      <w:r>
        <w:t xml:space="preserve">gap we report as Jsc uncertainty (headline Jsc uses the conservative IV value) alongside the</w:t>
      </w:r>
      <w:r>
        <w:t xml:space="preserve"> </w:t>
      </w:r>
      <m:oMath>
        <m:r>
          <m:rPr>
            <m:sty m:val="p"/>
          </m:rPr>
          <m:t>∼</m:t>
        </m:r>
      </m:oMath>
      <w:r>
        <w:t xml:space="preserve">1 mA/cm</w:t>
      </w:r>
      <m:oMath>
        <m:sSup>
          <m:e>
            <m:r>
              <m:t>​</m:t>
            </m:r>
          </m:e>
          <m:sup>
            <m:r>
              <m:t>2</m:t>
            </m:r>
          </m:sup>
        </m:sSup>
      </m:oMath>
      <w:r>
        <w:t xml:space="preserve"> </w:t>
      </w:r>
      <w:r>
        <w:t xml:space="preserve">UV envelope.</w:t>
      </w:r>
    </w:p>
    <w:bookmarkStart w:id="75" w:name="tab:loss"/>
    <w:p>
      <w:pPr>
        <w:pStyle w:val="TableCaption"/>
      </w:pPr>
      <w:r>
        <w:t xml:space="preserve">Loss budget: joint optimum against measured record devices and model limits. FF is where the simulation exceeds experiment, not Voc. PCE values are each paper’s headline; the Lei row is a mixed-source triple (its printed FF gives 22.24%, its reported headline 22.16%).</w:t>
      </w:r>
    </w:p>
    <w:tbl>
      <w:tblPr>
        <w:tblStyle w:val="Table"/>
        <w:tblW w:type="auto" w:w="0"/>
        <w:tblLook w:firstRow="1" w:lastRow="0" w:firstColumn="0" w:lastColumn="0" w:noHBand="0" w:noVBand="0" w:val="0020"/>
        <w:tblCaption w:val="Loss budget: joint optimum against measured record devices and model limits. FF is where the simulation exceeds experiment, not Voc. PCE values are each paper’s headline; the Lei row is a mixed-source triple (its printed FF gives 22.24%, its reported headline 22.16%)."/>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left"/>
            </w:pPr>
            <w:r>
              <w:t xml:space="preserve">Voc (V)</w:t>
            </w:r>
          </w:p>
        </w:tc>
        <w:tc>
          <w:tcPr/>
          <w:p>
            <w:pPr>
              <w:pStyle w:val="Compact"/>
              <w:jc w:val="left"/>
            </w:pPr>
            <w:r>
              <w:t xml:space="preserve">Jsc (mA/cm</w:t>
            </w:r>
            <m:oMath>
              <m:sSup>
                <m:e>
                  <m:r>
                    <m:t>​</m:t>
                  </m:r>
                </m:e>
                <m:sup>
                  <m:r>
                    <m:t>2</m:t>
                  </m:r>
                </m:sup>
              </m:sSup>
            </m:oMath>
            <w:r>
              <w:t xml:space="preserve">)</w:t>
            </w:r>
          </w:p>
        </w:tc>
        <w:tc>
          <w:tcPr/>
          <w:p>
            <w:pPr>
              <w:pStyle w:val="Compact"/>
              <w:jc w:val="left"/>
            </w:pPr>
            <w:r>
              <w:t xml:space="preserve">FF (%)</w:t>
            </w:r>
          </w:p>
        </w:tc>
        <w:tc>
          <w:tcPr/>
          <w:p>
            <w:pPr>
              <w:pStyle w:val="Compact"/>
              <w:jc w:val="left"/>
            </w:pPr>
            <w:r>
              <w:t xml:space="preserve">PCE (%)</w:t>
            </w:r>
          </w:p>
        </w:tc>
      </w:tr>
      <w:tr>
        <w:tc>
          <w:tcPr/>
          <w:p>
            <w:pPr>
              <w:pStyle w:val="Compact"/>
              <w:jc w:val="left"/>
            </w:pPr>
            <w:r>
              <w:t xml:space="preserve">This work (joint optimum)</w:t>
            </w:r>
          </w:p>
        </w:tc>
        <w:tc>
          <w:tcPr/>
          <w:p>
            <w:pPr>
              <w:pStyle w:val="Compact"/>
              <w:jc w:val="left"/>
            </w:pPr>
            <w:r>
              <w:t xml:space="preserve">1.321</w:t>
            </w:r>
          </w:p>
        </w:tc>
        <w:tc>
          <w:tcPr/>
          <w:p>
            <w:pPr>
              <w:pStyle w:val="Compact"/>
              <w:jc w:val="left"/>
            </w:pPr>
            <w:r>
              <w:t xml:space="preserve">21.20</w:t>
            </w:r>
          </w:p>
        </w:tc>
        <w:tc>
          <w:tcPr/>
          <w:p>
            <w:pPr>
              <w:pStyle w:val="Compact"/>
              <w:jc w:val="left"/>
            </w:pPr>
            <w:r>
              <w:t xml:space="preserve">89.11</w:t>
            </w:r>
          </w:p>
        </w:tc>
        <w:tc>
          <w:tcPr/>
          <w:p>
            <w:pPr>
              <w:pStyle w:val="Compact"/>
              <w:jc w:val="left"/>
            </w:pPr>
            <w:r>
              <w:t xml:space="preserve">24.95</w:t>
            </w:r>
          </w:p>
        </w:tc>
      </w:tr>
      <w:tr>
        <w:tc>
          <w:tcPr/>
          <w:p>
            <w:pPr>
              <w:pStyle w:val="Compact"/>
              <w:jc w:val="left"/>
            </w:pPr>
            <w:r>
              <w:t xml:space="preserve">AP-modified CsPbI3 </w:t>
            </w:r>
            <w:r>
              <w:t xml:space="preserve">[30]</w:t>
            </w:r>
          </w:p>
        </w:tc>
        <w:tc>
          <w:tcPr/>
          <w:p>
            <w:pPr>
              <w:pStyle w:val="Compact"/>
              <w:jc w:val="left"/>
            </w:pPr>
            <w:r>
              <w:t xml:space="preserve">1.29</w:t>
            </w:r>
          </w:p>
        </w:tc>
        <w:tc>
          <w:tcPr/>
          <w:p>
            <w:pPr>
              <w:pStyle w:val="Compact"/>
              <w:jc w:val="left"/>
            </w:pPr>
            <w:r>
              <w:t xml:space="preserve">20.77</w:t>
            </w:r>
          </w:p>
        </w:tc>
        <w:tc>
          <w:tcPr/>
          <w:p>
            <w:pPr>
              <w:pStyle w:val="Compact"/>
              <w:jc w:val="left"/>
            </w:pPr>
            <w:r>
              <w:t xml:space="preserve">83.01</w:t>
            </w:r>
          </w:p>
        </w:tc>
        <w:tc>
          <w:tcPr/>
          <w:p>
            <w:pPr>
              <w:pStyle w:val="Compact"/>
              <w:jc w:val="left"/>
            </w:pPr>
            <w:r>
              <w:t xml:space="preserve">22.16</w:t>
            </w:r>
          </w:p>
        </w:tc>
      </w:tr>
      <w:tr>
        <w:tc>
          <w:tcPr/>
          <w:p>
            <w:pPr>
              <w:pStyle w:val="Compact"/>
              <w:jc w:val="left"/>
            </w:pPr>
            <w:r>
              <w:t xml:space="preserve">QD-interface CsPbI3 </w:t>
            </w:r>
            <w:r>
              <w:t xml:space="preserve">[31]</w:t>
            </w:r>
          </w:p>
        </w:tc>
        <w:tc>
          <w:tcPr/>
          <w:p>
            <w:pPr>
              <w:pStyle w:val="Compact"/>
              <w:jc w:val="left"/>
            </w:pPr>
            <w:r>
              <w:t xml:space="preserve">1.28</w:t>
            </w:r>
          </w:p>
        </w:tc>
        <w:tc>
          <w:tcPr/>
          <w:p>
            <w:pPr>
              <w:pStyle w:val="Compact"/>
              <w:jc w:val="left"/>
            </w:pPr>
            <w:r>
              <w:t xml:space="preserve">–</w:t>
            </w:r>
          </w:p>
        </w:tc>
        <w:tc>
          <w:tcPr/>
          <w:p>
            <w:pPr>
              <w:pStyle w:val="Compact"/>
              <w:jc w:val="left"/>
            </w:pPr>
            <w:r>
              <w:t xml:space="preserve">–</w:t>
            </w:r>
          </w:p>
        </w:tc>
        <w:tc>
          <w:tcPr/>
          <w:p>
            <w:pPr>
              <w:pStyle w:val="Compact"/>
              <w:jc w:val="left"/>
            </w:pPr>
            <w:r>
              <w:t xml:space="preserve">22.15</w:t>
            </w:r>
          </w:p>
        </w:tc>
      </w:tr>
      <w:tr>
        <w:tc>
          <w:tcPr/>
          <w:p>
            <w:pPr>
              <w:pStyle w:val="Compact"/>
              <w:jc w:val="left"/>
            </w:pPr>
            <w:r>
              <w:t xml:space="preserve">Dual-interface CsPbI3 </w:t>
            </w:r>
            <w:r>
              <w:t xml:space="preserve">[3]</w:t>
            </w:r>
          </w:p>
        </w:tc>
        <w:tc>
          <w:tcPr/>
          <w:p>
            <w:pPr>
              <w:pStyle w:val="Compact"/>
              <w:jc w:val="left"/>
            </w:pPr>
            <w:r>
              <w:t xml:space="preserve">1.27</w:t>
            </w:r>
          </w:p>
        </w:tc>
        <w:tc>
          <w:tcPr/>
          <w:p>
            <w:pPr>
              <w:pStyle w:val="Compact"/>
              <w:jc w:val="left"/>
            </w:pPr>
            <w:r>
              <w:t xml:space="preserve">–</w:t>
            </w:r>
          </w:p>
        </w:tc>
        <w:tc>
          <w:tcPr/>
          <w:p>
            <w:pPr>
              <w:pStyle w:val="Compact"/>
              <w:jc w:val="left"/>
            </w:pPr>
            <w:r>
              <w:t xml:space="preserve">–</w:t>
            </w:r>
          </w:p>
        </w:tc>
        <w:tc>
          <w:tcPr/>
          <w:p>
            <w:pPr>
              <w:pStyle w:val="Compact"/>
              <w:jc w:val="left"/>
            </w:pPr>
            <w:r>
              <w:t xml:space="preserve">21.71</w:t>
            </w:r>
          </w:p>
        </w:tc>
      </w:tr>
      <w:tr>
        <w:tc>
          <w:tcPr/>
          <w:p>
            <w:pPr>
              <w:pStyle w:val="Compact"/>
              <w:jc w:val="left"/>
            </w:pPr>
            <w:r>
              <w:t xml:space="preserve">Carbon HTL-free </w:t>
            </w:r>
            <w:r>
              <w:t xml:space="preserve">[32]</w:t>
            </w:r>
            <w:r>
              <w:t xml:space="preserve"> </w:t>
            </w:r>
            <w:r>
              <w:t xml:space="preserve">(cert. 20.35)</w:t>
            </w:r>
          </w:p>
        </w:tc>
        <w:tc>
          <w:tcPr/>
          <w:p>
            <w:pPr>
              <w:pStyle w:val="Compact"/>
              <w:jc w:val="left"/>
            </w:pPr>
            <w:r>
              <w:t xml:space="preserve">1.202</w:t>
            </w:r>
          </w:p>
        </w:tc>
        <w:tc>
          <w:tcPr/>
          <w:p>
            <w:pPr>
              <w:pStyle w:val="Compact"/>
              <w:jc w:val="left"/>
            </w:pPr>
            <w:r>
              <w:t xml:space="preserve">20.72</w:t>
            </w:r>
          </w:p>
        </w:tc>
        <w:tc>
          <w:tcPr/>
          <w:p>
            <w:pPr>
              <w:pStyle w:val="Compact"/>
              <w:jc w:val="left"/>
            </w:pPr>
            <w:r>
              <w:t xml:space="preserve">83.2</w:t>
            </w:r>
          </w:p>
        </w:tc>
        <w:tc>
          <w:tcPr/>
          <w:p>
            <w:pPr>
              <w:pStyle w:val="Compact"/>
              <w:jc w:val="left"/>
            </w:pPr>
            <w:r>
              <w:t xml:space="preserve">20.72</w:t>
            </w:r>
          </w:p>
        </w:tc>
      </w:tr>
      <w:tr>
        <w:tc>
          <w:tcPr/>
          <w:p>
            <w:pPr>
              <w:pStyle w:val="Compact"/>
              <w:jc w:val="left"/>
            </w:pPr>
            <w:r>
              <w:t xml:space="preserve">Radiative limit (this model)</w:t>
            </w:r>
          </w:p>
        </w:tc>
        <w:tc>
          <w:tcPr/>
          <w:p>
            <w:pPr>
              <w:pStyle w:val="Compact"/>
              <w:jc w:val="left"/>
            </w:pPr>
            <w:r>
              <w:t xml:space="preserve">1.371</w:t>
            </w:r>
          </w:p>
        </w:tc>
        <w:tc>
          <w:tcPr/>
          <w:p>
            <w:pPr>
              <w:pStyle w:val="Compact"/>
              <w:jc w:val="left"/>
            </w:pPr>
            <w:r>
              <w:t xml:space="preserve">39.2 (SQ)</w:t>
            </w:r>
          </w:p>
        </w:tc>
        <w:tc>
          <w:tcPr/>
          <w:p>
            <w:pPr>
              <w:pStyle w:val="Compact"/>
              <w:jc w:val="left"/>
            </w:pPr>
            <w:r>
              <w:t xml:space="preserve">90.5</w:t>
            </w:r>
          </w:p>
        </w:tc>
        <w:tc>
          <w:tcPr/>
          <w:p>
            <w:pPr>
              <w:pStyle w:val="Compact"/>
              <w:jc w:val="left"/>
            </w:pPr>
            <w:r>
              <w:t xml:space="preserve">–</w:t>
            </w:r>
          </w:p>
        </w:tc>
      </w:tr>
    </w:tbl>
    <w:bookmarkEnd w:id="75"/>
    <w:bookmarkEnd w:id="76"/>
    <w:bookmarkStart w:id="77" w:name="limitations-and-outlook"/>
    <w:p>
      <w:pPr>
        <w:pStyle w:val="Heading1"/>
      </w:pPr>
      <w:r>
        <w:t xml:space="preserve">Limitations and outlook</w:t>
      </w:r>
    </w:p>
    <w:p>
      <w:pPr>
        <w:pStyle w:val="FirstParagraph"/>
      </w:pPr>
      <w:r>
        <w:t xml:space="preserve">A laboratory translation would need, simultaneously:</w:t>
      </w:r>
      <w:r>
        <w:t xml:space="preserve"> </w:t>
      </w:r>
      <m:oMath>
        <m:r>
          <m:rPr>
            <m:sty m:val="p"/>
          </m:rPr>
          <m:t>∼</m:t>
        </m:r>
      </m:oMath>
      <w:r>
        <w:t xml:space="preserve">1.0 </w:t>
      </w:r>
      <m:oMath>
        <m:r>
          <m:t>μ</m:t>
        </m:r>
      </m:oMath>
      <w:r>
        <w:t xml:space="preserve">m CsPbI3 films at routine defect levels for the 20.86% case (time-resolved photoluminescence verified), interface passivation toward</w:t>
      </w:r>
      <w:r>
        <w:t xml:space="preserve"> </w:t>
      </w:r>
      <m:oMath>
        <m:sSup>
          <m:e>
            <m:r>
              <m:t>10</m:t>
            </m:r>
          </m:e>
          <m:sup>
            <m:r>
              <m:t>10</m:t>
            </m:r>
          </m:sup>
        </m:sSup>
      </m:oMath>
      <w:r>
        <w:t xml:space="preserve"> cm</w:t>
      </w:r>
      <m:oMath>
        <m:sSup>
          <m:e>
            <m:r>
              <m:t>​</m:t>
            </m:r>
          </m:e>
          <m:sup>
            <m:r>
              <m:rPr>
                <m:sty m:val="p"/>
              </m:rPr>
              <m:t>−</m:t>
            </m:r>
            <m:r>
              <m:t>2</m:t>
            </m:r>
          </m:sup>
        </m:sSup>
      </m:oMath>
      <w:r>
        <w:t xml:space="preserve"> </w:t>
      </w:r>
      <w:r>
        <w:t xml:space="preserve">following the fluorinated-dipole </w:t>
      </w:r>
      <w:r>
        <w:t xml:space="preserve">[2]</w:t>
      </w:r>
      <w:r>
        <w:t xml:space="preserve"> </w:t>
      </w:r>
      <w:r>
        <w:t xml:space="preserve">or dual-interface </w:t>
      </w:r>
      <w:r>
        <w:t xml:space="preserve">[3]</w:t>
      </w:r>
      <w:r>
        <w:t xml:space="preserve"> </w:t>
      </w:r>
      <w:r>
        <w:t xml:space="preserve">chemistries, a front contact near 4.0 eV, and</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r>
        <w:t xml:space="preserve"> </w:t>
      </w:r>
      <w:r>
        <w:t xml:space="preserve">(Table </w:t>
      </w:r>
      <w:hyperlink w:anchor="tab:rs">
        <w:r>
          <w:rPr>
            <w:rStyle w:val="Hyperlink"/>
          </w:rPr>
          <w:t xml:space="preserve">[tab:rs]</w:t>
        </w:r>
      </w:hyperlink>
      <w:r>
        <w:t xml:space="preserve">). Not demonstrated here: 2.2 </w:t>
      </w:r>
      <m:oMath>
        <m:r>
          <m:t>μ</m:t>
        </m:r>
      </m:oMath>
      <w:r>
        <w:t xml:space="preserve">m device-quality CsPbI3 at</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 and sputtered CBTS directly on CsPbI3 (CBTS typically requires high-temperature sulfurisation), for which we found no precedent—so this section is a requirements list, not a recipe. In-line controls, where applicable: QE edge at 752 nm (Figure </w:t>
      </w:r>
      <w:hyperlink w:anchor="fig:qe">
        <w:r>
          <w:rPr>
            <w:rStyle w:val="Hyperlink"/>
          </w:rPr>
          <w:t xml:space="preserve">5</w:t>
        </w:r>
      </w:hyperlink>
      <w:r>
        <w:t xml:space="preserve">) and the</w:t>
      </w:r>
      <w:r>
        <w:t xml:space="preserve"> </w:t>
      </w:r>
      <m:oMath>
        <m:r>
          <m:rPr>
            <m:sty m:val="p"/>
          </m:rPr>
          <m:t>−</m:t>
        </m:r>
        <m:r>
          <m:t>0.16</m:t>
        </m:r>
      </m:oMath>
      <w:r>
        <w:t xml:space="preserve">%/K temperature coefficient (Table </w:t>
      </w:r>
      <w:hyperlink w:anchor="tab:temp">
        <w:r>
          <w:rPr>
            <w:rStyle w:val="Hyperlink"/>
          </w:rPr>
          <w:t xml:space="preserve">6</w:t>
        </w:r>
      </w:hyperlink>
      <w:r>
        <w:t xml:space="preserve">).</w:t>
      </w:r>
    </w:p>
    <w:p>
      <w:pPr>
        <w:pStyle w:val="BodyText"/>
      </w:pPr>
      <w:r>
        <w:t xml:space="preserve">Five boundaries delimit this work. First,</w:t>
      </w:r>
      <w:r>
        <w:t xml:space="preserve"> </w:t>
      </w:r>
      <m:oMath>
        <m:sSub>
          <m:e>
            <m:r>
              <m:t>N</m:t>
            </m:r>
          </m:e>
          <m:sub>
            <m:r>
              <m:t>t</m:t>
            </m:r>
          </m:sub>
        </m:sSub>
        <m:r>
          <m:rPr>
            <m:sty m:val="p"/>
          </m:rPr>
          <m:t>=</m:t>
        </m:r>
        <m:sSup>
          <m:e>
            <m:r>
              <m:t>10</m:t>
            </m:r>
          </m:e>
          <m:sup>
            <m:r>
              <m:t>12</m:t>
            </m:r>
          </m:sup>
        </m:sSup>
      </m:oMath>
      <w:r>
        <w:t xml:space="preserve"> cm</w:t>
      </w:r>
      <m:oMath>
        <m:sSup>
          <m:e>
            <m:r>
              <m:t>​</m:t>
            </m:r>
          </m:e>
          <m:sup>
            <m:r>
              <m:rPr>
                <m:sty m:val="p"/>
              </m:rPr>
              <m:t>−</m:t>
            </m:r>
            <m:r>
              <m:t>3</m:t>
            </m:r>
          </m:sup>
        </m:sSup>
      </m:oMath>
      <w:r>
        <w:t xml:space="preserve"> </w:t>
      </w:r>
      <w:r>
        <w:t xml:space="preserve">at 2.2 </w:t>
      </w:r>
      <m:oMath>
        <m:r>
          <m:t>μ</m:t>
        </m:r>
      </m:oMath>
      <w:r>
        <w:t xml:space="preserve">m demands near-single-crystal films, and with the modelled</w:t>
      </w:r>
      <w:r>
        <w:t xml:space="preserve"> </w:t>
      </w:r>
      <m:oMath>
        <m:r>
          <m:t>σ</m:t>
        </m:r>
        <m:r>
          <m:rPr>
            <m:sty m:val="p"/>
          </m:rPr>
          <m:t>=</m:t>
        </m:r>
        <m:sSup>
          <m:e>
            <m:r>
              <m:t>10</m:t>
            </m:r>
          </m:e>
          <m:sup>
            <m:r>
              <m:rPr>
                <m:sty m:val="p"/>
              </m:rPr>
              <m:t>−</m:t>
            </m:r>
            <m:r>
              <m:t>19</m:t>
            </m:r>
          </m:sup>
        </m:sSup>
      </m:oMath>
      <w:r>
        <w:t xml:space="preserve"> m</w:t>
      </w:r>
      <m:oMath>
        <m:sSup>
          <m:e>
            <m:r>
              <m:t>​</m:t>
            </m:r>
          </m:e>
          <m:sup>
            <m:r>
              <m:t>2</m:t>
            </m:r>
          </m:sup>
        </m:sSup>
      </m:oMath>
      <w:r>
        <w:t xml:space="preserve"> </w:t>
      </w:r>
      <w:r>
        <w:t xml:space="preserve">implies</w:t>
      </w:r>
      <w:r>
        <w:t xml:space="preserve"> </w:t>
      </w:r>
      <m:oMath>
        <m:sSub>
          <m:e>
            <m:r>
              <m:t>τ</m:t>
            </m:r>
          </m:e>
          <m:sub>
            <m:r>
              <m:rPr>
                <m:sty m:val="p"/>
              </m:rPr>
              <m:t>S</m:t>
            </m:r>
            <m:r>
              <m:rPr>
                <m:sty m:val="p"/>
              </m:rPr>
              <m:t>R</m:t>
            </m:r>
            <m:r>
              <m:rPr>
                <m:sty m:val="p"/>
              </m:rPr>
              <m:t>H</m:t>
            </m:r>
          </m:sub>
        </m:sSub>
        <m:r>
          <m:rPr>
            <m:sty m:val="p"/>
          </m:rPr>
          <m:t>≈</m:t>
        </m:r>
        <m:r>
          <m:t>100</m:t>
        </m:r>
      </m:oMath>
      <w:r>
        <w:t xml:space="preserve"> </w:t>
      </w:r>
      <m:oMath>
        <m:r>
          <m:t>μ</m:t>
        </m:r>
      </m:oMath>
      <w:r>
        <w:t xml:space="preserve">s, one to two orders beyond the best reported perovskite films; a reader preferring</w:t>
      </w:r>
      <w:r>
        <w:t xml:space="preserve"> </w:t>
      </w:r>
      <m:oMath>
        <m:r>
          <m:t>σ</m:t>
        </m:r>
        <m:r>
          <m:rPr>
            <m:sty m:val="p"/>
          </m:rPr>
          <m:t>=</m:t>
        </m:r>
        <m:sSup>
          <m:e>
            <m:r>
              <m:t>10</m:t>
            </m:r>
          </m:e>
          <m:sup>
            <m:r>
              <m:rPr>
                <m:sty m:val="p"/>
              </m:rPr>
              <m:t>−</m:t>
            </m:r>
            <m:r>
              <m:t>17</m:t>
            </m:r>
          </m:sup>
        </m:sSup>
      </m:oMath>
      <w:r>
        <w:t xml:space="preserve"> m</w:t>
      </w:r>
      <m:oMath>
        <m:sSup>
          <m:e>
            <m:r>
              <m:t>​</m:t>
            </m:r>
          </m:e>
          <m:sup>
            <m:r>
              <m:t>2</m:t>
            </m:r>
          </m:sup>
        </m:sSup>
      </m:oMath>
      <w:r>
        <w:t xml:space="preserve"> </w:t>
      </w:r>
      <w:r>
        <w:t xml:space="preserve">would get 1 </w:t>
      </w:r>
      <m:oMath>
        <m:r>
          <m:t>μ</m:t>
        </m:r>
      </m:oMath>
      <w:r>
        <w:t xml:space="preserve">s, so the lifetime claim scales as</w:t>
      </w:r>
      <w:r>
        <w:t xml:space="preserve"> </w:t>
      </w:r>
      <m:oMath>
        <m:r>
          <m:t>1</m:t>
        </m:r>
        <m:r>
          <m:rPr>
            <m:sty m:val="p"/>
          </m:rPr>
          <m:t>/</m:t>
        </m:r>
        <m:r>
          <m:t>σ</m:t>
        </m:r>
      </m:oMath>
      <w:r>
        <w:t xml:space="preserve"> </w:t>
      </w:r>
      <w:r>
        <w:t xml:space="preserve">and the defect density, not the lifetime, is what we hold fixed; at routine</w:t>
      </w:r>
      <w:r>
        <w:t xml:space="preserve"> </w:t>
      </w:r>
      <m:oMath>
        <m:sSup>
          <m:e>
            <m:r>
              <m:t>10</m:t>
            </m:r>
          </m:e>
          <m:sup>
            <m:r>
              <m:t>15</m:t>
            </m:r>
          </m:sup>
        </m:sSup>
      </m:oMath>
      <w:r>
        <w:t xml:space="preserve"> cm</w:t>
      </w:r>
      <m:oMath>
        <m:sSup>
          <m:e>
            <m:r>
              <m:t>​</m:t>
            </m:r>
          </m:e>
          <m:sup>
            <m:r>
              <m:rPr>
                <m:sty m:val="p"/>
              </m:rPr>
              <m:t>−</m:t>
            </m:r>
            <m:r>
              <m:t>3</m:t>
            </m:r>
          </m:sup>
        </m:sSup>
      </m:oMath>
      <w:r>
        <w:t xml:space="preserve"> </w:t>
      </w:r>
      <w:r>
        <w:t xml:space="preserve">a dedicated sweep peaks at 20.82% (1.0 </w:t>
      </w:r>
      <m:oMath>
        <m:r>
          <m:t>μ</m:t>
        </m:r>
      </m:oMath>
      <w:r>
        <w:t xml:space="preserve">m), 20.68% with ITO at 4.4 eV on the 0.8 </w:t>
      </w:r>
      <m:oMath>
        <m:r>
          <m:t>μ</m:t>
        </m:r>
      </m:oMath>
      <w:r>
        <w:t xml:space="preserve">m base, 18.11% when that ITO meets the adopted</w:t>
      </w:r>
      <w:r>
        <w:t xml:space="preserve"> </w:t>
      </w:r>
      <m:oMath>
        <m:sSub>
          <m:e>
            <m:r>
              <m:t>χ</m:t>
            </m:r>
          </m:e>
          <m:sub>
            <m:r>
              <m:rPr>
                <m:sty m:val="p"/>
              </m:rPr>
              <m:t>T</m:t>
            </m:r>
            <m:r>
              <m:rPr>
                <m:sty m:val="p"/>
              </m:rPr>
              <m:t>i</m:t>
            </m:r>
            <m:r>
              <m:rPr>
                <m:sty m:val="p"/>
              </m:rPr>
              <m:t>O</m:t>
            </m:r>
            <m:r>
              <m:rPr>
                <m:sty m:val="p"/>
              </m:rPr>
              <m:t>2</m:t>
            </m:r>
          </m:sub>
        </m:sSub>
      </m:oMath>
      <w:r>
        <w:t xml:space="preserve">, and 20.42% with</w:t>
      </w:r>
      <w:r>
        <w:t xml:space="preserve"> </w:t>
      </w:r>
      <m:oMath>
        <m:sSub>
          <m:e>
            <m:r>
              <m:t>R</m:t>
            </m:r>
          </m:e>
          <m:sub>
            <m:r>
              <m:t>s</m:t>
            </m:r>
          </m:sub>
        </m:sSub>
        <m:r>
          <m:rPr>
            <m:sty m:val="p"/>
          </m:rPr>
          <m:t>=</m:t>
        </m:r>
        <m:r>
          <m:t>1</m:t>
        </m:r>
        <m:r>
          <m:t> </m:t>
        </m:r>
        <m:r>
          <m:rPr>
            <m:sty m:val="p"/>
          </m:rPr>
          <m:t>Ω</m:t>
        </m:r>
      </m:oMath>
      <w:r>
        <w:t xml:space="preserve">cm</w:t>
      </w:r>
      <m:oMath>
        <m:sSup>
          <m:e>
            <m:r>
              <m:t>​</m:t>
            </m:r>
          </m:e>
          <m:sup>
            <m:r>
              <m:t>2</m:t>
            </m:r>
          </m:sup>
        </m:sSup>
      </m:oMath>
      <w:r>
        <w:t xml:space="preserve">. Second, the contacts (Ni 5.5 eV, ITO 4.0 eV), the joint-optimum affinities (</w:t>
      </w:r>
      <m:oMath>
        <m:sSub>
          <m:e>
            <m:r>
              <m:t>χ</m:t>
            </m:r>
          </m:e>
          <m:sub>
            <m:r>
              <m:rPr>
                <m:sty m:val="p"/>
              </m:rPr>
              <m:t>C</m:t>
            </m:r>
            <m:r>
              <m:rPr>
                <m:sty m:val="p"/>
              </m:rPr>
              <m:t>B</m:t>
            </m:r>
            <m:r>
              <m:rPr>
                <m:sty m:val="p"/>
              </m:rPr>
              <m:t>T</m:t>
            </m:r>
            <m:r>
              <m:rPr>
                <m:sty m:val="p"/>
              </m:rPr>
              <m:t>S</m:t>
            </m:r>
          </m:sub>
        </m:sSub>
        <m:r>
          <m:rPr>
            <m:sty m:val="p"/>
          </m:rPr>
          <m:t>=</m:t>
        </m:r>
        <m:r>
          <m:t>3.9</m:t>
        </m:r>
      </m:oMath>
      <w:r>
        <w:t xml:space="preserve">/</w:t>
      </w:r>
      <m:oMath>
        <m:sSub>
          <m:e>
            <m:r>
              <m:t>χ</m:t>
            </m:r>
          </m:e>
          <m:sub>
            <m:r>
              <m:rPr>
                <m:sty m:val="p"/>
              </m:rPr>
              <m:t>T</m:t>
            </m:r>
            <m:r>
              <m:rPr>
                <m:sty m:val="p"/>
              </m:rPr>
              <m:t>i</m:t>
            </m:r>
            <m:r>
              <m:rPr>
                <m:sty m:val="p"/>
              </m:rPr>
              <m:t>O</m:t>
            </m:r>
            <m:r>
              <m:rPr>
                <m:sty m:val="p"/>
              </m:rPr>
              <m:t>2</m:t>
            </m:r>
          </m:sub>
        </m:sSub>
        <m:r>
          <m:rPr>
            <m:sty m:val="p"/>
          </m:rPr>
          <m:t>=</m:t>
        </m:r>
        <m:r>
          <m:t>3.7</m:t>
        </m:r>
      </m:oMath>
      <w:r>
        <w:t xml:space="preserve"> eV, both outside surveyed/typical ranges), and the barrier-side hole offset (+0.22 eV) are permissive-edge stated-box choices, each priced in Section 9.0. Third, phase stability of black CsPbI3 against the yellow</w:t>
      </w:r>
      <w:r>
        <w:t xml:space="preserve"> </w:t>
      </w:r>
      <m:oMath>
        <m:r>
          <m:t>δ</m:t>
        </m:r>
      </m:oMath>
      <w:r>
        <w:t xml:space="preserve">-phase, ion migration,</w:t>
      </w:r>
      <w:r>
        <w:t xml:space="preserve"> </w:t>
      </w:r>
      <m:oMath>
        <m:sSub>
          <m:e>
            <m:r>
              <m:t>E</m:t>
            </m:r>
          </m:e>
          <m:sub>
            <m:r>
              <m:t>g</m:t>
            </m:r>
          </m:sub>
        </m:sSub>
        <m:r>
          <m:rPr>
            <m:sty m:val="p"/>
          </m:rPr>
          <m:t>(</m:t>
        </m:r>
        <m:r>
          <m:t>T</m:t>
        </m:r>
        <m:r>
          <m:rPr>
            <m:sty m:val="p"/>
          </m:rPr>
          <m:t>)</m:t>
        </m:r>
      </m:oMath>
      <w:r>
        <w:t xml:space="preserve">, and damp-heat degradation are outside SCAPS-1D steady-state scope and must be validated experimentally, following the passivation routes of </w:t>
      </w:r>
      <w:r>
        <w:t xml:space="preserve">[1], [2], [3]</w:t>
      </w:r>
      <w:r>
        <w:t xml:space="preserve">. Fourth, the grid is a screen plus a 104-configuration optimiser, not a proven global optimum: the best point sits at the corner of the allowed box, the exploratory search peaks 1.87 points below it among guardrail-satisfying runs, and the leading cluster is numerically inseparable. Fifth, the single-junction ceiling (</w:t>
      </w:r>
      <m:oMath>
        <m:r>
          <m:rPr>
            <m:sty m:val="p"/>
          </m:rPr>
          <m:t>∼</m:t>
        </m:r>
      </m:oMath>
      <w:r>
        <w:t xml:space="preserve">30% at 1.65 eV </w:t>
      </w:r>
      <w:r>
        <w:t xml:space="preserve">[25]</w:t>
      </w:r>
      <w:r>
        <w:t xml:space="preserve">) caps how far any interface-inclusive screening can go.</w:t>
      </w:r>
    </w:p>
    <w:bookmarkEnd w:id="77"/>
    <w:bookmarkStart w:id="79" w:name="conclusion"/>
    <w:p>
      <w:pPr>
        <w:pStyle w:val="Heading1"/>
      </w:pPr>
      <w:r>
        <w:t xml:space="preserve">Conclusion</w:t>
      </w:r>
    </w:p>
    <w:p>
      <w:pPr>
        <w:pStyle w:val="FirstParagraph"/>
      </w:pPr>
      <w:r>
        <w:t xml:space="preserve">Grid screening under interface-inclusive guardrails finds a 24.95%-efficient best point in the stated CsPbI3/CBTS box and 20.82% at routine defect levels, with every load-bearing assumption priced by computed sweep: single-crystal-grade defects, a low gap, a work-function-tuned front contact, and joint affinity optimisation at aggressive values. An exploratory search over a wider box found nothing higher, though by construction it does not bracket the champion. The same campaign prices the routine-defect thickness optimum, shows the interface dose–response to be regime-dependent (leading at the defect floor by a paired 2.03 points, nearly flat at routine defects), replaces an analytic resistance derate with scripted parasitic sweeps, checks the doping by Mott–Schottky self-consistency, and bounds the result by a model-derived radiative Voc that leaves the no-interface band without margin. Table </w:t>
      </w:r>
      <w:hyperlink w:anchor="tab:checklist">
        <w:r>
          <w:rPr>
            <w:rStyle w:val="Hyperlink"/>
          </w:rPr>
          <w:t xml:space="preserve">13</w:t>
        </w:r>
      </w:hyperlink>
      <w:r>
        <w:t xml:space="preserve"> </w:t>
      </w:r>
      <w:r>
        <w:t xml:space="preserve">states the reporting standard as a concrete checklist. We recommend guardrailed reporting (interface status</w:t>
      </w:r>
      <w:r>
        <w:t xml:space="preserve"> </w:t>
      </w:r>
      <w:r>
        <w:rPr>
          <w:i/>
          <w:iCs/>
        </w:rPr>
        <w:t xml:space="preserve">with</w:t>
      </w:r>
      <w:r>
        <w:t xml:space="preserve"> </w:t>
      </w:r>
      <w:r>
        <w:t xml:space="preserve">dose level and defect level, defect floors</w:t>
      </w:r>
      <w:r>
        <w:t xml:space="preserve"> </w:t>
      </w:r>
      <w:r>
        <w:rPr>
          <w:i/>
          <w:iCs/>
        </w:rPr>
        <w:t xml:space="preserve">with</w:t>
      </w:r>
      <w:r>
        <w:t xml:space="preserve"> </w:t>
      </w:r>
      <w:r>
        <w:t xml:space="preserve">cross-sections, unit-system declaration, Rs basis, contact work functions, affinity choices) as a publication standard for SCAPS studies.</w:t>
      </w:r>
    </w:p>
    <w:bookmarkStart w:id="78" w:name="tab:checklist"/>
    <w:p>
      <w:pPr>
        <w:pStyle w:val="TableCaption"/>
      </w:pPr>
      <w:r>
        <w:t xml:space="preserve">Guardrailed-reporting checklist: the minimum disclosure for a comparable SCAPS claim.</w:t>
      </w:r>
    </w:p>
    <w:tbl>
      <w:tblPr>
        <w:tblStyle w:val="Table"/>
        <w:tblW w:type="auto" w:w="0"/>
        <w:tblLook w:firstRow="1" w:lastRow="0" w:firstColumn="0" w:lastColumn="0" w:noHBand="0" w:noVBand="0" w:val="0020"/>
        <w:tblCaption w:val="Guardrailed-reporting checklist: the minimum disclosure for a comparable SCAPS claim."/>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Disclose</w:t>
            </w:r>
          </w:p>
        </w:tc>
        <w:tc>
          <w:tcPr/>
          <w:p>
            <w:pPr>
              <w:pStyle w:val="Compact"/>
              <w:jc w:val="left"/>
            </w:pPr>
            <w:r>
              <w:t xml:space="preserve">This work</w:t>
            </w:r>
          </w:p>
        </w:tc>
      </w:tr>
      <w:tr>
        <w:tc>
          <w:tcPr/>
          <w:p>
            <w:pPr>
              <w:pStyle w:val="Compact"/>
              <w:jc w:val="left"/>
            </w:pPr>
            <w:r>
              <w:t xml:space="preserve">Interfaces</w:t>
            </w:r>
          </w:p>
        </w:tc>
        <w:tc>
          <w:tcPr/>
          <w:p>
            <w:pPr>
              <w:pStyle w:val="Compact"/>
              <w:jc w:val="left"/>
            </w:pPr>
            <w:r>
              <w:t xml:space="preserve">status +</w:t>
            </w:r>
            <w:r>
              <w:t xml:space="preserve"> </w:t>
            </w:r>
            <m:oMath>
              <m:sSub>
                <m:e>
                  <m:r>
                    <m:t>N</m:t>
                  </m:r>
                </m:e>
                <m:sub>
                  <m:r>
                    <m:t>i</m:t>
                  </m:r>
                  <m:r>
                    <m:t>f</m:t>
                  </m:r>
                </m:sub>
              </m:sSub>
            </m:oMath>
            <w:r>
              <w:t xml:space="preserve"> </w:t>
            </w:r>
            <w:r>
              <w:t xml:space="preserve">+</w:t>
            </w:r>
            <w:r>
              <w:t xml:space="preserve"> </w:t>
            </w:r>
            <m:oMath>
              <m:r>
                <m:t>σ</m:t>
              </m:r>
            </m:oMath>
            <w:r>
              <w:t xml:space="preserve"> </w:t>
            </w:r>
            <w:r>
              <w:t xml:space="preserve">(or</w:t>
            </w:r>
            <w:r>
              <w:t xml:space="preserve"> </w:t>
            </w:r>
            <m:oMath>
              <m:r>
                <m:t>S</m:t>
              </m:r>
            </m:oMath>
            <w:r>
              <w:t xml:space="preserve">)</w:t>
            </w:r>
          </w:p>
        </w:tc>
        <w:tc>
          <w:tcPr/>
          <w:p>
            <w:pPr>
              <w:pStyle w:val="Compact"/>
              <w:jc w:val="left"/>
            </w:pPr>
            <m:oMath>
              <m:sSup>
                <m:e>
                  <m:r>
                    <m:t>10</m:t>
                  </m:r>
                </m:e>
                <m:sup>
                  <m:r>
                    <m:t>10</m:t>
                  </m:r>
                </m:sup>
              </m:sSup>
            </m:oMath>
            <w:r>
              <w:t xml:space="preserve"> cm</w:t>
            </w:r>
            <m:oMath>
              <m:sSup>
                <m:e>
                  <m:r>
                    <m:t>​</m:t>
                  </m:r>
                </m:e>
                <m:sup>
                  <m:r>
                    <m:rPr>
                      <m:sty m:val="p"/>
                    </m:rPr>
                    <m:t>−</m:t>
                  </m:r>
                  <m:r>
                    <m:t>2</m:t>
                  </m:r>
                </m:sup>
              </m:sSup>
            </m:oMath>
            <w:r>
              <w:t xml:space="preserve">,</w:t>
            </w:r>
            <w:r>
              <w:t xml:space="preserve"> </w:t>
            </w:r>
            <m:oMath>
              <m:sSup>
                <m:e>
                  <m:r>
                    <m:t>10</m:t>
                  </m:r>
                </m:e>
                <m:sup>
                  <m:r>
                    <m:rPr>
                      <m:sty m:val="p"/>
                    </m:rPr>
                    <m:t>−</m:t>
                  </m:r>
                  <m:r>
                    <m:t>19</m:t>
                  </m:r>
                </m:sup>
              </m:sSup>
            </m:oMath>
            <w:r>
              <w:t xml:space="preserve"> m</w:t>
            </w:r>
            <m:oMath>
              <m:sSup>
                <m:e>
                  <m:r>
                    <m:t>​</m:t>
                  </m:r>
                </m:e>
                <m:sup>
                  <m:r>
                    <m:t>2</m:t>
                  </m:r>
                </m:sup>
              </m:sSup>
            </m:oMath>
            <w:r>
              <w:t xml:space="preserve"> </w:t>
            </w:r>
            <w:r>
              <w:t xml:space="preserve">(</w:t>
            </w:r>
            <m:oMath>
              <m:r>
                <m:t>S</m:t>
              </m:r>
              <m:r>
                <m:rPr>
                  <m:sty m:val="p"/>
                </m:rPr>
                <m:t>=</m:t>
              </m:r>
              <m:r>
                <m:t>100</m:t>
              </m:r>
            </m:oMath>
            <w:r>
              <w:t xml:space="preserve"> cm/s)</w:t>
            </w:r>
          </w:p>
        </w:tc>
      </w:tr>
      <w:tr>
        <w:tc>
          <w:tcPr/>
          <w:p>
            <w:pPr>
              <w:pStyle w:val="Compact"/>
              <w:jc w:val="left"/>
            </w:pPr>
            <w:r>
              <w:t xml:space="preserve">Bulk defects</w:t>
            </w:r>
          </w:p>
        </w:tc>
        <w:tc>
          <w:tcPr/>
          <w:p>
            <w:pPr>
              <w:pStyle w:val="Compact"/>
              <w:jc w:val="left"/>
            </w:pPr>
            <m:oMath>
              <m:sSub>
                <m:e>
                  <m:r>
                    <m:t>N</m:t>
                  </m:r>
                </m:e>
                <m:sub>
                  <m:r>
                    <m:t>t</m:t>
                  </m:r>
                </m:sub>
              </m:sSub>
            </m:oMath>
            <w:r>
              <w:t xml:space="preserve"> </w:t>
            </w:r>
            <w:r>
              <w:t xml:space="preserve">+</w:t>
            </w:r>
            <w:r>
              <w:t xml:space="preserve"> </w:t>
            </w:r>
            <m:oMath>
              <m:r>
                <m:t>σ</m:t>
              </m:r>
            </m:oMath>
            <w:r>
              <w:t xml:space="preserve"> </w:t>
            </w:r>
            <w:r>
              <w:t xml:space="preserve">(or</w:t>
            </w:r>
            <w:r>
              <w:t xml:space="preserve"> </w:t>
            </w:r>
            <m:oMath>
              <m:r>
                <m:t>τ</m:t>
              </m:r>
            </m:oMath>
            <w:r>
              <w:t xml:space="preserve">)</w:t>
            </w:r>
          </w:p>
        </w:tc>
        <w:tc>
          <w:tcPr/>
          <w:p>
            <w:pPr>
              <w:pStyle w:val="Compact"/>
              <w:jc w:val="left"/>
            </w:pPr>
            <m:oMath>
              <m:sSup>
                <m:e>
                  <m:r>
                    <m:t>10</m:t>
                  </m:r>
                </m:e>
                <m:sup>
                  <m:r>
                    <m:t>12</m:t>
                  </m:r>
                </m:sup>
              </m:sSup>
            </m:oMath>
            <w:r>
              <w:t xml:space="preserve"> cm</w:t>
            </w:r>
            <m:oMath>
              <m:sSup>
                <m:e>
                  <m:r>
                    <m:t>​</m:t>
                  </m:r>
                </m:e>
                <m:sup>
                  <m:r>
                    <m:rPr>
                      <m:sty m:val="p"/>
                    </m:rPr>
                    <m:t>−</m:t>
                  </m:r>
                  <m:r>
                    <m:t>3</m:t>
                  </m:r>
                </m:sup>
              </m:sSup>
            </m:oMath>
            <w:r>
              <w:t xml:space="preserve"> </w:t>
            </w:r>
            <w:r>
              <w:t xml:space="preserve">(100 </w:t>
            </w:r>
            <m:oMath>
              <m:r>
                <m:t>μ</m:t>
              </m:r>
            </m:oMath>
            <w:r>
              <w:t xml:space="preserve">s); routine</w:t>
            </w:r>
            <w:r>
              <w:t xml:space="preserve"> </w:t>
            </w:r>
            <m:oMath>
              <m:sSup>
                <m:e>
                  <m:r>
                    <m:t>10</m:t>
                  </m:r>
                </m:e>
                <m:sup>
                  <m:r>
                    <m:t>15</m:t>
                  </m:r>
                </m:sup>
              </m:sSup>
            </m:oMath>
          </w:p>
        </w:tc>
      </w:tr>
      <w:tr>
        <w:tc>
          <w:tcPr/>
          <w:p>
            <w:pPr>
              <w:pStyle w:val="Compact"/>
              <w:jc w:val="left"/>
            </w:pPr>
            <w:r>
              <w:t xml:space="preserve">Units</w:t>
            </w:r>
          </w:p>
        </w:tc>
        <w:tc>
          <w:tcPr/>
          <w:p>
            <w:pPr>
              <w:pStyle w:val="Compact"/>
              <w:jc w:val="left"/>
            </w:pPr>
            <w:r>
              <w:t xml:space="preserve">script vs definition-file systems</w:t>
            </w:r>
          </w:p>
        </w:tc>
        <w:tc>
          <w:tcPr/>
          <w:p>
            <w:pPr>
              <w:pStyle w:val="Compact"/>
              <w:jc w:val="left"/>
            </w:pPr>
            <w:r>
              <w:t xml:space="preserve">Appendix A (two traps documented)</w:t>
            </w:r>
          </w:p>
        </w:tc>
      </w:tr>
      <w:tr>
        <w:tc>
          <w:tcPr/>
          <w:p>
            <w:pPr>
              <w:pStyle w:val="Compact"/>
              <w:jc w:val="left"/>
            </w:pPr>
            <w:r>
              <w:t xml:space="preserve">Parasitics</w:t>
            </w:r>
          </w:p>
        </w:tc>
        <w:tc>
          <w:tcPr/>
          <w:p>
            <w:pPr>
              <w:pStyle w:val="Compact"/>
              <w:jc w:val="left"/>
            </w:pPr>
            <m:oMath>
              <m:sSub>
                <m:e>
                  <m:r>
                    <m:t>R</m:t>
                  </m:r>
                </m:e>
                <m:sub>
                  <m:r>
                    <m:t>s</m:t>
                  </m:r>
                </m:sub>
              </m:sSub>
            </m:oMath>
            <w:r>
              <w:t xml:space="preserve">/</w:t>
            </w:r>
            <m:oMath>
              <m:sSub>
                <m:e>
                  <m:r>
                    <m:t>R</m:t>
                  </m:r>
                </m:e>
                <m:sub>
                  <m:r>
                    <m:t>s</m:t>
                  </m:r>
                  <m:r>
                    <m:t>h</m:t>
                  </m:r>
                </m:sub>
              </m:sSub>
            </m:oMath>
            <w:r>
              <w:t xml:space="preserve"> </w:t>
            </w:r>
            <w:r>
              <w:t xml:space="preserve">basis, computed vs analytic</w:t>
            </w:r>
          </w:p>
        </w:tc>
        <w:tc>
          <w:tcPr/>
          <w:p>
            <w:pPr>
              <w:pStyle w:val="Compact"/>
              <w:jc w:val="left"/>
            </w:pPr>
            <w:r>
              <w:t xml:space="preserve">scripted; routine case included</w:t>
            </w:r>
          </w:p>
        </w:tc>
      </w:tr>
      <w:tr>
        <w:tc>
          <w:tcPr/>
          <w:p>
            <w:pPr>
              <w:pStyle w:val="Compact"/>
              <w:jc w:val="left"/>
            </w:pPr>
            <w:r>
              <w:t xml:space="preserve">Contacts</w:t>
            </w:r>
          </w:p>
        </w:tc>
        <w:tc>
          <w:tcPr/>
          <w:p>
            <w:pPr>
              <w:pStyle w:val="Compact"/>
              <w:jc w:val="left"/>
            </w:pPr>
            <w:r>
              <w:t xml:space="preserve">both work functions</w:t>
            </w:r>
          </w:p>
        </w:tc>
        <w:tc>
          <w:tcPr/>
          <w:p>
            <w:pPr>
              <w:pStyle w:val="Compact"/>
              <w:jc w:val="left"/>
            </w:pPr>
            <w:r>
              <w:t xml:space="preserve">Ni 5.5 / ITO 4.0 eV, priced</w:t>
            </w:r>
          </w:p>
        </w:tc>
      </w:tr>
      <w:tr>
        <w:tc>
          <w:tcPr/>
          <w:p>
            <w:pPr>
              <w:pStyle w:val="Compact"/>
              <w:jc w:val="left"/>
            </w:pPr>
            <w:r>
              <w:t xml:space="preserve">Affinities</w:t>
            </w:r>
          </w:p>
        </w:tc>
        <w:tc>
          <w:tcPr/>
          <w:p>
            <w:pPr>
              <w:pStyle w:val="Compact"/>
              <w:jc w:val="left"/>
            </w:pPr>
            <w:r>
              <w:t xml:space="preserve">surveyed vs adopted</w:t>
            </w:r>
            <w:r>
              <w:t xml:space="preserve"> </w:t>
            </w:r>
            <m:oMath>
              <m:r>
                <m:t>χ</m:t>
              </m:r>
            </m:oMath>
          </w:p>
        </w:tc>
        <w:tc>
          <w:tcPr/>
          <w:p>
            <w:pPr>
              <w:pStyle w:val="Compact"/>
              <w:jc w:val="left"/>
            </w:pPr>
            <w:r>
              <w:t xml:space="preserve">joint optimum, priced</w:t>
            </w:r>
          </w:p>
        </w:tc>
      </w:tr>
      <w:tr>
        <w:tc>
          <w:tcPr/>
          <w:p>
            <w:pPr>
              <w:pStyle w:val="Compact"/>
              <w:jc w:val="left"/>
            </w:pPr>
            <w:r>
              <w:t xml:space="preserve">Radiative screen</w:t>
            </w:r>
          </w:p>
        </w:tc>
        <w:tc>
          <w:tcPr/>
          <w:p>
            <w:pPr>
              <w:pStyle w:val="Compact"/>
              <w:jc w:val="left"/>
            </w:pPr>
            <w:r>
              <w:t xml:space="preserve">model-derived Voc limit</w:t>
            </w:r>
          </w:p>
        </w:tc>
        <w:tc>
          <w:tcPr/>
          <w:p>
            <w:pPr>
              <w:pStyle w:val="Compact"/>
              <w:jc w:val="left"/>
            </w:pPr>
            <w:r>
              <w:t xml:space="preserve">1.371 V at 1.65 eV</w:t>
            </w:r>
          </w:p>
        </w:tc>
      </w:tr>
      <w:tr>
        <w:tc>
          <w:tcPr/>
          <w:p>
            <w:pPr>
              <w:pStyle w:val="Compact"/>
              <w:jc w:val="left"/>
            </w:pPr>
            <w:r>
              <w:t xml:space="preserve">Receipts</w:t>
            </w:r>
          </w:p>
        </w:tc>
        <w:tc>
          <w:tcPr/>
          <w:p>
            <w:pPr>
              <w:pStyle w:val="Compact"/>
              <w:jc w:val="left"/>
            </w:pPr>
            <w:r>
              <w:t xml:space="preserve">definition files + raw outputs</w:t>
            </w:r>
          </w:p>
        </w:tc>
        <w:tc>
          <w:tcPr/>
          <w:p>
            <w:pPr>
              <w:pStyle w:val="Compact"/>
              <w:jc w:val="left"/>
            </w:pPr>
            <w:r>
              <w:t xml:space="preserve">public repository</w:t>
            </w:r>
          </w:p>
        </w:tc>
      </w:tr>
    </w:tbl>
    <w:bookmarkEnd w:id="78"/>
    <w:bookmarkEnd w:id="79"/>
    <w:bookmarkStart w:id="81" w:name="data-availability"/>
    <w:p>
      <w:pPr>
        <w:pStyle w:val="Heading1"/>
      </w:pPr>
      <w:r>
        <w:t xml:space="preserve">Data availability</w:t>
      </w:r>
    </w:p>
    <w:p>
      <w:pPr>
        <w:pStyle w:val="FirstParagraph"/>
      </w:pPr>
      <w:r>
        <w:t xml:space="preserve">Every artefact named in this paper is archived in the public repository</w:t>
      </w:r>
      <w:r>
        <w:t xml:space="preserve"> </w:t>
      </w:r>
      <w:hyperlink r:id="rId80">
        <w:r>
          <w:rPr>
            <w:rStyle w:val="Hyperlink"/>
          </w:rPr>
          <w:t xml:space="preserve">https://github.com/touhidsiddiqueeraj-bit/cspbi3-cbts-guardrailed</w:t>
        </w:r>
      </w:hyperlink>
      <w:r>
        <w:t xml:space="preserve">.</w:t>
      </w:r>
      <w:r>
        <w:t xml:space="preserve"> </w:t>
      </w:r>
      <w:r>
        <w:t xml:space="preserve">Definition files (</w:t>
      </w:r>
      <w:r>
        <w:rPr>
          <w:rStyle w:val="VerbatimChar"/>
        </w:rPr>
        <w:t xml:space="preserve">defs/</w:t>
      </w:r>
      <w:r>
        <w:t xml:space="preserve">) carry the base cell with interfaces, the</w:t>
      </w:r>
      <w:r>
        <w:t xml:space="preserve"> </w:t>
      </w:r>
      <w:r>
        <w:t xml:space="preserve">no-interface variant, and the work-function and cross-section variants;</w:t>
      </w:r>
      <w:r>
        <w:t xml:space="preserve"> </w:t>
      </w:r>
      <w:r>
        <w:rPr>
          <w:rStyle w:val="VerbatimChar"/>
        </w:rPr>
        <w:t xml:space="preserve">outputs/</w:t>
      </w:r>
      <w:r>
        <w:t xml:space="preserve"> </w:t>
      </w:r>
      <w:r>
        <w:t xml:space="preserve">holds every sweep receipt and raw curve, including the</w:t>
      </w:r>
      <w:r>
        <w:t xml:space="preserve"> </w:t>
      </w:r>
      <w:r>
        <w:t xml:space="preserve">per-run logs;</w:t>
      </w:r>
      <w:r>
        <w:t xml:space="preserve"> </w:t>
      </w:r>
      <w:r>
        <w:rPr>
          <w:rStyle w:val="VerbatimChar"/>
        </w:rPr>
        <w:t xml:space="preserve">scripts/</w:t>
      </w:r>
      <w:r>
        <w:t xml:space="preserve"> </w:t>
      </w:r>
      <w:r>
        <w:t xml:space="preserve">regenerates each receipt from the archived</w:t>
      </w:r>
      <w:r>
        <w:t xml:space="preserve"> </w:t>
      </w:r>
      <w:r>
        <w:t xml:space="preserve">definitions;</w:t>
      </w:r>
      <w:r>
        <w:t xml:space="preserve"> </w:t>
      </w:r>
      <w:r>
        <w:rPr>
          <w:rStyle w:val="VerbatimChar"/>
        </w:rPr>
        <w:t xml:space="preserve">receipts/</w:t>
      </w:r>
      <w:r>
        <w:t xml:space="preserve"> </w:t>
      </w:r>
      <w:r>
        <w:t xml:space="preserve">and</w:t>
      </w:r>
      <w:r>
        <w:t xml:space="preserve"> </w:t>
      </w:r>
      <w:r>
        <w:rPr>
          <w:rStyle w:val="VerbatimChar"/>
        </w:rPr>
        <w:t xml:space="preserve">manuscript/</w:t>
      </w:r>
      <w:r>
        <w:t xml:space="preserve"> </w:t>
      </w:r>
      <w:r>
        <w:t xml:space="preserve">hold the</w:t>
      </w:r>
      <w:r>
        <w:t xml:space="preserve"> </w:t>
      </w:r>
      <w:r>
        <w:t xml:space="preserve">verification receipts and the typeset source. Table </w:t>
      </w:r>
      <w:hyperlink w:anchor="tab:runs">
        <w:r>
          <w:rPr>
            <w:rStyle w:val="Hyperlink"/>
          </w:rPr>
          <w:t xml:space="preserve">14</w:t>
        </w:r>
      </w:hyperlink>
      <w:r>
        <w:t xml:space="preserve"> </w:t>
      </w:r>
      <w:r>
        <w:t xml:space="preserve">is the</w:t>
      </w:r>
      <w:r>
        <w:t xml:space="preserve"> </w:t>
      </w:r>
      <w:r>
        <w:t xml:space="preserve">itemised inventory. Reference PDFs under</w:t>
      </w:r>
      <w:r>
        <w:t xml:space="preserve"> </w:t>
      </w:r>
      <w:r>
        <w:rPr>
          <w:rStyle w:val="VerbatimChar"/>
        </w:rPr>
        <w:t xml:space="preserve">sources/</w:t>
      </w:r>
      <w:r>
        <w:t xml:space="preserve"> </w:t>
      </w:r>
      <w:r>
        <w:t xml:space="preserve">are copyrighted</w:t>
      </w:r>
      <w:r>
        <w:t xml:space="preserve"> </w:t>
      </w:r>
      <w:r>
        <w:t xml:space="preserve">and listed in REFERENCES.md instead.</w:t>
      </w:r>
    </w:p>
    <w:bookmarkEnd w:id="81"/>
    <w:bookmarkStart w:id="82" w:name="author-contributions"/>
    <w:p>
      <w:pPr>
        <w:pStyle w:val="Heading1"/>
      </w:pPr>
      <w:r>
        <w:t xml:space="preserve">Author contributions</w:t>
      </w:r>
    </w:p>
    <w:p>
      <w:pPr>
        <w:pStyle w:val="FirstParagraph"/>
      </w:pPr>
      <w:r>
        <w:t xml:space="preserve">The authors designed the screening study, built the SCAPS definition files, executed the simulation campaign, performed the audit and sensitivity analyses, and wrote the manuscript.</w:t>
      </w:r>
    </w:p>
    <w:bookmarkEnd w:id="82"/>
    <w:bookmarkStart w:id="83" w:name="acknowledgements"/>
    <w:p>
      <w:pPr>
        <w:pStyle w:val="Heading1"/>
      </w:pPr>
      <w:r>
        <w:t xml:space="preserve">Acknowledgements</w:t>
      </w:r>
    </w:p>
    <w:p>
      <w:pPr>
        <w:pStyle w:val="FirstParagraph"/>
      </w:pPr>
      <w:r>
        <w:t xml:space="preserve">The SCAPS-1D program was kindly provided by Prof. M. Burgelman of the University of Gent. Simulation time was provided by local workstation hardware (four parallel workers).</w:t>
      </w:r>
    </w:p>
    <w:bookmarkEnd w:id="83"/>
    <w:bookmarkStart w:id="84" w:name="X81e9544b7ea05d22b9eb9ef7858b0c6dcfc0f8f"/>
    <w:p>
      <w:pPr>
        <w:pStyle w:val="Heading1"/>
      </w:pPr>
      <w:r>
        <w:t xml:space="preserve">Appendix A: two scripting traps and a verification rule</w:t>
      </w:r>
    </w:p>
    <w:p>
      <w:pPr>
        <w:pStyle w:val="FirstParagraph"/>
      </w:pPr>
      <w:r>
        <w:rPr>
          <w:i/>
          <w:iCs/>
        </w:rPr>
        <w:t xml:space="preserve">Unit trap.</w:t>
      </w:r>
      <w:r>
        <w:t xml:space="preserve"> </w:t>
      </w:r>
      <w:r>
        <w:t xml:space="preserve">SCAPS definition files store SI units (metres, m</w:t>
      </w:r>
      <m:oMath>
        <m:sSup>
          <m:e>
            <m:r>
              <m:t>​</m:t>
            </m:r>
          </m:e>
          <m:sup>
            <m:r>
              <m:rPr>
                <m:sty m:val="p"/>
              </m:rPr>
              <m:t>−</m:t>
            </m:r>
            <m:r>
              <m:t>3</m:t>
            </m:r>
          </m:sup>
        </m:sSup>
      </m:oMath>
      <w:r>
        <w:t xml:space="preserve">, m</w:t>
      </w:r>
      <m:oMath>
        <m:sSup>
          <m:e>
            <m:r>
              <m:t>​</m:t>
            </m:r>
          </m:e>
          <m:sup>
            <m:r>
              <m:t>2</m:t>
            </m:r>
          </m:sup>
        </m:sSup>
      </m:oMath>
      <w:r>
        <w:t xml:space="preserve">/Vs) but script</w:t>
      </w:r>
      <w:r>
        <w:t xml:space="preserve"> </w:t>
      </w:r>
      <w:r>
        <w:rPr>
          <w:rStyle w:val="VerbatimChar"/>
        </w:rPr>
        <w:t xml:space="preserve">set</w:t>
      </w:r>
      <w:r>
        <w:t xml:space="preserve"> </w:t>
      </w:r>
      <w:r>
        <w:t xml:space="preserve">commands expect practical units (</w:t>
      </w:r>
      <m:oMath>
        <m:r>
          <m:t>μ</m:t>
        </m:r>
      </m:oMath>
      <w:r>
        <w:t xml:space="preserve">m, cm</w:t>
      </w:r>
      <m:oMath>
        <m:sSup>
          <m:e>
            <m:r>
              <m:t>​</m:t>
            </m:r>
          </m:e>
          <m:sup>
            <m:r>
              <m:rPr>
                <m:sty m:val="p"/>
              </m:rPr>
              <m:t>−</m:t>
            </m:r>
            <m:r>
              <m:t>3</m:t>
            </m:r>
          </m:sup>
        </m:sSup>
      </m:oMath>
      <w:r>
        <w:t xml:space="preserve">, cm</w:t>
      </w:r>
      <m:oMath>
        <m:sSup>
          <m:e>
            <m:r>
              <m:t>​</m:t>
            </m:r>
          </m:e>
          <m:sup>
            <m:r>
              <m:t>2</m:t>
            </m:r>
          </m:sup>
        </m:sSup>
      </m:oMath>
      <w:r>
        <w:t xml:space="preserve">/Vs)—verified by dose–response:</w:t>
      </w:r>
      <w:r>
        <w:t xml:space="preserve"> </w:t>
      </w:r>
      <w:r>
        <w:rPr>
          <w:rStyle w:val="VerbatimChar"/>
        </w:rPr>
        <w:t xml:space="preserve">set layer2.NA 1e15</w:t>
      </w:r>
      <w:r>
        <w:t xml:space="preserve"> </w:t>
      </w:r>
      <w:r>
        <w:t xml:space="preserve">reproduces the file baseline (stored</w:t>
      </w:r>
      <w:r>
        <w:t xml:space="preserve"> </w:t>
      </w:r>
      <m:oMath>
        <m:sSup>
          <m:e>
            <m:r>
              <m:t>10</m:t>
            </m:r>
          </m:e>
          <m:sup>
            <m:r>
              <m:t>21</m:t>
            </m:r>
          </m:sup>
        </m:sSup>
      </m:oMath>
      <w:r>
        <w:t xml:space="preserve"> m</w:t>
      </w:r>
      <m:oMath>
        <m:sSup>
          <m:e>
            <m:r>
              <m:t>​</m:t>
            </m:r>
          </m:e>
          <m:sup>
            <m:r>
              <m:rPr>
                <m:sty m:val="p"/>
              </m:rPr>
              <m:t>−</m:t>
            </m:r>
            <m:r>
              <m:t>3</m:t>
            </m:r>
          </m:sup>
        </m:sSup>
      </m:oMath>
      <w:r>
        <w:t xml:space="preserve">) exactly, while SI-valued inputs (e.g.</w:t>
      </w:r>
      <w:r>
        <w:t xml:space="preserve"> </w:t>
      </w:r>
      <m:oMath>
        <m:sSup>
          <m:e>
            <m:r>
              <m:t>10</m:t>
            </m:r>
          </m:e>
          <m:sup>
            <m:r>
              <m:t>22</m:t>
            </m:r>
          </m:sup>
        </m:sSup>
      </m:oMath>
      <w:r>
        <w:t xml:space="preserve">) inject a</w:t>
      </w:r>
      <w:r>
        <w:t xml:space="preserve"> </w:t>
      </w:r>
      <m:oMath>
        <m:sSup>
          <m:e>
            <m:r>
              <m:t>10</m:t>
            </m:r>
          </m:e>
          <m:sup>
            <m:r>
              <m:t>6</m:t>
            </m:r>
          </m:sup>
        </m:sSup>
        <m:r>
          <m:rPr>
            <m:sty m:val="p"/>
          </m:rPr>
          <m:t>×</m:t>
        </m:r>
      </m:oMath>
      <w:r>
        <w:t xml:space="preserve"> </w:t>
      </w:r>
      <w:r>
        <w:t xml:space="preserve">overdose and yield degenerate ghost cells (Voc 1.47–1.53 V, FF 91–92%, up to 27%). Practical flags that catch them: Voc above the</w:t>
      </w:r>
      <w:r>
        <w:t xml:space="preserve"> </w:t>
      </w:r>
      <m:oMath>
        <m:sSub>
          <m:e>
            <m:r>
              <m:t>E</m:t>
            </m:r>
          </m:e>
          <m:sub>
            <m:r>
              <m:t>g</m:t>
            </m:r>
          </m:sub>
        </m:sSub>
      </m:oMath>
      <w:r>
        <w:t xml:space="preserve">-implied ceiling for the modelled gap, or FF above Green’s ideal-diode value at the computed Voc.</w:t>
      </w:r>
    </w:p>
    <w:p>
      <w:pPr>
        <w:pStyle w:val="BodyText"/>
      </w:pPr>
      <w:r>
        <w:rPr>
          <w:i/>
          <w:iCs/>
        </w:rPr>
        <w:t xml:space="preserve">Structural trap.</w:t>
      </w:r>
      <w:r>
        <w:t xml:space="preserve"> </w:t>
      </w:r>
      <w:r>
        <w:rPr>
          <w:rStyle w:val="VerbatimChar"/>
        </w:rPr>
        <w:t xml:space="preserve">set interface&lt;n&gt;.IFdefect&lt;k&gt;.capture_cross_section</w:t>
      </w:r>
      <w:r>
        <w:t xml:space="preserve"> </w:t>
      </w:r>
      <w:r>
        <w:t xml:space="preserve">does not adjust</w:t>
      </w:r>
      <w:r>
        <w:t xml:space="preserve"> </w:t>
      </w:r>
      <m:oMath>
        <m:r>
          <m:t>σ</m:t>
        </m:r>
      </m:oMath>
      <w:r>
        <w:t xml:space="preserve"> </w:t>
      </w:r>
      <w:r>
        <w:t xml:space="preserve">in place; it appears to restructure the interface defect block, and in our hands it neutralised the addressed interfaces entirely (one interface: 23.8565%; both interfaces: 25.1494%, essentially the no-interface value). The definition-file route (rewriting</w:t>
      </w:r>
      <w:r>
        <w:t xml:space="preserve"> </w:t>
      </w:r>
      <w:r>
        <w:rPr>
          <w:rStyle w:val="VerbatimChar"/>
        </w:rPr>
        <w:t xml:space="preserve">sigma_nleft/…/pright</w:t>
      </w:r>
      <w:r>
        <w:t xml:space="preserve">) reproduced the</w:t>
      </w:r>
      <w:r>
        <w:t xml:space="preserve"> </w:t>
      </w:r>
      <m:oMath>
        <m:r>
          <m:t>N</m:t>
        </m:r>
        <m:r>
          <m:rPr>
            <m:sty m:val="p"/>
          </m:rPr>
          <m:t>×</m:t>
        </m:r>
        <m:r>
          <m:t>10</m:t>
        </m:r>
      </m:oMath>
      <w:r>
        <w:t xml:space="preserve"> </w:t>
      </w:r>
      <w:r>
        <w:t xml:space="preserve">result to four decimals, which the set-key route could not.</w:t>
      </w:r>
    </w:p>
    <w:p>
      <w:pPr>
        <w:pStyle w:val="BodyText"/>
      </w:pPr>
      <w:r>
        <w:rPr>
          <w:i/>
          <w:iCs/>
        </w:rPr>
        <w:t xml:space="preserve">Rule.</w:t>
      </w:r>
      <w:r>
        <w:t xml:space="preserve"> </w:t>
      </w:r>
      <w:r>
        <w:t xml:space="preserve">For any parameter that changes a defect population, verify the applied value with a</w:t>
      </w:r>
      <w:r>
        <w:t xml:space="preserve"> </w:t>
      </w:r>
      <w:r>
        <w:rPr>
          <w:rStyle w:val="VerbatimChar"/>
        </w:rPr>
        <w:t xml:space="preserve">get</w:t>
      </w:r>
      <w:r>
        <w:t xml:space="preserve"> </w:t>
      </w:r>
      <w:r>
        <w:t xml:space="preserve">of the same field in the same script and record the returned number in the run receipt; treat a result that moves efficiency in the wrong direction as a failed application, not a physical finding.</w:t>
      </w:r>
    </w:p>
    <w:bookmarkEnd w:id="84"/>
    <w:bookmarkStart w:id="124" w:name="appendix-b-run-inventory"/>
    <w:p>
      <w:pPr>
        <w:pStyle w:val="Heading1"/>
      </w:pPr>
      <w:r>
        <w:t xml:space="preserve">Appendix B: run inventory</w:t>
      </w:r>
    </w:p>
    <w:p>
      <w:pPr>
        <w:pStyle w:val="FirstParagraph"/>
      </w:pPr>
      <w:r>
        <w:t xml:space="preserve">All simulation batches are inventoried in Table </w:t>
      </w:r>
      <w:hyperlink w:anchor="tab:runs">
        <w:r>
          <w:rPr>
            <w:rStyle w:val="Hyperlink"/>
          </w:rPr>
          <w:t xml:space="preserve">14</w:t>
        </w:r>
      </w:hyperlink>
      <w:r>
        <w:t xml:space="preserve">.</w:t>
      </w:r>
    </w:p>
    <w:p>
      <w:pPr>
        <w:pStyle w:val="BodyText"/>
      </w:pPr>
      <w:bookmarkStart w:id="85" w:name="tab:runs"/>
      <w:bookmarkEnd w:id="85"/>
    </w:p>
    <w:bookmarkStart w:id="86" w:name="tab:runs"/>
    <w:p>
      <w:pPr>
        <w:pStyle w:val="TableCaption"/>
      </w:pPr>
      <w:r>
        <w:t xml:space="preserve">Simulation batches archived in the repository (run counts; solo reruns noted where they occurred).</w:t>
      </w:r>
    </w:p>
    <w:tbl>
      <w:tblPr>
        <w:tblStyle w:val="Table"/>
        <w:tblW w:type="pct" w:w="4550"/>
        <w:tblLayout w:type="fixed"/>
        <w:tblLook w:firstRow="1" w:lastRow="0" w:firstColumn="0" w:lastColumn="0" w:noHBand="0" w:noVBand="0" w:val="0020"/>
        <w:tblCaption w:val="Simulation batches archived in the repository (run counts; solo reruns noted where they occurred)."/>
      </w:tblPr>
      <w:tblGrid>
        <w:gridCol w:w="2138"/>
        <w:gridCol w:w="2138"/>
        <w:gridCol w:w="2930"/>
      </w:tblGrid>
      <w:tr>
        <w:trPr>
          <w:tblHeader w:val="on"/>
        </w:trPr>
        <w:tc>
          <w:tcPr/>
          <w:p>
            <w:pPr>
              <w:pStyle w:val="Compact"/>
              <w:jc w:val="left"/>
            </w:pPr>
            <w:r>
              <w:t xml:space="preserve">Batch</w:t>
            </w:r>
          </w:p>
        </w:tc>
        <w:tc>
          <w:tcPr/>
          <w:p>
            <w:pPr>
              <w:pStyle w:val="Compact"/>
              <w:jc w:val="left"/>
            </w:pPr>
            <w:r>
              <w:t xml:space="preserve">Configurations</w:t>
            </w:r>
          </w:p>
        </w:tc>
        <w:tc>
          <w:tcPr/>
          <w:p>
            <w:pPr>
              <w:pStyle w:val="Compact"/>
              <w:jc w:val="left"/>
            </w:pPr>
            <w:r>
              <w:t xml:space="preserve">Receipt</w:t>
            </w:r>
          </w:p>
        </w:tc>
      </w:tr>
      <w:tr>
        <w:tc>
          <w:tcPr/>
          <w:p>
            <w:pPr>
              <w:pStyle w:val="Compact"/>
              <w:jc w:val="left"/>
            </w:pPr>
            <w:r>
              <w:t xml:space="preserve">Baseline validation</w:t>
            </w:r>
          </w:p>
        </w:tc>
        <w:tc>
          <w:tcPr/>
          <w:p>
            <w:pPr>
              <w:pStyle w:val="Compact"/>
              <w:jc w:val="left"/>
            </w:pPr>
            <w:r>
              <w:t xml:space="preserve">4 (one worker-crash retry)</w:t>
            </w:r>
          </w:p>
        </w:tc>
        <w:tc>
          <w:tcPr/>
          <w:p>
            <w:pPr>
              <w:pStyle w:val="Compact"/>
              <w:jc w:val="left"/>
            </w:pPr>
            <w:r>
              <w:rPr>
                <w:rStyle w:val="VerbatimChar"/>
              </w:rPr>
              <w:t xml:space="preserve">baseline_results.json</w:t>
            </w:r>
          </w:p>
        </w:tc>
      </w:tr>
      <w:tr>
        <w:tc>
          <w:tcPr/>
          <w:p>
            <w:pPr>
              <w:pStyle w:val="Compact"/>
              <w:jc w:val="left"/>
            </w:pPr>
            <w:r>
              <w:t xml:space="preserve">Unit diagnostics</w:t>
            </w:r>
          </w:p>
        </w:tc>
        <w:tc>
          <w:tcPr/>
          <w:p>
            <w:pPr>
              <w:pStyle w:val="Compact"/>
              <w:jc w:val="left"/>
            </w:pPr>
            <w:r>
              <w:t xml:space="preserve">6 + 4 retries</w:t>
            </w:r>
          </w:p>
        </w:tc>
        <w:tc>
          <w:tcPr/>
          <w:p>
            <w:pPr>
              <w:pStyle w:val="Compact"/>
              <w:jc w:val="left"/>
            </w:pPr>
            <w:r>
              <w:rPr>
                <w:rStyle w:val="VerbatimChar"/>
              </w:rPr>
              <w:t xml:space="preserve">diag_units.json</w:t>
            </w:r>
          </w:p>
        </w:tc>
      </w:tr>
      <w:tr>
        <w:tc>
          <w:tcPr/>
          <w:p>
            <w:pPr>
              <w:pStyle w:val="Compact"/>
              <w:jc w:val="left"/>
            </w:pPr>
            <w:r>
              <w:t xml:space="preserve">Round A grid</w:t>
            </w:r>
          </w:p>
        </w:tc>
        <w:tc>
          <w:tcPr/>
          <w:p>
            <w:pPr>
              <w:pStyle w:val="Compact"/>
              <w:jc w:val="left"/>
            </w:pPr>
            <w:r>
              <w:t xml:space="preserve">96 (3 worker-crash misses)</w:t>
            </w:r>
          </w:p>
        </w:tc>
        <w:tc>
          <w:tcPr/>
          <w:p>
            <w:pPr>
              <w:pStyle w:val="Compact"/>
              <w:jc w:val="left"/>
            </w:pPr>
            <w:r>
              <w:rPr>
                <w:rStyle w:val="VerbatimChar"/>
              </w:rPr>
              <w:t xml:space="preserve">roundA.jsonl</w:t>
            </w:r>
          </w:p>
        </w:tc>
      </w:tr>
      <w:tr>
        <w:tc>
          <w:tcPr/>
          <w:p>
            <w:pPr>
              <w:pStyle w:val="Compact"/>
              <w:jc w:val="left"/>
            </w:pPr>
            <w:r>
              <w:t xml:space="preserve">Round B refine</w:t>
            </w:r>
          </w:p>
        </w:tc>
        <w:tc>
          <w:tcPr/>
          <w:p>
            <w:pPr>
              <w:pStyle w:val="Compact"/>
              <w:jc w:val="left"/>
            </w:pPr>
            <w:r>
              <w:t xml:space="preserve">36 (3 worker-crash misses)</w:t>
            </w:r>
          </w:p>
        </w:tc>
        <w:tc>
          <w:tcPr/>
          <w:p>
            <w:pPr>
              <w:pStyle w:val="Compact"/>
              <w:jc w:val="left"/>
            </w:pPr>
            <w:r>
              <w:rPr>
                <w:rStyle w:val="VerbatimChar"/>
              </w:rPr>
              <w:t xml:space="preserve">roundB.jsonl</w:t>
            </w:r>
          </w:p>
        </w:tc>
      </w:tr>
      <w:tr>
        <w:tc>
          <w:tcPr/>
          <w:p>
            <w:pPr>
              <w:pStyle w:val="Compact"/>
              <w:jc w:val="left"/>
            </w:pPr>
            <w:r>
              <w:t xml:space="preserve">Characterisation + audit + T</w:t>
            </w:r>
          </w:p>
        </w:tc>
        <w:tc>
          <w:tcPr/>
          <w:p>
            <w:pPr>
              <w:pStyle w:val="Compact"/>
              <w:jc w:val="left"/>
            </w:pPr>
            <w:r>
              <w:t xml:space="preserve">17 + 6 re-runs</w:t>
            </w:r>
          </w:p>
        </w:tc>
        <w:tc>
          <w:tcPr/>
          <w:p>
            <w:pPr>
              <w:pStyle w:val="Compact"/>
              <w:jc w:val="left"/>
            </w:pPr>
            <w:r>
              <w:t xml:space="preserve">char.jsonl</w:t>
            </w:r>
          </w:p>
        </w:tc>
      </w:tr>
      <w:tr>
        <w:tc>
          <w:tcPr/>
          <w:p>
            <w:pPr>
              <w:pStyle w:val="Compact"/>
              <w:jc w:val="left"/>
            </w:pPr>
            <w:r>
              <w:t xml:space="preserve">Set-command verification</w:t>
            </w:r>
          </w:p>
        </w:tc>
        <w:tc>
          <w:tcPr/>
          <w:p>
            <w:pPr>
              <w:pStyle w:val="Compact"/>
              <w:jc w:val="left"/>
            </w:pPr>
            <w:r>
              <w:t xml:space="preserve">5</w:t>
            </w:r>
          </w:p>
        </w:tc>
        <w:tc>
          <w:tcPr/>
          <w:p>
            <w:pPr>
              <w:pStyle w:val="Compact"/>
              <w:jc w:val="left"/>
            </w:pPr>
            <w:r>
              <w:rPr>
                <w:rStyle w:val="VerbatimChar"/>
              </w:rPr>
              <w:t xml:space="preserve">s0_verify.json</w:t>
            </w:r>
          </w:p>
        </w:tc>
      </w:tr>
      <w:tr>
        <w:tc>
          <w:tcPr/>
          <w:p>
            <w:pPr>
              <w:pStyle w:val="Compact"/>
              <w:jc w:val="left"/>
            </w:pPr>
            <w:r>
              <w:t xml:space="preserve">Interface dose + Rs/Rsh + WF</w:t>
            </w:r>
          </w:p>
        </w:tc>
        <w:tc>
          <w:tcPr/>
          <w:p>
            <w:pPr>
              <w:pStyle w:val="Compact"/>
              <w:jc w:val="left"/>
            </w:pPr>
            <w:r>
              <w:t xml:space="preserve">14</w:t>
            </w:r>
          </w:p>
        </w:tc>
        <w:tc>
          <w:tcPr/>
          <w:p>
            <w:pPr>
              <w:pStyle w:val="Compact"/>
              <w:jc w:val="left"/>
            </w:pPr>
            <w:r>
              <w:rPr>
                <w:rStyle w:val="VerbatimChar"/>
              </w:rPr>
              <w:t xml:space="preserve">s1_dose.json</w:t>
            </w:r>
          </w:p>
        </w:tc>
      </w:tr>
      <w:tr>
        <w:tc>
          <w:tcPr/>
          <w:p>
            <w:pPr>
              <w:pStyle w:val="Compact"/>
              <w:jc w:val="left"/>
            </w:pPr>
            <m:oMath>
              <m:sSub>
                <m:e>
                  <m:r>
                    <m:t>N</m:t>
                  </m:r>
                </m:e>
                <m:sub>
                  <m:r>
                    <m:t>t</m:t>
                  </m:r>
                </m:sub>
              </m:sSub>
              <m:r>
                <m:rPr>
                  <m:sty m:val="p"/>
                </m:rPr>
                <m:t>×</m:t>
              </m:r>
              <m:r>
                <m:t>σ</m:t>
              </m:r>
            </m:oMath>
            <w:r>
              <w:t xml:space="preserve"> </w:t>
            </w:r>
            <w:r>
              <w:t xml:space="preserve">joint</w:t>
            </w:r>
          </w:p>
        </w:tc>
        <w:tc>
          <w:tcPr/>
          <w:p>
            <w:pPr>
              <w:pStyle w:val="Compact"/>
              <w:jc w:val="left"/>
            </w:pPr>
            <w:r>
              <w:t xml:space="preserve">3</w:t>
            </w:r>
          </w:p>
        </w:tc>
        <w:tc>
          <w:tcPr/>
          <w:p>
            <w:pPr>
              <w:pStyle w:val="Compact"/>
              <w:jc w:val="left"/>
            </w:pPr>
            <w:r>
              <w:rPr>
                <w:rStyle w:val="VerbatimChar"/>
              </w:rPr>
              <w:t xml:space="preserve">s4_sig.json</w:t>
            </w:r>
            <w:r>
              <w:t xml:space="preserve"> </w:t>
            </w:r>
            <w:r>
              <w:t xml:space="preserve">+</w:t>
            </w:r>
            <w:r>
              <w:t xml:space="preserve"> </w:t>
            </w:r>
            <w:r>
              <w:rPr>
                <w:rStyle w:val="VerbatimChar"/>
              </w:rPr>
              <w:t xml:space="preserve">s4b_sig.json</w:t>
            </w:r>
          </w:p>
        </w:tc>
      </w:tr>
      <w:tr>
        <w:tc>
          <w:tcPr/>
          <w:p>
            <w:pPr>
              <w:pStyle w:val="Compact"/>
              <w:jc w:val="left"/>
            </w:pPr>
            <w:r>
              <w:t xml:space="preserve">Morris screen</w:t>
            </w:r>
          </w:p>
        </w:tc>
        <w:tc>
          <w:tcPr/>
          <w:p>
            <w:pPr>
              <w:pStyle w:val="Compact"/>
              <w:jc w:val="left"/>
            </w:pPr>
            <w:r>
              <w:t xml:space="preserve">56 (0 errors)</w:t>
            </w:r>
          </w:p>
        </w:tc>
        <w:tc>
          <w:tcPr/>
          <w:p>
            <w:pPr>
              <w:pStyle w:val="Compact"/>
              <w:jc w:val="left"/>
            </w:pPr>
            <w:r>
              <w:rPr>
                <w:rStyle w:val="VerbatimChar"/>
              </w:rPr>
              <w:t xml:space="preserve">s5_morris.jsonl</w:t>
            </w:r>
          </w:p>
        </w:tc>
      </w:tr>
      <w:tr>
        <w:tc>
          <w:tcPr/>
          <w:p>
            <w:pPr>
              <w:pStyle w:val="Compact"/>
              <w:jc w:val="left"/>
            </w:pPr>
            <m:oMath>
              <m:r>
                <m:t>σ</m:t>
              </m:r>
            </m:oMath>
            <w:r>
              <w:t xml:space="preserve"> </w:t>
            </w:r>
            <w:r>
              <w:t xml:space="preserve">verify +</w:t>
            </w:r>
            <w:r>
              <w:t xml:space="preserve"> </w:t>
            </w:r>
            <m:oMath>
              <m:sSub>
                <m:e>
                  <m:r>
                    <m:t>χ</m:t>
                  </m:r>
                </m:e>
                <m:sub>
                  <m:r>
                    <m:rPr>
                      <m:sty m:val="p"/>
                    </m:rPr>
                    <m:t>C</m:t>
                  </m:r>
                  <m:r>
                    <m:rPr>
                      <m:sty m:val="p"/>
                    </m:rPr>
                    <m:t>B</m:t>
                  </m:r>
                  <m:r>
                    <m:rPr>
                      <m:sty m:val="p"/>
                    </m:rPr>
                    <m:t>T</m:t>
                  </m:r>
                  <m:r>
                    <m:rPr>
                      <m:sty m:val="p"/>
                    </m:rPr>
                    <m:t>S</m:t>
                  </m:r>
                </m:sub>
              </m:sSub>
            </m:oMath>
            <w:r>
              <w:t xml:space="preserve"> </w:t>
            </w:r>
            <w:r>
              <w:t xml:space="preserve">+ Nt1e15 grid + realistic + noIF-JV</w:t>
            </w:r>
          </w:p>
        </w:tc>
        <w:tc>
          <w:tcPr/>
          <w:p>
            <w:pPr>
              <w:pStyle w:val="Compact"/>
              <w:jc w:val="left"/>
            </w:pPr>
            <w:r>
              <w:t xml:space="preserve">16 (1 worker retry)</w:t>
            </w:r>
          </w:p>
        </w:tc>
        <w:tc>
          <w:tcPr/>
          <w:p>
            <w:pPr>
              <w:pStyle w:val="Compact"/>
              <w:jc w:val="left"/>
            </w:pPr>
            <w:r>
              <w:rPr>
                <w:rStyle w:val="VerbatimChar"/>
              </w:rPr>
              <w:t xml:space="preserve">s6_rev2.json</w:t>
            </w:r>
            <w:r>
              <w:t xml:space="preserve"> </w:t>
            </w:r>
            <w:r>
              <w:t xml:space="preserve">+</w:t>
            </w:r>
            <w:r>
              <w:t xml:space="preserve"> </w:t>
            </w:r>
            <w:r>
              <w:rPr>
                <w:rStyle w:val="VerbatimChar"/>
              </w:rPr>
              <w:t xml:space="preserve">noIF_JV.json</w:t>
            </w:r>
          </w:p>
        </w:tc>
      </w:tr>
      <w:tr>
        <w:tc>
          <w:tcPr/>
          <w:p>
            <w:pPr>
              <w:pStyle w:val="Compact"/>
              <w:jc w:val="left"/>
            </w:pPr>
            <w:r>
              <w:t xml:space="preserve">Affinity adoption (</w:t>
            </w:r>
            <m:oMath>
              <m:sSub>
                <m:e>
                  <m:r>
                    <m:t>χ</m:t>
                  </m:r>
                </m:e>
                <m:sub>
                  <m:r>
                    <m:rPr>
                      <m:sty m:val="p"/>
                    </m:rPr>
                    <m:t>T</m:t>
                  </m:r>
                  <m:r>
                    <m:rPr>
                      <m:sty m:val="p"/>
                    </m:rPr>
                    <m:t>i</m:t>
                  </m:r>
                  <m:r>
                    <m:rPr>
                      <m:sty m:val="p"/>
                    </m:rPr>
                    <m:t>O</m:t>
                  </m:r>
                  <m:r>
                    <m:rPr>
                      <m:sty m:val="p"/>
                    </m:rPr>
                    <m:t>2</m:t>
                  </m:r>
                </m:sub>
              </m:sSub>
            </m:oMath>
            <w:r>
              <w:t xml:space="preserve">) + adopted-base anchors</w:t>
            </w:r>
          </w:p>
        </w:tc>
        <w:tc>
          <w:tcPr/>
          <w:p>
            <w:pPr>
              <w:pStyle w:val="Compact"/>
              <w:jc w:val="left"/>
            </w:pPr>
            <w:r>
              <w:t xml:space="preserve">12</w:t>
            </w:r>
          </w:p>
        </w:tc>
        <w:tc>
          <w:tcPr/>
          <w:p>
            <w:pPr>
              <w:pStyle w:val="Compact"/>
              <w:jc w:val="left"/>
            </w:pPr>
            <w:r>
              <w:rPr>
                <w:rStyle w:val="VerbatimChar"/>
              </w:rPr>
              <w:t xml:space="preserve">s7_r3.json</w:t>
            </w:r>
            <w:r>
              <w:t xml:space="preserve"> </w:t>
            </w:r>
            <w:r>
              <w:t xml:space="preserve">+</w:t>
            </w:r>
            <w:r>
              <w:t xml:space="preserve"> </w:t>
            </w:r>
            <w:r>
              <w:rPr>
                <w:rStyle w:val="VerbatimChar"/>
              </w:rPr>
              <w:t xml:space="preserve">s8_champ38.json</w:t>
            </w:r>
          </w:p>
        </w:tc>
      </w:tr>
      <w:tr>
        <w:tc>
          <w:tcPr/>
          <w:p>
            <w:pPr>
              <w:pStyle w:val="Compact"/>
              <w:jc w:val="left"/>
            </w:pPr>
            <w:r>
              <w:t xml:space="preserve">Morris bootstrap intervals</w:t>
            </w:r>
          </w:p>
        </w:tc>
        <w:tc>
          <w:tcPr/>
          <w:p>
            <w:pPr>
              <w:pStyle w:val="Compact"/>
              <w:jc w:val="left"/>
            </w:pPr>
            <w:r>
              <w:t xml:space="preserve">5000 resamples</w:t>
            </w:r>
          </w:p>
        </w:tc>
        <w:tc>
          <w:tcPr/>
          <w:p>
            <w:pPr>
              <w:pStyle w:val="Compact"/>
              <w:jc w:val="left"/>
            </w:pPr>
            <w:r>
              <w:rPr>
                <w:rStyle w:val="VerbatimChar"/>
              </w:rPr>
              <w:t xml:space="preserve">s5_morris_ci.json</w:t>
            </w:r>
          </w:p>
        </w:tc>
      </w:tr>
      <w:tr>
        <w:tc>
          <w:tcPr/>
          <w:p>
            <w:pPr>
              <w:pStyle w:val="Compact"/>
              <w:jc w:val="left"/>
            </w:pPr>
            <w:r>
              <w:t xml:space="preserve">Routine-defect</w:t>
            </w:r>
            <w:r>
              <w:t xml:space="preserve"> </w:t>
            </w:r>
            <m:oMath>
              <m:r>
                <m:t>σ</m:t>
              </m:r>
              <m:r>
                <m:rPr>
                  <m:sty m:val="p"/>
                </m:rPr>
                <m:t>×</m:t>
              </m:r>
              <m:r>
                <m:t>1</m:t>
              </m:r>
            </m:oMath>
            <w:r>
              <w:t xml:space="preserve"> </w:t>
            </w:r>
            <w:r>
              <w:t xml:space="preserve">baseline</w:t>
            </w:r>
          </w:p>
        </w:tc>
        <w:tc>
          <w:tcPr/>
          <w:p>
            <w:pPr>
              <w:pStyle w:val="Compact"/>
              <w:jc w:val="left"/>
            </w:pPr>
            <w:r>
              <w:t xml:space="preserve">1</w:t>
            </w:r>
          </w:p>
        </w:tc>
        <w:tc>
          <w:tcPr/>
          <w:p>
            <w:pPr>
              <w:pStyle w:val="Compact"/>
              <w:jc w:val="left"/>
            </w:pPr>
            <w:r>
              <w:rPr>
                <w:rStyle w:val="VerbatimChar"/>
              </w:rPr>
              <w:t xml:space="preserve">s9_nt15base.json</w:t>
            </w:r>
          </w:p>
        </w:tc>
      </w:tr>
      <w:tr>
        <w:tc>
          <w:tcPr/>
          <w:p>
            <w:pPr>
              <w:pStyle w:val="Compact"/>
              <w:jc w:val="left"/>
            </w:pPr>
            <w:r>
              <w:t xml:space="preserve">Attainable gap +</w:t>
            </w:r>
            <w:r>
              <w:t xml:space="preserve"> </w:t>
            </w:r>
            <m:oMath>
              <m:sSub>
                <m:e>
                  <m:r>
                    <m:t>E</m:t>
                  </m:r>
                </m:e>
                <m:sub>
                  <m:r>
                    <m:t>t</m:t>
                  </m:r>
                </m:sub>
              </m:sSub>
            </m:oMath>
            <w:r>
              <w:t xml:space="preserve"> </w:t>
            </w:r>
            <w:r>
              <w:t xml:space="preserve">sweep</w:t>
            </w:r>
          </w:p>
        </w:tc>
        <w:tc>
          <w:tcPr/>
          <w:p>
            <w:pPr>
              <w:pStyle w:val="Compact"/>
              <w:jc w:val="left"/>
            </w:pPr>
            <w:r>
              <w:t xml:space="preserve">6</w:t>
            </w:r>
          </w:p>
        </w:tc>
        <w:tc>
          <w:tcPr/>
          <w:p>
            <w:pPr>
              <w:pStyle w:val="Compact"/>
              <w:jc w:val="left"/>
            </w:pPr>
            <w:r>
              <w:rPr>
                <w:rStyle w:val="VerbatimChar"/>
              </w:rPr>
              <w:t xml:space="preserve">s10_r4.json</w:t>
            </w:r>
          </w:p>
        </w:tc>
      </w:tr>
      <w:tr>
        <w:tc>
          <w:tcPr/>
          <w:p>
            <w:pPr>
              <w:pStyle w:val="Compact"/>
              <w:jc w:val="left"/>
            </w:pPr>
            <w:r>
              <w:t xml:space="preserve">Fine-IV confirmatory (surveyed base)</w:t>
            </w:r>
          </w:p>
        </w:tc>
        <w:tc>
          <w:tcPr/>
          <w:p>
            <w:pPr>
              <w:pStyle w:val="Compact"/>
              <w:jc w:val="left"/>
            </w:pPr>
            <w:r>
              <w:t xml:space="preserve">1</w:t>
            </w:r>
          </w:p>
        </w:tc>
        <w:tc>
          <w:tcPr/>
          <w:p>
            <w:pPr>
              <w:pStyle w:val="Compact"/>
              <w:jc w:val="left"/>
            </w:pPr>
            <w:r>
              <w:rPr>
                <w:rStyle w:val="VerbatimChar"/>
              </w:rPr>
              <w:t xml:space="preserve">s12_fine.json</w:t>
            </w:r>
          </w:p>
        </w:tc>
      </w:tr>
      <w:tr>
        <w:tc>
          <w:tcPr/>
          <w:p>
            <w:pPr>
              <w:pStyle w:val="Compact"/>
              <w:jc w:val="left"/>
            </w:pPr>
            <w:r>
              <w:t xml:space="preserve">Joint affinities + ITO/Ni</w:t>
            </w:r>
          </w:p>
        </w:tc>
        <w:tc>
          <w:tcPr/>
          <w:p>
            <w:pPr>
              <w:pStyle w:val="Compact"/>
              <w:jc w:val="left"/>
            </w:pPr>
            <w:r>
              <w:t xml:space="preserve">52 (3 solo reruns merged)</w:t>
            </w:r>
          </w:p>
        </w:tc>
        <w:tc>
          <w:tcPr/>
          <w:p>
            <w:pPr>
              <w:pStyle w:val="Compact"/>
              <w:jc w:val="left"/>
            </w:pPr>
            <w:r>
              <w:rPr>
                <w:rStyle w:val="VerbatimChar"/>
              </w:rPr>
              <w:t xml:space="preserve">s11_joint_chi.json</w:t>
            </w:r>
          </w:p>
        </w:tc>
      </w:tr>
      <w:tr>
        <w:tc>
          <w:tcPr/>
          <w:p>
            <w:pPr>
              <w:pStyle w:val="Compact"/>
              <w:jc w:val="left"/>
            </w:pPr>
            <w:r>
              <w:t xml:space="preserve">Box optimiser (LHS + pattern)</w:t>
            </w:r>
          </w:p>
        </w:tc>
        <w:tc>
          <w:tcPr/>
          <w:p>
            <w:pPr>
              <w:pStyle w:val="Compact"/>
              <w:jc w:val="left"/>
            </w:pPr>
            <w:r>
              <w:t xml:space="preserve">104 (9 worker-file misses)</w:t>
            </w:r>
          </w:p>
        </w:tc>
        <w:tc>
          <w:tcPr/>
          <w:p>
            <w:pPr>
              <w:pStyle w:val="Compact"/>
              <w:jc w:val="left"/>
            </w:pPr>
            <w:r>
              <w:rPr>
                <w:rStyle w:val="VerbatimChar"/>
              </w:rPr>
              <w:t xml:space="preserve">s13_opt.json</w:t>
            </w:r>
          </w:p>
        </w:tc>
      </w:tr>
      <w:tr>
        <w:tc>
          <w:tcPr/>
          <w:p>
            <w:pPr>
              <w:pStyle w:val="Compact"/>
              <w:jc w:val="left"/>
            </w:pPr>
            <w:r>
              <w:t xml:space="preserve">Paired Morris bootstrap +</w:t>
            </w:r>
            <w:r>
              <w:t xml:space="preserve"> </w:t>
            </w:r>
            <m:oMath>
              <m:r>
                <m:t>τ</m:t>
              </m:r>
            </m:oMath>
            <w:r>
              <w:t xml:space="preserve">/</w:t>
            </w:r>
            <m:oMath>
              <m:r>
                <m:t>S</m:t>
              </m:r>
            </m:oMath>
          </w:p>
        </w:tc>
        <w:tc>
          <w:tcPr/>
          <w:p>
            <w:pPr>
              <w:pStyle w:val="Compact"/>
              <w:jc w:val="left"/>
            </w:pPr>
            <w:r>
              <w:t xml:space="preserve">analysis only</w:t>
            </w:r>
          </w:p>
        </w:tc>
        <w:tc>
          <w:tcPr/>
          <w:p>
            <w:pPr>
              <w:pStyle w:val="Compact"/>
              <w:jc w:val="left"/>
            </w:pPr>
            <w:r>
              <w:rPr>
                <w:rStyle w:val="VerbatimChar"/>
              </w:rPr>
              <w:t xml:space="preserve">s13_analysis.json</w:t>
            </w:r>
          </w:p>
        </w:tc>
      </w:tr>
      <w:tr>
        <w:tc>
          <w:tcPr/>
          <w:p>
            <w:pPr>
              <w:pStyle w:val="Compact"/>
              <w:jc w:val="left"/>
            </w:pPr>
            <w:r>
              <w:t xml:space="preserve">Routine Rs + adopted Rs/Rsh + QE</w:t>
            </w:r>
          </w:p>
        </w:tc>
        <w:tc>
          <w:tcPr/>
          <w:p>
            <w:pPr>
              <w:pStyle w:val="Compact"/>
              <w:jc w:val="left"/>
            </w:pPr>
            <w:r>
              <w:t xml:space="preserve">3</w:t>
            </w:r>
          </w:p>
        </w:tc>
        <w:tc>
          <w:tcPr/>
          <w:p>
            <w:pPr>
              <w:pStyle w:val="Compact"/>
              <w:jc w:val="left"/>
            </w:pPr>
            <w:r>
              <w:rPr>
                <w:rStyle w:val="VerbatimChar"/>
              </w:rPr>
              <w:t xml:space="preserve">s14.json</w:t>
            </w:r>
            <w:r>
              <w:t xml:space="preserve"> </w:t>
            </w:r>
            <w:r>
              <w:t xml:space="preserve">+</w:t>
            </w:r>
            <w:r>
              <w:t xml:space="preserve"> </w:t>
            </w:r>
            <w:r>
              <w:rPr>
                <w:rStyle w:val="VerbatimChar"/>
              </w:rPr>
              <w:t xml:space="preserve">adopted_qe_raw.txt</w:t>
            </w:r>
          </w:p>
        </w:tc>
      </w:tr>
      <w:tr>
        <w:tc>
          <w:tcPr/>
          <w:p>
            <w:pPr>
              <w:pStyle w:val="Compact"/>
              <w:jc w:val="left"/>
            </w:pPr>
            <w:r>
              <w:t xml:space="preserve">Affinity-peak extension + new-base T/Eg/Rs</w:t>
            </w:r>
          </w:p>
        </w:tc>
        <w:tc>
          <w:tcPr/>
          <w:p>
            <w:pPr>
              <w:pStyle w:val="Compact"/>
              <w:jc w:val="left"/>
            </w:pPr>
            <w:r>
              <w:t xml:space="preserve">26 + 6 (4 solo reruns merged)</w:t>
            </w:r>
          </w:p>
        </w:tc>
        <w:tc>
          <w:tcPr/>
          <w:p>
            <w:pPr>
              <w:pStyle w:val="Compact"/>
              <w:jc w:val="left"/>
            </w:pPr>
            <w:r>
              <w:rPr>
                <w:rStyle w:val="VerbatimChar"/>
              </w:rPr>
              <w:t xml:space="preserve">s16.json</w:t>
            </w:r>
            <w:r>
              <w:t xml:space="preserve"> </w:t>
            </w:r>
            <w:r>
              <w:t xml:space="preserve">+</w:t>
            </w:r>
            <w:r>
              <w:t xml:space="preserve"> </w:t>
            </w:r>
            <w:r>
              <w:rPr>
                <w:rStyle w:val="VerbatimChar"/>
              </w:rPr>
              <w:t xml:space="preserve">s17.json</w:t>
            </w:r>
          </w:p>
        </w:tc>
      </w:tr>
      <w:tr>
        <w:tc>
          <w:tcPr/>
          <w:p>
            <w:pPr>
              <w:pStyle w:val="Compact"/>
              <w:jc w:val="left"/>
            </w:pPr>
            <w:r>
              <w:t xml:space="preserve">Sobol-on-surrogate</w:t>
            </w:r>
          </w:p>
        </w:tc>
        <w:tc>
          <w:tcPr/>
          <w:p>
            <w:pPr>
              <w:pStyle w:val="Compact"/>
              <w:jc w:val="left"/>
            </w:pPr>
            <w:r>
              <w:t xml:space="preserve">RF,</w:t>
            </w:r>
            <w:r>
              <w:t xml:space="preserve"> </w:t>
            </w:r>
            <m:oMath>
              <m:r>
                <m:t>N</m:t>
              </m:r>
              <m:r>
                <m:rPr>
                  <m:sty m:val="p"/>
                </m:rPr>
                <m:t>=</m:t>
              </m:r>
              <m:r>
                <m:t>4096</m:t>
              </m:r>
            </m:oMath>
            <w:r>
              <w:t xml:space="preserve"> </w:t>
            </w:r>
            <w:r>
              <w:t xml:space="preserve">Saltelli</w:t>
            </w:r>
          </w:p>
        </w:tc>
        <w:tc>
          <w:tcPr/>
          <w:p>
            <w:pPr>
              <w:pStyle w:val="Compact"/>
              <w:jc w:val="left"/>
            </w:pPr>
            <w:r>
              <w:rPr>
                <w:rStyle w:val="VerbatimChar"/>
              </w:rPr>
              <w:t xml:space="preserve">sobol_surrogate.json</w:t>
            </w:r>
          </w:p>
        </w:tc>
      </w:tr>
      <w:tr>
        <w:tc>
          <w:tcPr/>
          <w:p>
            <w:pPr>
              <w:pStyle w:val="Compact"/>
              <w:jc w:val="left"/>
            </w:pPr>
            <w:r>
              <w:t xml:space="preserve">Morris summary + CI +</w:t>
            </w:r>
            <w:r>
              <w:t xml:space="preserve"> </w:t>
            </w:r>
            <m:oMath>
              <m:r>
                <m:t>τ</m:t>
              </m:r>
            </m:oMath>
            <w:r>
              <w:t xml:space="preserve">/</w:t>
            </w:r>
            <m:oMath>
              <m:r>
                <m:t>S</m:t>
              </m:r>
            </m:oMath>
          </w:p>
        </w:tc>
        <w:tc>
          <w:tcPr/>
          <w:p>
            <w:pPr>
              <w:pStyle w:val="Compact"/>
              <w:jc w:val="left"/>
            </w:pPr>
            <w:r>
              <w:t xml:space="preserve">derived, 5000 resamples</w:t>
            </w:r>
          </w:p>
        </w:tc>
        <w:tc>
          <w:tcPr/>
          <w:p>
            <w:pPr>
              <w:pStyle w:val="Compact"/>
              <w:jc w:val="left"/>
            </w:pPr>
            <w:r>
              <w:rPr>
                <w:rStyle w:val="VerbatimChar"/>
              </w:rPr>
              <w:t xml:space="preserve">s5_morris_summary.json</w:t>
            </w:r>
            <w:r>
              <w:t xml:space="preserve"> </w:t>
            </w:r>
            <w:r>
              <w:t xml:space="preserve">+</w:t>
            </w:r>
            <w:r>
              <w:t xml:space="preserve"> </w:t>
            </w:r>
            <w:r>
              <w:rPr>
                <w:rStyle w:val="VerbatimChar"/>
              </w:rPr>
              <w:t xml:space="preserve">s5_morris_ci.json</w:t>
            </w:r>
          </w:p>
        </w:tc>
      </w:tr>
      <w:tr>
        <w:tc>
          <w:tcPr/>
          <w:p>
            <w:pPr>
              <w:pStyle w:val="Compact"/>
              <w:jc w:val="left"/>
            </w:pPr>
            <m:oMath>
              <m:sSub>
                <m:e>
                  <m:r>
                    <m:t>N</m:t>
                  </m:r>
                </m:e>
                <m:sub>
                  <m:r>
                    <m:t>t</m:t>
                  </m:r>
                </m:sub>
              </m:sSub>
            </m:oMath>
            <w:r>
              <w:t xml:space="preserve"> </w:t>
            </w:r>
            <w:r>
              <w:t xml:space="preserve">1e12 step retry</w:t>
            </w:r>
          </w:p>
        </w:tc>
        <w:tc>
          <w:tcPr/>
          <w:p>
            <w:pPr>
              <w:pStyle w:val="Compact"/>
              <w:jc w:val="left"/>
            </w:pPr>
            <w:r>
              <w:t xml:space="preserve">1</w:t>
            </w:r>
          </w:p>
        </w:tc>
        <w:tc>
          <w:tcPr/>
          <w:p>
            <w:pPr>
              <w:pStyle w:val="Compact"/>
              <w:jc w:val="left"/>
            </w:pPr>
            <w:r>
              <w:rPr>
                <w:rStyle w:val="VerbatimChar"/>
              </w:rPr>
              <w:t xml:space="preserve">retry_nt.json</w:t>
            </w:r>
          </w:p>
        </w:tc>
      </w:tr>
      <w:tr>
        <w:tc>
          <w:tcPr/>
          <w:p>
            <w:pPr>
              <w:pStyle w:val="Compact"/>
              <w:jc w:val="left"/>
            </w:pPr>
            <w:r>
              <w:t xml:space="preserve">Analytic: DB Voc, QE integral, SQ Jsc</w:t>
            </w:r>
          </w:p>
        </w:tc>
        <w:tc>
          <w:tcPr/>
          <w:p>
            <w:pPr>
              <w:pStyle w:val="Compact"/>
              <w:jc w:val="left"/>
            </w:pPr>
            <w:r>
              <w:t xml:space="preserve">closed form</w:t>
            </w:r>
          </w:p>
        </w:tc>
        <w:tc>
          <w:tcPr/>
          <w:p>
            <w:pPr>
              <w:pStyle w:val="Compact"/>
              <w:jc w:val="left"/>
            </w:pPr>
            <w:r>
              <w:rPr>
                <w:rStyle w:val="VerbatimChar"/>
              </w:rPr>
              <w:t xml:space="preserve">s18_analytic.json</w:t>
            </w:r>
          </w:p>
        </w:tc>
      </w:tr>
      <w:tr>
        <w:tc>
          <w:tcPr/>
          <w:p>
            <w:pPr>
              <w:pStyle w:val="Compact"/>
              <w:jc w:val="left"/>
            </w:pPr>
            <w:r>
              <w:t xml:space="preserve">Probes + set-key verification + analysis</w:t>
            </w:r>
          </w:p>
        </w:tc>
        <w:tc>
          <w:tcPr/>
          <w:p>
            <w:pPr>
              <w:pStyle w:val="Compact"/>
              <w:jc w:val="left"/>
            </w:pPr>
            <w:r>
              <w:t xml:space="preserve">4 + 5 + derived</w:t>
            </w:r>
          </w:p>
        </w:tc>
        <w:tc>
          <w:tcPr/>
          <w:p>
            <w:pPr>
              <w:pStyle w:val="Compact"/>
              <w:jc w:val="left"/>
            </w:pPr>
            <w:r>
              <w:rPr>
                <w:rStyle w:val="VerbatimChar"/>
              </w:rPr>
              <w:t xml:space="preserve">probe_qecv.json</w:t>
            </w:r>
            <w:r>
              <w:t xml:space="preserve">,</w:t>
            </w:r>
            <w:r>
              <w:t xml:space="preserve"> </w:t>
            </w:r>
            <w:r>
              <w:rPr>
                <w:rStyle w:val="VerbatimChar"/>
              </w:rPr>
              <w:t xml:space="preserve">s10_sigverify.json</w:t>
            </w:r>
            <w:r>
              <w:t xml:space="preserve">,</w:t>
            </w:r>
            <w:r>
              <w:t xml:space="preserve"> </w:t>
            </w:r>
            <w:r>
              <w:rPr>
                <w:rStyle w:val="VerbatimChar"/>
              </w:rPr>
              <w:t xml:space="preserve">analysis.json</w:t>
            </w:r>
          </w:p>
        </w:tc>
      </w:tr>
      <w:tr>
        <w:tc>
          <w:tcPr/>
          <w:p>
            <w:pPr>
              <w:pStyle w:val="Compact"/>
              <w:jc w:val="left"/>
            </w:pPr>
            <w:r>
              <w:t xml:space="preserve">Thickness</w:t>
            </w:r>
            <w:r>
              <w:t xml:space="preserve"> </w:t>
            </w:r>
            <m:oMath>
              <m:r>
                <m:rPr>
                  <m:sty m:val="p"/>
                </m:rPr>
                <m:t>×</m:t>
              </m:r>
            </m:oMath>
            <w:r>
              <w:t xml:space="preserve"> </w:t>
            </w:r>
            <m:oMath>
              <m:sSub>
                <m:e>
                  <m:r>
                    <m:t>N</m:t>
                  </m:r>
                </m:e>
                <m:sub>
                  <m:r>
                    <m:t>t</m:t>
                  </m:r>
                </m:sub>
              </m:sSub>
            </m:oMath>
            <w:r>
              <w:t xml:space="preserve"> </w:t>
            </w:r>
            <w:r>
              <w:t xml:space="preserve">factorial</w:t>
            </w:r>
          </w:p>
        </w:tc>
        <w:tc>
          <w:tcPr/>
          <w:p>
            <w:pPr>
              <w:pStyle w:val="Compact"/>
              <w:jc w:val="left"/>
            </w:pPr>
            <w:r>
              <w:t xml:space="preserve">8 (2 solo reruns, deduped)</w:t>
            </w:r>
          </w:p>
        </w:tc>
        <w:tc>
          <w:tcPr/>
          <w:p>
            <w:pPr>
              <w:pStyle w:val="Compact"/>
              <w:jc w:val="left"/>
            </w:pPr>
            <w:r>
              <w:rPr>
                <w:rStyle w:val="VerbatimChar"/>
              </w:rPr>
              <w:t xml:space="preserve">s21_thNt.json</w:t>
            </w:r>
          </w:p>
        </w:tc>
      </w:tr>
      <w:tr>
        <w:tc>
          <w:tcPr/>
          <w:p>
            <w:pPr>
              <w:pStyle w:val="Compact"/>
              <w:jc w:val="left"/>
            </w:pPr>
            <w:r>
              <w:t xml:space="preserve">Joint-optimum interface dose check</w:t>
            </w:r>
          </w:p>
        </w:tc>
        <w:tc>
          <w:tcPr/>
          <w:p>
            <w:pPr>
              <w:pStyle w:val="Compact"/>
              <w:jc w:val="left"/>
            </w:pPr>
            <w:r>
              <w:t xml:space="preserve">2</w:t>
            </w:r>
          </w:p>
        </w:tc>
        <w:tc>
          <w:tcPr/>
          <w:p>
            <w:pPr>
              <w:pStyle w:val="Compact"/>
              <w:jc w:val="left"/>
            </w:pPr>
            <w:r>
              <w:rPr>
                <w:rStyle w:val="VerbatimChar"/>
              </w:rPr>
              <w:t xml:space="preserve">s22_jointIF.json</w:t>
            </w:r>
          </w:p>
        </w:tc>
      </w:tr>
      <w:tr>
        <w:tc>
          <w:tcPr/>
          <w:p>
            <w:pPr>
              <w:pStyle w:val="Compact"/>
              <w:jc w:val="left"/>
            </w:pPr>
            <w:r>
              <w:t xml:space="preserve">Raw per-run logs (jsonl)</w:t>
            </w:r>
          </w:p>
        </w:tc>
        <w:tc>
          <w:tcPr/>
          <w:p>
            <w:pPr>
              <w:pStyle w:val="Compact"/>
              <w:jc w:val="left"/>
            </w:pPr>
            <w:r>
              <w:t xml:space="preserve">–</w:t>
            </w:r>
          </w:p>
        </w:tc>
        <w:tc>
          <w:tcPr/>
          <w:p>
            <w:pPr>
              <w:pStyle w:val="Compact"/>
              <w:jc w:val="left"/>
            </w:pPr>
            <w:r>
              <w:rPr>
                <w:rStyle w:val="VerbatimChar"/>
              </w:rPr>
              <w:t xml:space="preserve">s13_opt.jsonl</w:t>
            </w:r>
            <w:r>
              <w:t xml:space="preserve">,</w:t>
            </w:r>
            <w:r>
              <w:t xml:space="preserve"> </w:t>
            </w:r>
            <w:r>
              <w:rPr>
                <w:rStyle w:val="VerbatimChar"/>
              </w:rPr>
              <w:t xml:space="preserve">s16.jsonl</w:t>
            </w:r>
          </w:p>
        </w:tc>
      </w:tr>
    </w:tbl>
    <w:bookmarkEnd w:id="86"/>
    <w:bookmarkStart w:id="123" w:name="refs"/>
    <w:bookmarkStart w:id="87" w:name="ref-Dai2026"/>
    <w:p>
      <w:pPr>
        <w:pStyle w:val="Bibliography"/>
      </w:pPr>
      <w:r>
        <w:t xml:space="preserve">[1]</w:t>
      </w:r>
      <w:r>
        <w:t xml:space="preserve"> </w:t>
      </w:r>
      <w:r>
        <w:t xml:space="preserve">	</w:t>
      </w:r>
      <w:r>
        <w:t xml:space="preserve">W. Dai, J. Li, Y. Gou, J. Zhang, Z. Pan,</w:t>
      </w:r>
      <w:r>
        <w:t xml:space="preserve"> </w:t>
      </w:r>
      <w:r>
        <w:rPr>
          <w:i/>
          <w:iCs/>
        </w:rPr>
        <w:t xml:space="preserve">et al.</w:t>
      </w:r>
      <w:r>
        <w:t xml:space="preserve">,</w:t>
      </w:r>
      <w:r>
        <w:t xml:space="preserve"> </w:t>
      </w:r>
      <w:r>
        <w:t xml:space="preserve">“Moisture-responsive crystallization strategy for efficient CsPbI3 solar cells fabricated under high-humidity conditions,”</w:t>
      </w:r>
      <w:r>
        <w:t xml:space="preserve"> </w:t>
      </w:r>
      <w:r>
        <w:rPr>
          <w:i/>
          <w:iCs/>
        </w:rPr>
        <w:t xml:space="preserve">Nature Communications</w:t>
      </w:r>
      <w:r>
        <w:t xml:space="preserve">, 2026.</w:t>
      </w:r>
    </w:p>
    <w:bookmarkEnd w:id="87"/>
    <w:bookmarkStart w:id="88" w:name="ref-Qiu2025"/>
    <w:p>
      <w:pPr>
        <w:pStyle w:val="Bibliography"/>
      </w:pPr>
      <w:r>
        <w:t xml:space="preserve">[2]</w:t>
      </w:r>
      <w:r>
        <w:t xml:space="preserve"> </w:t>
      </w:r>
      <w:r>
        <w:t xml:space="preserve">	</w:t>
      </w:r>
      <w:r>
        <w:t xml:space="preserve">J. Qiu</w:t>
      </w:r>
      <w:r>
        <w:t xml:space="preserve"> </w:t>
      </w:r>
      <w:r>
        <w:rPr>
          <w:i/>
          <w:iCs/>
        </w:rPr>
        <w:t xml:space="preserve">et al.</w:t>
      </w:r>
      <w:r>
        <w:t xml:space="preserve">,</w:t>
      </w:r>
      <w:r>
        <w:t xml:space="preserve"> </w:t>
      </w:r>
      <w:r>
        <w:t xml:space="preserve">“Fluorination-assisted interfacial dipole for CsPbI3 perovskite solar cells with over 22% efficiency,”</w:t>
      </w:r>
      <w:r>
        <w:t xml:space="preserve"> </w:t>
      </w:r>
      <w:r>
        <w:rPr>
          <w:i/>
          <w:iCs/>
        </w:rPr>
        <w:t xml:space="preserve">Angewandte Chemie International Edition</w:t>
      </w:r>
      <w:r>
        <w:t xml:space="preserve">, vol. 64, p. e202506282, 2025.</w:t>
      </w:r>
    </w:p>
    <w:bookmarkEnd w:id="88"/>
    <w:bookmarkStart w:id="89" w:name="ref-Zhang2026"/>
    <w:p>
      <w:pPr>
        <w:pStyle w:val="Bibliography"/>
      </w:pPr>
      <w:r>
        <w:t xml:space="preserve">[3]</w:t>
      </w:r>
      <w:r>
        <w:t xml:space="preserve"> </w:t>
      </w:r>
      <w:r>
        <w:t xml:space="preserve">	</w:t>
      </w:r>
      <w:r>
        <w:t xml:space="preserve">N. Zhang, Z. Xu, Z. Yang,</w:t>
      </w:r>
      <w:r>
        <w:t xml:space="preserve"> </w:t>
      </w:r>
      <w:r>
        <w:rPr>
          <w:i/>
          <w:iCs/>
        </w:rPr>
        <w:t xml:space="preserve">et al.</w:t>
      </w:r>
      <w:r>
        <w:t xml:space="preserve">,</w:t>
      </w:r>
      <w:r>
        <w:t xml:space="preserve"> </w:t>
      </w:r>
      <w:r>
        <w:t xml:space="preserve">“Three birds with one stone: Dual-interfaces and bulk co-passivation enable</w:t>
      </w:r>
      <w:r>
        <w:t xml:space="preserve"> </w:t>
      </w:r>
      <m:oMath>
        <m:r>
          <m:rPr>
            <m:sty m:val="p"/>
          </m:rPr>
          <m:t>&gt;</m:t>
        </m:r>
      </m:oMath>
      <w:r>
        <w:t xml:space="preserve">21% efficiency of CsPbI3 solar cells with VOC of 1.27 v,”</w:t>
      </w:r>
      <w:r>
        <w:t xml:space="preserve"> </w:t>
      </w:r>
      <w:r>
        <w:rPr>
          <w:i/>
          <w:iCs/>
        </w:rPr>
        <w:t xml:space="preserve">Science China Materials</w:t>
      </w:r>
      <w:r>
        <w:t xml:space="preserve">, vol. 69, pp. 405–413, 2026.</w:t>
      </w:r>
    </w:p>
    <w:bookmarkEnd w:id="89"/>
    <w:bookmarkStart w:id="91" w:name="ref-Joule2026"/>
    <w:p>
      <w:pPr>
        <w:pStyle w:val="Bibliography"/>
      </w:pPr>
      <w:r>
        <w:t xml:space="preserve">[4]</w:t>
      </w:r>
      <w:r>
        <w:t xml:space="preserve"> </w:t>
      </w:r>
      <w:r>
        <w:t xml:space="preserve">	</w:t>
      </w:r>
      <w:r>
        <w:t xml:space="preserve">L. Hu</w:t>
      </w:r>
      <w:r>
        <w:t xml:space="preserve"> </w:t>
      </w:r>
      <w:r>
        <w:rPr>
          <w:i/>
          <w:iCs/>
        </w:rPr>
        <w:t xml:space="preserve">et al.</w:t>
      </w:r>
      <w:r>
        <w:t xml:space="preserve">,</w:t>
      </w:r>
      <w:r>
        <w:t xml:space="preserve"> </w:t>
      </w:r>
      <w:r>
        <w:t xml:space="preserve">“Pushing the performance of inverted CsPbI3 perovskite photovoltaics via grain boundary grooves stitching,”</w:t>
      </w:r>
      <w:r>
        <w:t xml:space="preserve"> </w:t>
      </w:r>
      <w:r>
        <w:rPr>
          <w:i/>
          <w:iCs/>
        </w:rPr>
        <w:t xml:space="preserve">Joule</w:t>
      </w:r>
      <w:r>
        <w:t xml:space="preserve">, 2026, doi:</w:t>
      </w:r>
      <w:r>
        <w:t xml:space="preserve"> </w:t>
      </w:r>
      <w:hyperlink r:id="rId90">
        <w:r>
          <w:rPr>
            <w:rStyle w:val="Hyperlink"/>
          </w:rPr>
          <w:t xml:space="preserve">10.1016/j.joule.2026.102319</w:t>
        </w:r>
      </w:hyperlink>
      <w:r>
        <w:t xml:space="preserve">.</w:t>
      </w:r>
    </w:p>
    <w:bookmarkEnd w:id="91"/>
    <w:bookmarkStart w:id="93" w:name="ref-Hossain2023"/>
    <w:p>
      <w:pPr>
        <w:pStyle w:val="Bibliography"/>
      </w:pPr>
      <w:r>
        <w:t xml:space="preserve">[5]</w:t>
      </w:r>
      <w:r>
        <w:t xml:space="preserve"> </w:t>
      </w:r>
      <w:r>
        <w:t xml:space="preserve">	</w:t>
      </w:r>
      <w:r>
        <w:t xml:space="preserve">M. K. Hossain</w:t>
      </w:r>
      <w:r>
        <w:t xml:space="preserve"> </w:t>
      </w:r>
      <w:r>
        <w:rPr>
          <w:i/>
          <w:iCs/>
        </w:rPr>
        <w:t xml:space="preserve">et al.</w:t>
      </w:r>
      <w:r>
        <w:t xml:space="preserve">,</w:t>
      </w:r>
      <w:r>
        <w:t xml:space="preserve"> </w:t>
      </w:r>
      <w:r>
        <w:t xml:space="preserve">“Numerical simulation and optimization of a CsPbI3-based perovskite solar cell to enhance the power conversion efficiency,”</w:t>
      </w:r>
      <w:r>
        <w:t xml:space="preserve"> </w:t>
      </w:r>
      <w:r>
        <w:rPr>
          <w:i/>
          <w:iCs/>
        </w:rPr>
        <w:t xml:space="preserve">New Journal of Chemistry</w:t>
      </w:r>
      <w:r>
        <w:t xml:space="preserve">, 2023, doi:</w:t>
      </w:r>
      <w:r>
        <w:t xml:space="preserve"> </w:t>
      </w:r>
      <w:hyperlink r:id="rId92">
        <w:r>
          <w:rPr>
            <w:rStyle w:val="Hyperlink"/>
          </w:rPr>
          <w:t xml:space="preserve">10.1039/d2nj06206b</w:t>
        </w:r>
      </w:hyperlink>
      <w:r>
        <w:t xml:space="preserve">.</w:t>
      </w:r>
    </w:p>
    <w:bookmarkEnd w:id="93"/>
    <w:bookmarkStart w:id="94" w:name="ref-Hossain2022"/>
    <w:p>
      <w:pPr>
        <w:pStyle w:val="Bibliography"/>
      </w:pPr>
      <w:r>
        <w:t xml:space="preserve">[6]</w:t>
      </w:r>
      <w:r>
        <w:t xml:space="preserve"> </w:t>
      </w:r>
      <w:r>
        <w:t xml:space="preserve">	</w:t>
      </w:r>
      <w:r>
        <w:t xml:space="preserve">M. K. Hossain, M. H. K. Rubel, G. F. I. Toki, I. Alam, M. F. Rahman, and H. Bencherif,</w:t>
      </w:r>
      <w:r>
        <w:t xml:space="preserve"> </w:t>
      </w:r>
      <w:r>
        <w:t xml:space="preserve">“Effect of various electron and hole transport layers on the performance of CsPbI3-based perovskite solar cells,”</w:t>
      </w:r>
      <w:r>
        <w:t xml:space="preserve"> </w:t>
      </w:r>
      <w:r>
        <w:rPr>
          <w:i/>
          <w:iCs/>
        </w:rPr>
        <w:t xml:space="preserve">ACS Omega</w:t>
      </w:r>
      <w:r>
        <w:t xml:space="preserve">, vol. 7, pp. 43210–43230, 2022.</w:t>
      </w:r>
    </w:p>
    <w:bookmarkEnd w:id="94"/>
    <w:bookmarkStart w:id="95" w:name="ref-Nazli2025"/>
    <w:p>
      <w:pPr>
        <w:pStyle w:val="Bibliography"/>
      </w:pPr>
      <w:r>
        <w:t xml:space="preserve">[7]</w:t>
      </w:r>
      <w:r>
        <w:t xml:space="preserve"> </w:t>
      </w:r>
      <w:r>
        <w:t xml:space="preserve">	</w:t>
      </w:r>
      <w:r>
        <w:t xml:space="preserve">N. F. M. Nazli, F. Salehuddin, F. Arith, S. A. M. Junos, A. S. M. Zain, and K. E. Kaharudin,</w:t>
      </w:r>
      <w:r>
        <w:t xml:space="preserve"> </w:t>
      </w:r>
      <w:r>
        <w:t xml:space="preserve">“Numerical optimization of CsPbI3 perovskite solar cells using SCAPS-1D modeling,”</w:t>
      </w:r>
      <w:r>
        <w:t xml:space="preserve"> </w:t>
      </w:r>
      <w:r>
        <w:t xml:space="preserve">in</w:t>
      </w:r>
      <w:r>
        <w:t xml:space="preserve"> </w:t>
      </w:r>
      <w:r>
        <w:rPr>
          <w:i/>
          <w:iCs/>
        </w:rPr>
        <w:t xml:space="preserve">2025 IEEE regional symposium on micro and nanoelectronics (RSM)</w:t>
      </w:r>
      <w:r>
        <w:t xml:space="preserve">, 2025, pp. 61–65.</w:t>
      </w:r>
    </w:p>
    <w:bookmarkEnd w:id="95"/>
    <w:bookmarkStart w:id="96" w:name="ref-Oyedele2023"/>
    <w:p>
      <w:pPr>
        <w:pStyle w:val="Bibliography"/>
      </w:pPr>
      <w:r>
        <w:t xml:space="preserve">[8]</w:t>
      </w:r>
      <w:r>
        <w:t xml:space="preserve"> </w:t>
      </w:r>
      <w:r>
        <w:t xml:space="preserve">	</w:t>
      </w:r>
      <w:r>
        <w:t xml:space="preserve">S. O. Oyedele, I. Soumahoro, L. Bamba, R. Kre, and B. Aka,</w:t>
      </w:r>
      <w:r>
        <w:t xml:space="preserve"> </w:t>
      </w:r>
      <w:r>
        <w:t xml:space="preserve">“Simulation-based optimization of the performance of a CsPbI3 (cesium lead triiodide) perovskite solar cell using SCAPS-1D,”</w:t>
      </w:r>
      <w:r>
        <w:t xml:space="preserve"> </w:t>
      </w:r>
      <w:r>
        <w:rPr>
          <w:i/>
          <w:iCs/>
        </w:rPr>
        <w:t xml:space="preserve">Modeling and Numerical Simulation of Material Science</w:t>
      </w:r>
      <w:r>
        <w:t xml:space="preserve">, 2023.</w:t>
      </w:r>
    </w:p>
    <w:bookmarkEnd w:id="96"/>
    <w:bookmarkStart w:id="98" w:name="ref-PerovskiteOpt2026"/>
    <w:p>
      <w:pPr>
        <w:pStyle w:val="Bibliography"/>
      </w:pPr>
      <w:r>
        <w:t xml:space="preserve">[9]</w:t>
      </w:r>
      <w:r>
        <w:t xml:space="preserve"> </w:t>
      </w:r>
      <w:r>
        <w:t xml:space="preserve">	</w:t>
      </w:r>
      <w:r>
        <w:t xml:space="preserve">M. S. Alshaikh,</w:t>
      </w:r>
      <w:r>
        <w:t xml:space="preserve"> </w:t>
      </w:r>
      <w:r>
        <w:t xml:space="preserve">“PerovskiteOpt-AI: A machine learning-driven multi-parameter optimization framework for lead-free perovskite solar cell device architecture using SCAPS-1D simulation and gaussian process surrogate modeling,”</w:t>
      </w:r>
      <w:r>
        <w:t xml:space="preserve"> </w:t>
      </w:r>
      <w:r>
        <w:rPr>
          <w:i/>
          <w:iCs/>
        </w:rPr>
        <w:t xml:space="preserve">Crystals</w:t>
      </w:r>
      <w:r>
        <w:t xml:space="preserve">, vol. 16, p. 310, 2026, doi:</w:t>
      </w:r>
      <w:r>
        <w:t xml:space="preserve"> </w:t>
      </w:r>
      <w:hyperlink r:id="rId97">
        <w:r>
          <w:rPr>
            <w:rStyle w:val="Hyperlink"/>
          </w:rPr>
          <w:t xml:space="preserve">10.3390/cryst16050310</w:t>
        </w:r>
      </w:hyperlink>
      <w:r>
        <w:t xml:space="preserve">.</w:t>
      </w:r>
    </w:p>
    <w:bookmarkEnd w:id="98"/>
    <w:bookmarkStart w:id="99" w:name="ref-Bifacial2026"/>
    <w:p>
      <w:pPr>
        <w:pStyle w:val="Bibliography"/>
      </w:pPr>
      <w:r>
        <w:t xml:space="preserve">[10]</w:t>
      </w:r>
      <w:r>
        <w:t xml:space="preserve"> </w:t>
      </w:r>
      <w:r>
        <w:t xml:space="preserve">	</w:t>
      </w:r>
      <w:r>
        <w:t xml:space="preserve">S. Rabhi</w:t>
      </w:r>
      <w:r>
        <w:t xml:space="preserve"> </w:t>
      </w:r>
      <w:r>
        <w:rPr>
          <w:i/>
          <w:iCs/>
        </w:rPr>
        <w:t xml:space="preserve">et al.</w:t>
      </w:r>
      <w:r>
        <w:t xml:space="preserve">,</w:t>
      </w:r>
      <w:r>
        <w:t xml:space="preserve"> </w:t>
      </w:r>
      <w:r>
        <w:t xml:space="preserve">“Machine learning-enhanced SCAPS optimization of 28.38%-efficient bifacial triple-cation perovskite solar cells for building integration,”</w:t>
      </w:r>
      <w:r>
        <w:t xml:space="preserve"> </w:t>
      </w:r>
      <w:r>
        <w:rPr>
          <w:i/>
          <w:iCs/>
        </w:rPr>
        <w:t xml:space="preserve">Surfaces and Interfaces</w:t>
      </w:r>
      <w:r>
        <w:t xml:space="preserve">, 2026.</w:t>
      </w:r>
    </w:p>
    <w:bookmarkEnd w:id="99"/>
    <w:bookmarkStart w:id="100" w:name="ref-Swarnkar2016"/>
    <w:p>
      <w:pPr>
        <w:pStyle w:val="Bibliography"/>
      </w:pPr>
      <w:r>
        <w:t xml:space="preserve">[11]</w:t>
      </w:r>
      <w:r>
        <w:t xml:space="preserve"> </w:t>
      </w:r>
      <w:r>
        <w:t xml:space="preserve">	</w:t>
      </w:r>
      <w:r>
        <w:t xml:space="preserve">A. Swarnkar</w:t>
      </w:r>
      <w:r>
        <w:t xml:space="preserve"> </w:t>
      </w:r>
      <w:r>
        <w:rPr>
          <w:i/>
          <w:iCs/>
        </w:rPr>
        <w:t xml:space="preserve">et al.</w:t>
      </w:r>
      <w:r>
        <w:t xml:space="preserve">,</w:t>
      </w:r>
      <w:r>
        <w:t xml:space="preserve"> </w:t>
      </w:r>
      <w:r>
        <w:t xml:space="preserve">“Quantum dot-induced phase stabilization of</w:t>
      </w:r>
      <w:r>
        <w:t xml:space="preserve"> </w:t>
      </w:r>
      <m:oMath>
        <m:r>
          <m:t>α</m:t>
        </m:r>
      </m:oMath>
      <w:r>
        <w:t xml:space="preserve">-CsPbI3 perovskite for high-efficiency photovoltaics,”</w:t>
      </w:r>
      <w:r>
        <w:t xml:space="preserve"> </w:t>
      </w:r>
      <w:r>
        <w:rPr>
          <w:i/>
          <w:iCs/>
        </w:rPr>
        <w:t xml:space="preserve">Science</w:t>
      </w:r>
      <w:r>
        <w:t xml:space="preserve">, vol. 354, pp. 92–95, 2016.</w:t>
      </w:r>
    </w:p>
    <w:bookmarkEnd w:id="100"/>
    <w:bookmarkStart w:id="101" w:name="ref-Frolova2017"/>
    <w:p>
      <w:pPr>
        <w:pStyle w:val="Bibliography"/>
      </w:pPr>
      <w:r>
        <w:t xml:space="preserve">[12]</w:t>
      </w:r>
      <w:r>
        <w:t xml:space="preserve"> </w:t>
      </w:r>
      <w:r>
        <w:t xml:space="preserve">	</w:t>
      </w:r>
      <w:r>
        <w:t xml:space="preserve">L. A. Frolova</w:t>
      </w:r>
      <w:r>
        <w:t xml:space="preserve"> </w:t>
      </w:r>
      <w:r>
        <w:rPr>
          <w:i/>
          <w:iCs/>
        </w:rPr>
        <w:t xml:space="preserve">et al.</w:t>
      </w:r>
      <w:r>
        <w:t xml:space="preserve">,</w:t>
      </w:r>
      <w:r>
        <w:t xml:space="preserve"> </w:t>
      </w:r>
      <w:r>
        <w:t xml:space="preserve">“Highly efficient all-inorganic planar heterojunction perovskite solar cells produced by thermal coevaporation of CsI and PbI2,”</w:t>
      </w:r>
      <w:r>
        <w:t xml:space="preserve"> </w:t>
      </w:r>
      <w:r>
        <w:rPr>
          <w:i/>
          <w:iCs/>
        </w:rPr>
        <w:t xml:space="preserve">Journal of Physical Chemistry Letters</w:t>
      </w:r>
      <w:r>
        <w:t xml:space="preserve">, vol. 8, pp. 67–72, 2017.</w:t>
      </w:r>
    </w:p>
    <w:bookmarkEnd w:id="101"/>
    <w:bookmarkStart w:id="102" w:name="ref-Zhao2018"/>
    <w:p>
      <w:pPr>
        <w:pStyle w:val="Bibliography"/>
      </w:pPr>
      <w:r>
        <w:t xml:space="preserve">[13]</w:t>
      </w:r>
      <w:r>
        <w:t xml:space="preserve"> </w:t>
      </w:r>
      <w:r>
        <w:t xml:space="preserve">	</w:t>
      </w:r>
      <w:r>
        <w:t xml:space="preserve">B. Zhao</w:t>
      </w:r>
      <w:r>
        <w:t xml:space="preserve"> </w:t>
      </w:r>
      <w:r>
        <w:rPr>
          <w:i/>
          <w:iCs/>
        </w:rPr>
        <w:t xml:space="preserve">et al.</w:t>
      </w:r>
      <w:r>
        <w:t xml:space="preserve">,</w:t>
      </w:r>
      <w:r>
        <w:t xml:space="preserve"> </w:t>
      </w:r>
      <w:r>
        <w:t xml:space="preserve">“Thermodynamically stable orthorhombic</w:t>
      </w:r>
      <w:r>
        <w:t xml:space="preserve"> </w:t>
      </w:r>
      <m:oMath>
        <m:r>
          <m:t>γ</m:t>
        </m:r>
      </m:oMath>
      <w:r>
        <w:t xml:space="preserve">-CsPbI3 thin films for high-performance photovoltaics,”</w:t>
      </w:r>
      <w:r>
        <w:t xml:space="preserve"> </w:t>
      </w:r>
      <w:r>
        <w:rPr>
          <w:i/>
          <w:iCs/>
        </w:rPr>
        <w:t xml:space="preserve">Journal of the American Chemical Society</w:t>
      </w:r>
      <w:r>
        <w:t xml:space="preserve">, vol. 140, pp. 11716–11725, 2018.</w:t>
      </w:r>
    </w:p>
    <w:bookmarkEnd w:id="102"/>
    <w:bookmarkStart w:id="103" w:name="ref-Bian2018"/>
    <w:p>
      <w:pPr>
        <w:pStyle w:val="Bibliography"/>
      </w:pPr>
      <w:r>
        <w:t xml:space="preserve">[14]</w:t>
      </w:r>
      <w:r>
        <w:t xml:space="preserve"> </w:t>
      </w:r>
      <w:r>
        <w:t xml:space="preserve">	</w:t>
      </w:r>
      <w:r>
        <w:t xml:space="preserve">H. Bian</w:t>
      </w:r>
      <w:r>
        <w:t xml:space="preserve"> </w:t>
      </w:r>
      <w:r>
        <w:rPr>
          <w:i/>
          <w:iCs/>
        </w:rPr>
        <w:t xml:space="preserve">et al.</w:t>
      </w:r>
      <w:r>
        <w:t xml:space="preserve">,</w:t>
      </w:r>
      <w:r>
        <w:t xml:space="preserve"> </w:t>
      </w:r>
      <w:r>
        <w:t xml:space="preserve">“Graded bandgap CsPbI2+xBr1-x perovskite solar cells with a stabilized efficiency of 14.4%,”</w:t>
      </w:r>
      <w:r>
        <w:t xml:space="preserve"> </w:t>
      </w:r>
      <w:r>
        <w:rPr>
          <w:i/>
          <w:iCs/>
        </w:rPr>
        <w:t xml:space="preserve">Joule</w:t>
      </w:r>
      <w:r>
        <w:t xml:space="preserve">, vol. 2, pp. 1500–1510, 2018.</w:t>
      </w:r>
    </w:p>
    <w:bookmarkEnd w:id="103"/>
    <w:bookmarkStart w:id="104" w:name="ref-Xi2019"/>
    <w:p>
      <w:pPr>
        <w:pStyle w:val="Bibliography"/>
      </w:pPr>
      <w:r>
        <w:t xml:space="preserve">[15]</w:t>
      </w:r>
      <w:r>
        <w:t xml:space="preserve"> </w:t>
      </w:r>
      <w:r>
        <w:t xml:space="preserve">	</w:t>
      </w:r>
      <w:r>
        <w:t xml:space="preserve">J. Xi, C. Piao, J. Byeon, J. Yoon, Z. Wu, and M. Choi,</w:t>
      </w:r>
      <w:r>
        <w:t xml:space="preserve"> </w:t>
      </w:r>
      <w:r>
        <w:t xml:space="preserve">“Compositional engineering of</w:t>
      </w:r>
      <w:r>
        <w:t xml:space="preserve"> </w:t>
      </w:r>
      <m:oMath>
        <m:r>
          <m:t>α</m:t>
        </m:r>
      </m:oMath>
      <w:r>
        <w:t xml:space="preserve">-CsPbI3 mixed-halide perovskites for efficient and stable solar cells,”</w:t>
      </w:r>
      <w:r>
        <w:t xml:space="preserve"> </w:t>
      </w:r>
      <w:r>
        <w:rPr>
          <w:i/>
          <w:iCs/>
        </w:rPr>
        <w:t xml:space="preserve">Advanced Energy Materials</w:t>
      </w:r>
      <w:r>
        <w:t xml:space="preserve">, vol. 9, p. 1901787, 2019.</w:t>
      </w:r>
    </w:p>
    <w:bookmarkEnd w:id="104"/>
    <w:bookmarkStart w:id="105" w:name="ref-Becker2019"/>
    <w:p>
      <w:pPr>
        <w:pStyle w:val="Bibliography"/>
      </w:pPr>
      <w:r>
        <w:t xml:space="preserve">[16]</w:t>
      </w:r>
      <w:r>
        <w:t xml:space="preserve"> </w:t>
      </w:r>
      <w:r>
        <w:t xml:space="preserve">	</w:t>
      </w:r>
      <w:r>
        <w:t xml:space="preserve">P. Becker</w:t>
      </w:r>
      <w:r>
        <w:t xml:space="preserve"> </w:t>
      </w:r>
      <w:r>
        <w:rPr>
          <w:i/>
          <w:iCs/>
        </w:rPr>
        <w:t xml:space="preserve">et al.</w:t>
      </w:r>
      <w:r>
        <w:t xml:space="preserve">,</w:t>
      </w:r>
      <w:r>
        <w:t xml:space="preserve"> </w:t>
      </w:r>
      <w:r>
        <w:t xml:space="preserve">“Low temperature synthesis of stable</w:t>
      </w:r>
      <w:r>
        <w:t xml:space="preserve"> </w:t>
      </w:r>
      <m:oMath>
        <m:r>
          <m:t>γ</m:t>
        </m:r>
      </m:oMath>
      <w:r>
        <w:t xml:space="preserve">-CsPbI3 perovskite layers for solar cells obtained by high-throughput experimentation,”</w:t>
      </w:r>
      <w:r>
        <w:t xml:space="preserve"> </w:t>
      </w:r>
      <w:r>
        <w:rPr>
          <w:i/>
          <w:iCs/>
        </w:rPr>
        <w:t xml:space="preserve">Advanced Energy Materials</w:t>
      </w:r>
      <w:r>
        <w:t xml:space="preserve">, vol. 9, p. 1900555, 2019.</w:t>
      </w:r>
    </w:p>
    <w:bookmarkEnd w:id="105"/>
    <w:bookmarkStart w:id="106" w:name="ref-Luo2016"/>
    <w:p>
      <w:pPr>
        <w:pStyle w:val="Bibliography"/>
      </w:pPr>
      <w:r>
        <w:t xml:space="preserve">[17]</w:t>
      </w:r>
      <w:r>
        <w:t xml:space="preserve"> </w:t>
      </w:r>
      <w:r>
        <w:t xml:space="preserve">	</w:t>
      </w:r>
      <w:r>
        <w:t xml:space="preserve">P. Luo</w:t>
      </w:r>
      <w:r>
        <w:t xml:space="preserve"> </w:t>
      </w:r>
      <w:r>
        <w:rPr>
          <w:i/>
          <w:iCs/>
        </w:rPr>
        <w:t xml:space="preserve">et al.</w:t>
      </w:r>
      <w:r>
        <w:t xml:space="preserve">,</w:t>
      </w:r>
      <w:r>
        <w:t xml:space="preserve"> </w:t>
      </w:r>
      <w:r>
        <w:t xml:space="preserve">“Solvent engineering for ambient-air-processed phase-stable CsPbI3 in perovskite solar cells,”</w:t>
      </w:r>
      <w:r>
        <w:t xml:space="preserve"> </w:t>
      </w:r>
      <w:r>
        <w:rPr>
          <w:i/>
          <w:iCs/>
        </w:rPr>
        <w:t xml:space="preserve">Journal of Physical Chemistry Letters</w:t>
      </w:r>
      <w:r>
        <w:t xml:space="preserve">, vol. 7, pp. 3603–3608, 2016.</w:t>
      </w:r>
    </w:p>
    <w:bookmarkEnd w:id="106"/>
    <w:bookmarkStart w:id="107" w:name="ref-Ke2018"/>
    <w:p>
      <w:pPr>
        <w:pStyle w:val="Bibliography"/>
      </w:pPr>
      <w:r>
        <w:t xml:space="preserve">[18]</w:t>
      </w:r>
      <w:r>
        <w:t xml:space="preserve"> </w:t>
      </w:r>
      <w:r>
        <w:t xml:space="preserve">	</w:t>
      </w:r>
      <w:r>
        <w:t xml:space="preserve">W. Ke, I. Spanopoulos, C. C. Stoumpos, and M. G. Kanatzidis,</w:t>
      </w:r>
      <w:r>
        <w:t xml:space="preserve"> </w:t>
      </w:r>
      <w:r>
        <w:t xml:space="preserve">“Myths and reality of HPbI3 in halide perovskite solar cells,”</w:t>
      </w:r>
      <w:r>
        <w:t xml:space="preserve"> </w:t>
      </w:r>
      <w:r>
        <w:rPr>
          <w:i/>
          <w:iCs/>
        </w:rPr>
        <w:t xml:space="preserve">Nature Communications</w:t>
      </w:r>
      <w:r>
        <w:t xml:space="preserve">, vol. 9, p. 4785, 2018.</w:t>
      </w:r>
    </w:p>
    <w:bookmarkEnd w:id="107"/>
    <w:bookmarkStart w:id="108" w:name="ref-Xiang2018"/>
    <w:p>
      <w:pPr>
        <w:pStyle w:val="Bibliography"/>
      </w:pPr>
      <w:r>
        <w:t xml:space="preserve">[19]</w:t>
      </w:r>
      <w:r>
        <w:t xml:space="preserve"> </w:t>
      </w:r>
      <w:r>
        <w:t xml:space="preserve">	</w:t>
      </w:r>
      <w:r>
        <w:t xml:space="preserve">S. Xiang</w:t>
      </w:r>
      <w:r>
        <w:t xml:space="preserve"> </w:t>
      </w:r>
      <w:r>
        <w:rPr>
          <w:i/>
          <w:iCs/>
        </w:rPr>
        <w:t xml:space="preserve">et al.</w:t>
      </w:r>
      <w:r>
        <w:t xml:space="preserve">,</w:t>
      </w:r>
      <w:r>
        <w:t xml:space="preserve"> </w:t>
      </w:r>
      <w:r>
        <w:t xml:space="preserve">“Highly air-stable carbon-based</w:t>
      </w:r>
      <w:r>
        <w:t xml:space="preserve"> </w:t>
      </w:r>
      <m:oMath>
        <m:r>
          <m:t>α</m:t>
        </m:r>
      </m:oMath>
      <w:r>
        <w:t xml:space="preserve">-CsPbI3 perovskite solar cells with a steady-state efficiency of 9.5%,”</w:t>
      </w:r>
      <w:r>
        <w:t xml:space="preserve"> </w:t>
      </w:r>
      <w:r>
        <w:rPr>
          <w:i/>
          <w:iCs/>
        </w:rPr>
        <w:t xml:space="preserve">ACS Energy Letters</w:t>
      </w:r>
      <w:r>
        <w:t xml:space="preserve">, vol. 3, pp. 1824–1831, 2018.</w:t>
      </w:r>
    </w:p>
    <w:bookmarkEnd w:id="108"/>
    <w:bookmarkStart w:id="109" w:name="ref-Wang2019"/>
    <w:p>
      <w:pPr>
        <w:pStyle w:val="Bibliography"/>
      </w:pPr>
      <w:r>
        <w:t xml:space="preserve">[20]</w:t>
      </w:r>
      <w:r>
        <w:t xml:space="preserve"> </w:t>
      </w:r>
      <w:r>
        <w:t xml:space="preserve">	</w:t>
      </w:r>
      <w:r>
        <w:t xml:space="preserve">Y. Wang</w:t>
      </w:r>
      <w:r>
        <w:t xml:space="preserve"> </w:t>
      </w:r>
      <w:r>
        <w:rPr>
          <w:i/>
          <w:iCs/>
        </w:rPr>
        <w:t xml:space="preserve">et al.</w:t>
      </w:r>
      <w:r>
        <w:t xml:space="preserve">,</w:t>
      </w:r>
      <w:r>
        <w:t xml:space="preserve"> </w:t>
      </w:r>
      <w:r>
        <w:t xml:space="preserve">“Aziridinium lead iodide for efficient and stable CsPbI3 perovskite solar cells,”</w:t>
      </w:r>
      <w:r>
        <w:t xml:space="preserve"> </w:t>
      </w:r>
      <w:r>
        <w:rPr>
          <w:i/>
          <w:iCs/>
        </w:rPr>
        <w:t xml:space="preserve">Angewandte Chemie International Edition</w:t>
      </w:r>
      <w:r>
        <w:t xml:space="preserve">, vol. 58, pp. 16691–16696, 2019.</w:t>
      </w:r>
    </w:p>
    <w:bookmarkEnd w:id="109"/>
    <w:bookmarkStart w:id="110" w:name="ref-Ristiansyah2026"/>
    <w:p>
      <w:pPr>
        <w:pStyle w:val="Bibliography"/>
      </w:pPr>
      <w:r>
        <w:t xml:space="preserve">[21]</w:t>
      </w:r>
      <w:r>
        <w:t xml:space="preserve"> </w:t>
      </w:r>
      <w:r>
        <w:t xml:space="preserve">	</w:t>
      </w:r>
      <w:r>
        <w:t xml:space="preserve">M. K. Ristiansyah</w:t>
      </w:r>
      <w:r>
        <w:t xml:space="preserve"> </w:t>
      </w:r>
      <w:r>
        <w:rPr>
          <w:i/>
          <w:iCs/>
        </w:rPr>
        <w:t xml:space="preserve">et al.</w:t>
      </w:r>
      <w:r>
        <w:t xml:space="preserve">,</w:t>
      </w:r>
      <w:r>
        <w:t xml:space="preserve"> </w:t>
      </w:r>
      <w:r>
        <w:t xml:space="preserve">“Design and optimization of CsPbI3 perovskite solar cells using SCAPS-1D,”</w:t>
      </w:r>
      <w:r>
        <w:t xml:space="preserve"> </w:t>
      </w:r>
      <w:r>
        <w:rPr>
          <w:i/>
          <w:iCs/>
        </w:rPr>
        <w:t xml:space="preserve">Greensusmater</w:t>
      </w:r>
      <w:r>
        <w:t xml:space="preserve">, 2026.</w:t>
      </w:r>
    </w:p>
    <w:bookmarkEnd w:id="110"/>
    <w:bookmarkStart w:id="111" w:name="ref-Son2024"/>
    <w:p>
      <w:pPr>
        <w:pStyle w:val="Bibliography"/>
      </w:pPr>
      <w:r>
        <w:t xml:space="preserve">[22]</w:t>
      </w:r>
      <w:r>
        <w:t xml:space="preserve"> </w:t>
      </w:r>
      <w:r>
        <w:t xml:space="preserve">	</w:t>
      </w:r>
      <w:r>
        <w:t xml:space="preserve">C. Son, H. Son, and B.-S. Jeong,</w:t>
      </w:r>
      <w:r>
        <w:t xml:space="preserve"> </w:t>
      </w:r>
      <w:r>
        <w:t xml:space="preserve">“Enhanced conversion efficiency in MAPbI3 perovskite solar cells through parameters optimization via SCAPS-1D simulation,”</w:t>
      </w:r>
      <w:r>
        <w:t xml:space="preserve"> </w:t>
      </w:r>
      <w:r>
        <w:rPr>
          <w:i/>
          <w:iCs/>
        </w:rPr>
        <w:t xml:space="preserve">Applied Sciences</w:t>
      </w:r>
      <w:r>
        <w:t xml:space="preserve">, vol. 14, p. 2390, 2024.</w:t>
      </w:r>
    </w:p>
    <w:bookmarkEnd w:id="111"/>
    <w:bookmarkStart w:id="112" w:name="ref-Ritu2024"/>
    <w:p>
      <w:pPr>
        <w:pStyle w:val="Bibliography"/>
      </w:pPr>
      <w:r>
        <w:t xml:space="preserve">[23]</w:t>
      </w:r>
      <w:r>
        <w:t xml:space="preserve"> </w:t>
      </w:r>
      <w:r>
        <w:t xml:space="preserve">	</w:t>
      </w:r>
      <w:r>
        <w:t xml:space="preserve">R. Ritu, G. Gagandeep, R. Kumar, and F. Chand,</w:t>
      </w:r>
      <w:r>
        <w:t xml:space="preserve"> </w:t>
      </w:r>
      <w:r>
        <w:t xml:space="preserve">“Performance optimization of FAPbI3 based perovskite solar cell,”</w:t>
      </w:r>
      <w:r>
        <w:t xml:space="preserve"> </w:t>
      </w:r>
      <w:r>
        <w:rPr>
          <w:i/>
          <w:iCs/>
        </w:rPr>
        <w:t xml:space="preserve">AIP Conference Proceedings</w:t>
      </w:r>
      <w:r>
        <w:t xml:space="preserve">, vol. 2995, p. 020142, 2024.</w:t>
      </w:r>
    </w:p>
    <w:bookmarkEnd w:id="112"/>
    <w:bookmarkStart w:id="113" w:name="ref-MASnI3ML2026"/>
    <w:p>
      <w:pPr>
        <w:pStyle w:val="Bibliography"/>
      </w:pPr>
      <w:r>
        <w:t xml:space="preserve">[24]</w:t>
      </w:r>
      <w:r>
        <w:t xml:space="preserve"> </w:t>
      </w:r>
      <w:r>
        <w:t xml:space="preserve">	</w:t>
      </w:r>
      <w:r>
        <w:t xml:space="preserve">M. A. Rahman and M. J. Alam,</w:t>
      </w:r>
      <w:r>
        <w:t xml:space="preserve"> </w:t>
      </w:r>
      <w:r>
        <w:t xml:space="preserve">“Machine learning-guided SCAPS-1D design of lead-free CH3NH3SnI3 perovskite solar cells with 40.17% simulated PCE,”</w:t>
      </w:r>
      <w:r>
        <w:t xml:space="preserve"> </w:t>
      </w:r>
      <w:r>
        <w:rPr>
          <w:i/>
          <w:iCs/>
        </w:rPr>
        <w:t xml:space="preserve">Journal of Materials Science: Materials in Engineering</w:t>
      </w:r>
      <w:r>
        <w:t xml:space="preserve">, 2026.</w:t>
      </w:r>
    </w:p>
    <w:bookmarkEnd w:id="113"/>
    <w:bookmarkStart w:id="114" w:name="ref-SQ1961"/>
    <w:p>
      <w:pPr>
        <w:pStyle w:val="Bibliography"/>
      </w:pPr>
      <w:r>
        <w:t xml:space="preserve">[25]</w:t>
      </w:r>
      <w:r>
        <w:t xml:space="preserve"> </w:t>
      </w:r>
      <w:r>
        <w:t xml:space="preserve">	</w:t>
      </w:r>
      <w:r>
        <w:t xml:space="preserve">W. Shockley and H. J. Queisser,</w:t>
      </w:r>
      <w:r>
        <w:t xml:space="preserve"> </w:t>
      </w:r>
      <w:r>
        <w:t xml:space="preserve">“Detailed balance limit of efficiency of p-n junction solar cells,”</w:t>
      </w:r>
      <w:r>
        <w:t xml:space="preserve"> </w:t>
      </w:r>
      <w:r>
        <w:rPr>
          <w:i/>
          <w:iCs/>
        </w:rPr>
        <w:t xml:space="preserve">Journal of Applied Physics</w:t>
      </w:r>
      <w:r>
        <w:t xml:space="preserve">, vol. 32, pp. 510–519, 1961.</w:t>
      </w:r>
    </w:p>
    <w:bookmarkEnd w:id="114"/>
    <w:bookmarkStart w:id="115" w:name="ref-Khattak2019"/>
    <w:p>
      <w:pPr>
        <w:pStyle w:val="Bibliography"/>
      </w:pPr>
      <w:r>
        <w:t xml:space="preserve">[26]</w:t>
      </w:r>
      <w:r>
        <w:t xml:space="preserve"> </w:t>
      </w:r>
      <w:r>
        <w:t xml:space="preserve">	</w:t>
      </w:r>
      <w:r>
        <w:t xml:space="preserve">Y. H. Khattak,</w:t>
      </w:r>
      <w:r>
        <w:t xml:space="preserve"> </w:t>
      </w:r>
      <w:r>
        <w:t xml:space="preserve">“Modeling of high power conversion efficiency thin film solar cells,”</w:t>
      </w:r>
      <w:r>
        <w:t xml:space="preserve"> </w:t>
      </w:r>
      <w:r>
        <w:t xml:space="preserve">PhD thesis, Universitat Politecnica de Valencia, 2019.</w:t>
      </w:r>
    </w:p>
    <w:bookmarkEnd w:id="115"/>
    <w:bookmarkStart w:id="116" w:name="ref-BurgelmanSCAPS"/>
    <w:p>
      <w:pPr>
        <w:pStyle w:val="Bibliography"/>
      </w:pPr>
      <w:r>
        <w:t xml:space="preserve">[27]</w:t>
      </w:r>
      <w:r>
        <w:t xml:space="preserve"> </w:t>
      </w:r>
      <w:r>
        <w:t xml:space="preserve">	</w:t>
      </w:r>
      <w:r>
        <w:t xml:space="preserve">M. Burgelman, K. Decock, A. Niemegeers, J. Verschraegen, and S. Degrave,</w:t>
      </w:r>
      <w:r>
        <w:t xml:space="preserve"> </w:t>
      </w:r>
      <w:r>
        <w:t xml:space="preserve">“SCAPS-1D solar cell capacitance simulator (version 3.3.10),”</w:t>
      </w:r>
      <w:r>
        <w:t xml:space="preserve"> </w:t>
      </w:r>
      <w:r>
        <w:rPr>
          <w:i/>
          <w:iCs/>
        </w:rPr>
        <w:t xml:space="preserve">University of Gent</w:t>
      </w:r>
      <w:r>
        <w:t xml:space="preserve">. 2021.</w:t>
      </w:r>
    </w:p>
    <w:bookmarkEnd w:id="116"/>
    <w:bookmarkStart w:id="117" w:name="ref-Raoui2019"/>
    <w:p>
      <w:pPr>
        <w:pStyle w:val="Bibliography"/>
      </w:pPr>
      <w:r>
        <w:t xml:space="preserve">[28]</w:t>
      </w:r>
      <w:r>
        <w:t xml:space="preserve"> </w:t>
      </w:r>
      <w:r>
        <w:t xml:space="preserve">	</w:t>
      </w:r>
      <w:r>
        <w:t xml:space="preserve">Y. Raoui, H. Ez-Zahraouy, N. Tahiri, O. El Bounagui, S. Ahmad, and S. Kazim,</w:t>
      </w:r>
      <w:r>
        <w:t xml:space="preserve"> </w:t>
      </w:r>
      <w:r>
        <w:t xml:space="preserve">“Performance analysis of MAPbI3 based perovskite solar cells employing diverse charge selective contacts: Simulation study,”</w:t>
      </w:r>
      <w:r>
        <w:t xml:space="preserve"> </w:t>
      </w:r>
      <w:r>
        <w:rPr>
          <w:i/>
          <w:iCs/>
        </w:rPr>
        <w:t xml:space="preserve">Solar Energy</w:t>
      </w:r>
      <w:r>
        <w:t xml:space="preserve">, vol. 193, pp. 948–955, 2019.</w:t>
      </w:r>
    </w:p>
    <w:bookmarkEnd w:id="117"/>
    <w:bookmarkStart w:id="118" w:name="ref-Li2018"/>
    <w:p>
      <w:pPr>
        <w:pStyle w:val="Bibliography"/>
      </w:pPr>
      <w:r>
        <w:t xml:space="preserve">[29]</w:t>
      </w:r>
      <w:r>
        <w:t xml:space="preserve"> </w:t>
      </w:r>
      <w:r>
        <w:t xml:space="preserve">	</w:t>
      </w:r>
      <w:r>
        <w:t xml:space="preserve">B. Li</w:t>
      </w:r>
      <w:r>
        <w:t xml:space="preserve"> </w:t>
      </w:r>
      <w:r>
        <w:rPr>
          <w:i/>
          <w:iCs/>
        </w:rPr>
        <w:t xml:space="preserve">et al.</w:t>
      </w:r>
      <w:r>
        <w:t xml:space="preserve">,</w:t>
      </w:r>
      <w:r>
        <w:t xml:space="preserve"> </w:t>
      </w:r>
      <w:r>
        <w:t xml:space="preserve">“Surface passivation engineering toward high efficiency perovskite solar cells,”</w:t>
      </w:r>
      <w:r>
        <w:t xml:space="preserve"> </w:t>
      </w:r>
      <w:r>
        <w:rPr>
          <w:i/>
          <w:iCs/>
        </w:rPr>
        <w:t xml:space="preserve">Nature Communications</w:t>
      </w:r>
      <w:r>
        <w:t xml:space="preserve">, vol. 9, p. 1076, 2018.</w:t>
      </w:r>
    </w:p>
    <w:bookmarkEnd w:id="118"/>
    <w:bookmarkStart w:id="119" w:name="ref-Lei2025"/>
    <w:p>
      <w:pPr>
        <w:pStyle w:val="Bibliography"/>
      </w:pPr>
      <w:r>
        <w:t xml:space="preserve">[30]</w:t>
      </w:r>
      <w:r>
        <w:t xml:space="preserve"> </w:t>
      </w:r>
      <w:r>
        <w:t xml:space="preserve">	</w:t>
      </w:r>
      <w:r>
        <w:t xml:space="preserve">H. Lei</w:t>
      </w:r>
      <w:r>
        <w:t xml:space="preserve"> </w:t>
      </w:r>
      <w:r>
        <w:rPr>
          <w:i/>
          <w:iCs/>
        </w:rPr>
        <w:t xml:space="preserve">et al.</w:t>
      </w:r>
      <w:r>
        <w:t xml:space="preserve">,</w:t>
      </w:r>
      <w:r>
        <w:t xml:space="preserve"> </w:t>
      </w:r>
      <w:r>
        <w:t xml:space="preserve">“Thiocarboxylate-mediated defect suppression and I2 scavenging: Achieving 22.16% efficient and stable CsPbI3 perovskite solar cells,”</w:t>
      </w:r>
      <w:r>
        <w:t xml:space="preserve"> </w:t>
      </w:r>
      <w:r>
        <w:rPr>
          <w:i/>
          <w:iCs/>
        </w:rPr>
        <w:t xml:space="preserve">Advanced Materials</w:t>
      </w:r>
      <w:r>
        <w:t xml:space="preserve">, vol. 38, p. e12308, 2025.</w:t>
      </w:r>
    </w:p>
    <w:bookmarkEnd w:id="119"/>
    <w:bookmarkStart w:id="120" w:name="ref-XuQD2026"/>
    <w:p>
      <w:pPr>
        <w:pStyle w:val="Bibliography"/>
      </w:pPr>
      <w:r>
        <w:t xml:space="preserve">[31]</w:t>
      </w:r>
      <w:r>
        <w:t xml:space="preserve"> </w:t>
      </w:r>
      <w:r>
        <w:t xml:space="preserve">	</w:t>
      </w:r>
      <w:r>
        <w:t xml:space="preserve">D. Xu</w:t>
      </w:r>
      <w:r>
        <w:t xml:space="preserve"> </w:t>
      </w:r>
      <w:r>
        <w:rPr>
          <w:i/>
          <w:iCs/>
        </w:rPr>
        <w:t xml:space="preserve">et al.</w:t>
      </w:r>
      <w:r>
        <w:t xml:space="preserve">,</w:t>
      </w:r>
      <w:r>
        <w:t xml:space="preserve"> </w:t>
      </w:r>
      <w:r>
        <w:t xml:space="preserve">“Exciton-photon critical coupling in size-tailored quantum dots enables</w:t>
      </w:r>
      <w:r>
        <w:t xml:space="preserve"> </w:t>
      </w:r>
      <m:oMath>
        <m:r>
          <m:rPr>
            <m:sty m:val="p"/>
          </m:rPr>
          <m:t>&gt;</m:t>
        </m:r>
      </m:oMath>
      <w:r>
        <w:t xml:space="preserve">22% efficient and stable inverted CsPbI3 solar cells,”</w:t>
      </w:r>
      <w:r>
        <w:t xml:space="preserve"> </w:t>
      </w:r>
      <w:r>
        <w:rPr>
          <w:i/>
          <w:iCs/>
        </w:rPr>
        <w:t xml:space="preserve">Advanced Materials</w:t>
      </w:r>
      <w:r>
        <w:t xml:space="preserve">, 2026.</w:t>
      </w:r>
    </w:p>
    <w:bookmarkEnd w:id="120"/>
    <w:bookmarkStart w:id="122" w:name="ref-LiCarbon2026"/>
    <w:p>
      <w:pPr>
        <w:pStyle w:val="Bibliography"/>
      </w:pPr>
      <w:r>
        <w:t xml:space="preserve">[32]</w:t>
      </w:r>
      <w:r>
        <w:t xml:space="preserve"> </w:t>
      </w:r>
      <w:r>
        <w:t xml:space="preserve">	</w:t>
      </w:r>
      <w:r>
        <w:t xml:space="preserve">G. Li</w:t>
      </w:r>
      <w:r>
        <w:t xml:space="preserve"> </w:t>
      </w:r>
      <w:r>
        <w:rPr>
          <w:i/>
          <w:iCs/>
        </w:rPr>
        <w:t xml:space="preserve">et al.</w:t>
      </w:r>
      <w:r>
        <w:t xml:space="preserve">,</w:t>
      </w:r>
      <w:r>
        <w:t xml:space="preserve"> </w:t>
      </w:r>
      <w:r>
        <w:t xml:space="preserve">“Directing intermediate phase crystallographic orientation promotes carbon-based CsPbI3 perovskite solar cells to beyond 20% efficiency,”</w:t>
      </w:r>
      <w:r>
        <w:t xml:space="preserve"> </w:t>
      </w:r>
      <w:r>
        <w:rPr>
          <w:i/>
          <w:iCs/>
        </w:rPr>
        <w:t xml:space="preserve">Nature Communications</w:t>
      </w:r>
      <w:r>
        <w:t xml:space="preserve">, 2026, doi:</w:t>
      </w:r>
      <w:r>
        <w:t xml:space="preserve"> </w:t>
      </w:r>
      <w:hyperlink r:id="rId121">
        <w:r>
          <w:rPr>
            <w:rStyle w:val="Hyperlink"/>
          </w:rPr>
          <w:t xml:space="preserve">10.1038/s41467-026-73709-6</w:t>
        </w:r>
      </w:hyperlink>
      <w:r>
        <w:t xml:space="preserve">.</w:t>
      </w:r>
    </w:p>
    <w:bookmarkEnd w:id="122"/>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Department of EEE, Leading University, Sylhet-3112, Bangladesh. E-mail: touhidsiddiqueeraj@gmail.com, mdabdulmalekfahim@gmail.com.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19" Type="http://schemas.openxmlformats.org/officeDocument/2006/relationships/image" Target="media/rId19.png"/><Relationship Id="rId36" Type="http://schemas.openxmlformats.org/officeDocument/2006/relationships/image" Target="media/rId36.png"/><Relationship Id="rId52" Type="http://schemas.openxmlformats.org/officeDocument/2006/relationships/image" Target="media/rId52.png"/><Relationship Id="rId31" Type="http://schemas.openxmlformats.org/officeDocument/2006/relationships/image" Target="media/rId31.png"/><Relationship Id="rId59" Type="http://schemas.openxmlformats.org/officeDocument/2006/relationships/image" Target="media/rId59.png"/><Relationship Id="rId26" Type="http://schemas.openxmlformats.org/officeDocument/2006/relationships/image" Target="media/rId26.png"/><Relationship Id="rId69" Type="http://schemas.openxmlformats.org/officeDocument/2006/relationships/image" Target="media/rId69.png"/><Relationship Id="rId11" Type="http://schemas.openxmlformats.org/officeDocument/2006/relationships/image" Target="media/rId11.png"/><Relationship Id="rId90" Type="http://schemas.openxmlformats.org/officeDocument/2006/relationships/hyperlink" Target="https://doi.org/10.1016/j.joule.2026.102319" TargetMode="External"/><Relationship Id="rId121" Type="http://schemas.openxmlformats.org/officeDocument/2006/relationships/hyperlink" Target="https://doi.org/10.1038/s41467-026-73709-6" TargetMode="External"/><Relationship Id="rId92" Type="http://schemas.openxmlformats.org/officeDocument/2006/relationships/hyperlink" Target="https://doi.org/10.1039/d2nj06206b" TargetMode="External"/><Relationship Id="rId97" Type="http://schemas.openxmlformats.org/officeDocument/2006/relationships/hyperlink" Target="https://doi.org/10.3390/cryst16050310" TargetMode="External"/><Relationship Id="rId80" Type="http://schemas.openxmlformats.org/officeDocument/2006/relationships/hyperlink" Target="https://github.com/touhidsiddiqueeraj-bit/cspbi3-cbts-guardrailed" TargetMode="External"/></Relationships>
</file>

<file path=word/_rels/footnotes.xml.rels><?xml version='1.0' encoding='UTF-8' standalone='yes'?>
<Relationships xmlns="http://schemas.openxmlformats.org/package/2006/relationships"><Relationship Id="rId90" Type="http://schemas.openxmlformats.org/officeDocument/2006/relationships/hyperlink" Target="https://doi.org/10.1016/j.joule.2026.102319" TargetMode="External"/><Relationship Id="rId121" Type="http://schemas.openxmlformats.org/officeDocument/2006/relationships/hyperlink" Target="https://doi.org/10.1038/s41467-026-73709-6" TargetMode="External"/><Relationship Id="rId92" Type="http://schemas.openxmlformats.org/officeDocument/2006/relationships/hyperlink" Target="https://doi.org/10.1039/d2nj06206b" TargetMode="External"/><Relationship Id="rId97" Type="http://schemas.openxmlformats.org/officeDocument/2006/relationships/hyperlink" Target="https://doi.org/10.3390/cryst16050310" TargetMode="External"/><Relationship Id="rId80" Type="http://schemas.openxmlformats.org/officeDocument/2006/relationships/hyperlink" Target="https://github.com/touhidsiddiqueeraj-bit/cspbi3-cbts-guardrail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Guardrails for the Record Race: What a CsPbI3 Cell Can Honestly Claim (24.9% \rightarrow 20.8%)</dc:title>
  <dc:creator>Hussain Touhid Siddiquee; Md. Abdul Malek Fahim</dc:creator>
  <cp:keywords/>
  <dcterms:created xsi:type="dcterms:W3CDTF">2026-10-06T06:34:43Z</dcterms:created>
  <dcterms:modified xsi:type="dcterms:W3CDTF">2026-10-06T06:34:43Z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/home/touhid/Documents/leadpaper/manuscript/references.bib</vt:lpwstr>
  </property>
  <property fmtid="{D5CDD505-2E9C-101B-9397-08002B2CF9AE}" pid="3" name="csl">
    <vt:lpwstr>/tmp/ieee.csl</vt:lpwstr>
  </property>
  <property fmtid="{D5CDD505-2E9C-101B-9397-08002B2CF9AE}" pid="4" name="date">
    <vt:lpwstr/>
  </property>
</Properties>
</file>