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i/>
          <w:color w:val="555555"/>
          <w:sz w:val="14"/>
        </w:rPr>
        <w:t>2026 IEEE 12th International Conference on Biomedical Engineering and Health Informatics (BMEHI) — TinyML Track</w:t>
      </w:r>
    </w:p>
    <w:p>
      <w:pPr>
        <w:spacing w:before="140" w:after="40"/>
        <w:jc w:val="center"/>
      </w:pPr>
      <w:r>
        <w:rPr>
          <w:rFonts w:ascii="Times New Roman" w:hAnsi="Times New Roman"/>
          <w:b/>
          <w:color w:val="0F1E3A"/>
          <w:sz w:val="28"/>
        </w:rPr>
        <w:t>Patient-Independent TinyML ECG Classification:</w:t>
        <w:br/>
        <w:t>Generalization, Robustness, Quantization, and ESP32-S3 Deployment Trade-offs</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tcBorders>
              <w:top w:val="nil" w:sz="0" w:space="0" w:color="auto"/>
              <w:left w:val="nil" w:sz="0" w:space="0" w:color="auto"/>
              <w:bottom w:val="nil" w:sz="0" w:space="0" w:color="auto"/>
              <w:right w:val="nil" w:sz="0" w:space="0" w:color="auto"/>
              <w:insideH w:val="nil" w:sz="0" w:space="0" w:color="auto"/>
              <w:insideV w:val="nil" w:sz="0" w:space="0" w:color="auto"/>
            </w:tcBorders>
          </w:tcPr>
          <w:p>
            <w:pPr>
              <w:jc w:val="center"/>
            </w:pPr>
            <w:r>
              <w:rPr>
                <w:rFonts w:ascii="Times New Roman" w:hAnsi="Times New Roman"/>
                <w:b/>
                <w:sz w:val="17"/>
              </w:rPr>
              <w:t>Md. Touhidul Islam</w:t>
            </w:r>
          </w:p>
          <w:p>
            <w:pPr>
              <w:spacing w:before="20"/>
              <w:jc w:val="center"/>
            </w:pPr>
            <w:r>
              <w:rPr>
                <w:rFonts w:ascii="Times New Roman" w:hAnsi="Times New Roman"/>
                <w:i/>
                <w:sz w:val="14"/>
              </w:rPr>
              <w:t>Dept. of EEE, BRAC University, Dhaka, Bangladesh</w:t>
            </w:r>
          </w:p>
          <w:p>
            <w:pPr>
              <w:jc w:val="center"/>
            </w:pPr>
            <w:r>
              <w:rPr>
                <w:rFonts w:ascii="Times New Roman" w:hAnsi="Times New Roman"/>
                <w:color w:val="1A4A8A"/>
                <w:sz w:val="14"/>
              </w:rPr>
              <w:t>touhid@heartlens.ai</w:t>
            </w:r>
          </w:p>
        </w:tc>
        <w:tc>
          <w:tcPr>
            <w:tcW w:type="dxa" w:w="2592"/>
            <w:vAlign w:val="center"/>
            <w:tcBorders>
              <w:top w:val="nil" w:sz="0" w:space="0" w:color="auto"/>
              <w:left w:val="nil" w:sz="0" w:space="0" w:color="auto"/>
              <w:bottom w:val="nil" w:sz="0" w:space="0" w:color="auto"/>
              <w:right w:val="nil" w:sz="0" w:space="0" w:color="auto"/>
              <w:insideH w:val="nil" w:sz="0" w:space="0" w:color="auto"/>
              <w:insideV w:val="nil" w:sz="0" w:space="0" w:color="auto"/>
            </w:tcBorders>
          </w:tcPr>
          <w:p>
            <w:pPr>
              <w:jc w:val="center"/>
            </w:pPr>
            <w:r>
              <w:rPr>
                <w:rFonts w:ascii="Times New Roman" w:hAnsi="Times New Roman"/>
                <w:b/>
                <w:sz w:val="17"/>
              </w:rPr>
              <w:t>Co-Author 2</w:t>
            </w:r>
          </w:p>
          <w:p>
            <w:pPr>
              <w:spacing w:before="20"/>
              <w:jc w:val="center"/>
            </w:pPr>
            <w:r>
              <w:rPr>
                <w:rFonts w:ascii="Times New Roman" w:hAnsi="Times New Roman"/>
                <w:i/>
                <w:sz w:val="14"/>
              </w:rPr>
              <w:t>Dept. of EEE, BRAC University, Dhaka, Bangladesh</w:t>
            </w:r>
          </w:p>
          <w:p>
            <w:pPr>
              <w:jc w:val="center"/>
            </w:pPr>
            <w:r>
              <w:rPr>
                <w:rFonts w:ascii="Times New Roman" w:hAnsi="Times New Roman"/>
                <w:color w:val="1A4A8A"/>
                <w:sz w:val="14"/>
              </w:rPr>
              <w:t>author2@bracu.ac.bd</w:t>
            </w:r>
          </w:p>
        </w:tc>
        <w:tc>
          <w:tcPr>
            <w:tcW w:type="dxa" w:w="2592"/>
            <w:vAlign w:val="center"/>
            <w:tcBorders>
              <w:top w:val="nil" w:sz="0" w:space="0" w:color="auto"/>
              <w:left w:val="nil" w:sz="0" w:space="0" w:color="auto"/>
              <w:bottom w:val="nil" w:sz="0" w:space="0" w:color="auto"/>
              <w:right w:val="nil" w:sz="0" w:space="0" w:color="auto"/>
              <w:insideH w:val="nil" w:sz="0" w:space="0" w:color="auto"/>
              <w:insideV w:val="nil" w:sz="0" w:space="0" w:color="auto"/>
            </w:tcBorders>
          </w:tcPr>
          <w:p>
            <w:pPr>
              <w:jc w:val="center"/>
            </w:pPr>
            <w:r>
              <w:rPr>
                <w:rFonts w:ascii="Times New Roman" w:hAnsi="Times New Roman"/>
                <w:b/>
                <w:sz w:val="17"/>
              </w:rPr>
              <w:t>Co-Author 3</w:t>
            </w:r>
          </w:p>
          <w:p>
            <w:pPr>
              <w:spacing w:before="20"/>
              <w:jc w:val="center"/>
            </w:pPr>
            <w:r>
              <w:rPr>
                <w:rFonts w:ascii="Times New Roman" w:hAnsi="Times New Roman"/>
                <w:i/>
                <w:sz w:val="14"/>
              </w:rPr>
              <w:t>Dept. of CSE, BRAC University, Dhaka, Bangladesh</w:t>
            </w:r>
          </w:p>
          <w:p>
            <w:pPr>
              <w:jc w:val="center"/>
            </w:pPr>
            <w:r>
              <w:rPr>
                <w:rFonts w:ascii="Times New Roman" w:hAnsi="Times New Roman"/>
                <w:color w:val="1A4A8A"/>
                <w:sz w:val="14"/>
              </w:rPr>
              <w:t>author3@bracu.ac.bd</w:t>
            </w:r>
          </w:p>
        </w:tc>
        <w:tc>
          <w:tcPr>
            <w:tcW w:type="dxa" w:w="2592"/>
            <w:vAlign w:val="center"/>
            <w:tcBorders>
              <w:top w:val="nil" w:sz="0" w:space="0" w:color="auto"/>
              <w:left w:val="nil" w:sz="0" w:space="0" w:color="auto"/>
              <w:bottom w:val="nil" w:sz="0" w:space="0" w:color="auto"/>
              <w:right w:val="nil" w:sz="0" w:space="0" w:color="auto"/>
              <w:insideH w:val="nil" w:sz="0" w:space="0" w:color="auto"/>
              <w:insideV w:val="nil" w:sz="0" w:space="0" w:color="auto"/>
            </w:tcBorders>
          </w:tcPr>
          <w:p>
            <w:pPr>
              <w:jc w:val="center"/>
            </w:pPr>
            <w:r>
              <w:rPr>
                <w:rFonts w:ascii="Times New Roman" w:hAnsi="Times New Roman"/>
                <w:b/>
                <w:sz w:val="17"/>
              </w:rPr>
              <w:t>Supervisor Name</w:t>
            </w:r>
          </w:p>
          <w:p>
            <w:pPr>
              <w:spacing w:before="20"/>
              <w:jc w:val="center"/>
            </w:pPr>
            <w:r>
              <w:rPr>
                <w:rFonts w:ascii="Times New Roman" w:hAnsi="Times New Roman"/>
                <w:i/>
                <w:sz w:val="14"/>
              </w:rPr>
              <w:t>Dept. of EEE, BRAC University, Dhaka, Bangladesh</w:t>
            </w:r>
          </w:p>
          <w:p>
            <w:pPr>
              <w:jc w:val="center"/>
            </w:pPr>
            <w:r>
              <w:rPr>
                <w:rFonts w:ascii="Times New Roman" w:hAnsi="Times New Roman"/>
                <w:color w:val="1A4A8A"/>
                <w:sz w:val="14"/>
              </w:rPr>
              <w:t>supervisor@bracu.ac.bd</w:t>
            </w:r>
          </w:p>
        </w:tc>
      </w:tr>
    </w:tbl>
    <w:p>
      <w:pPr>
        <w:spacing w:before="120" w:after="20"/>
        <w:ind w:firstLine="0"/>
        <w:jc w:val="both"/>
      </w:pPr>
      <w:r>
        <w:rPr>
          <w:rFonts w:ascii="Times New Roman" w:hAnsi="Times New Roman"/>
          <w:b/>
          <w:i/>
          <w:sz w:val="18"/>
        </w:rPr>
        <w:t>Abstract—</w:t>
      </w:r>
      <w:r>
        <w:rPr>
          <w:rFonts w:ascii="Times New Roman" w:hAnsi="Times New Roman"/>
          <w:sz w:val="17"/>
        </w:rPr>
        <w:t xml:space="preserve"> Low-cost wearable ECG screening aims at early detection of abnormal rhythms on sub-$15 microcontrollers, but must balance accuracy, size and latency. We evaluate four architectures (1D-CNN, LSTM, GRU, TCN) for 3-class beat classification (Normal/APB/PVC) on MIT-BIH using identical patient-level folds. Five experiments cover patient-independent grouped CV (5×2), noise robustness (SNR 0–40 dB, 5 artifacts × 3 front-ends), external validation on SVDB (N/V-macro), paired FP32→INT8 quantization, and on-device measurement on ESP32-S3. APB remains the minority bottleneck (grouped-CV APB F1 0.14–0.28; single-split mitigation lifts CNN APB to 0.73). INT8 degrades macro by 0.21–0.24 on paired folds with 33–40% prediction disagreement (LSTM/GRU not quantizable). On ESP-NN-optimized kernels the same silicon classifies a 1-s window in 184 ms (CNN) / 293 ms (TCN)—inside the 500-ms hop that 50% window overlap imposes on streaming (hop-based RTF 0.38/0.60)—once the learned denoiser is replaced by a ~5 ms Butterworth; with the denoiser in-loop the pipeline sits at RTF 1.00/1.22, and float32 LSTM/GRU fail under either framing (≥1.55). Kernel optimization, not architecture, was the deployment bottleneck. Butterworth front-end (0 KB, ~5 ms) dominates the learned denoiser (19 KB, 315 ms on ESP-NN). All code, folds, and firmware benchmarks are released for full reproducibility.</w:t>
      </w:r>
    </w:p>
    <w:p>
      <w:pPr>
        <w:spacing w:before="40" w:after="40"/>
        <w:jc w:val="both"/>
      </w:pPr>
      <w:r>
        <w:rPr>
          <w:rFonts w:ascii="Times New Roman" w:hAnsi="Times New Roman"/>
          <w:b/>
          <w:i/>
          <w:sz w:val="17"/>
        </w:rPr>
        <w:t>Keywords—</w:t>
      </w:r>
      <w:r>
        <w:rPr>
          <w:rFonts w:ascii="Times New Roman" w:hAnsi="Times New Roman"/>
          <w:sz w:val="17"/>
        </w:rPr>
        <w:t xml:space="preserve"> TinyML, ECG classification, MIT-BIH, quantization, ESP32-S3, patient-independent generalization, noise robustness.</w:t>
      </w:r>
    </w:p>
    <w:p>
      <w:pPr>
        <w:spacing w:before="20" w:after="60"/>
        <w:pBdr>
          <w:bottom w:val="single" w:sz="4" w:space="1" w:color="2C3E50"/>
        </w:pBdr>
      </w:pPr>
    </w:p>
    <w:p>
      <w:pPr>
        <w:sectPr>
          <w:pgSz w:w="12240" w:h="15840"/>
          <w:pgMar w:top="1008" w:right="936" w:bottom="1008" w:left="936" w:header="432" w:footer="432" w:gutter="0"/>
          <w:cols w:space="720"/>
          <w:docGrid w:linePitch="360"/>
        </w:sectPr>
      </w:pPr>
    </w:p>
    <w:p>
      <w:pPr>
        <w:pStyle w:val="Heading1"/>
        <w:spacing w:before="120" w:after="60"/>
        <w:pBdr>
          <w:bottom w:val="single" w:sz="4" w:space="1" w:color="DCE6F0"/>
        </w:pBdr>
      </w:pPr>
      <w:r>
        <w:rPr>
          <w:rFonts w:ascii="Times New Roman" w:hAnsi="Times New Roman"/>
          <w:b/>
          <w:color w:val="0F1E3A"/>
          <w:sz w:val="20"/>
        </w:rPr>
        <w:t>I.    INTRODUCTION AND RELATED WORK</w:t>
      </w:r>
    </w:p>
    <w:p>
      <w:pPr>
        <w:spacing w:before="40" w:after="40" w:line="259" w:lineRule="auto"/>
        <w:ind w:firstLine="202"/>
        <w:jc w:val="both"/>
      </w:pPr>
      <w:r>
        <w:rPr>
          <w:rFonts w:ascii="Times New Roman" w:hAnsi="Times New Roman"/>
          <w:sz w:val="20"/>
        </w:rPr>
        <w:t xml:space="preserve">Abnormal rhythms such as atrial premature beats (APB) and premature ventricular contractions (PVC) are common, often asymptomatic, and frequently go undetected until a serious complication occurs. </w:t>
      </w:r>
      <w:r>
        <w:rPr>
          <w:rFonts w:ascii="Times New Roman" w:hAnsi="Times New Roman"/>
          <w:sz w:val="20"/>
        </w:rPr>
        <w:t xml:space="preserve">Single-lead wearable ECG could make routine screening accessible in low-resource settings, but economics gate practicality: </w:t>
      </w:r>
      <w:r>
        <w:rPr>
          <w:rFonts w:ascii="Times New Roman" w:hAnsi="Times New Roman"/>
          <w:sz w:val="20"/>
        </w:rPr>
        <w:t xml:space="preserve">ESP32-class microcontrollers cost a few dollars yet execute deep models under tight SRAM/flash and with quantized arithmetic. </w:t>
      </w:r>
      <w:r>
        <w:rPr>
          <w:rFonts w:ascii="Times New Roman" w:hAnsi="Times New Roman"/>
          <w:sz w:val="20"/>
        </w:rPr>
        <w:t>The promise of TinyML ECG is therefore not only offline accuracy but deployability—size, latency, and robustness on silicon.</w:t>
      </w:r>
    </w:p>
    <w:p>
      <w:pPr>
        <w:spacing w:after="60" w:line="259" w:lineRule="auto"/>
        <w:ind w:firstLine="202"/>
        <w:jc w:val="both"/>
      </w:pPr>
      <w:r>
        <w:rPr>
          <w:rFonts w:ascii="Times New Roman" w:hAnsi="Times New Roman"/>
          <w:sz w:val="20"/>
        </w:rPr>
        <w:t xml:space="preserve">Recent work demonstrates ECG classification on embedded targets, yet three gaps persist: </w:t>
      </w:r>
      <w:r>
        <w:rPr>
          <w:rFonts w:ascii="Times New Roman" w:hAnsi="Times New Roman"/>
          <w:b/>
          <w:sz w:val="20"/>
        </w:rPr>
        <w:t xml:space="preserve">(i) </w:t>
      </w:r>
      <w:r>
        <w:rPr>
          <w:rFonts w:ascii="Times New Roman" w:hAnsi="Times New Roman"/>
          <w:sz w:val="20"/>
        </w:rPr>
        <w:t xml:space="preserve">architectures are rarely compared on the same pipeline; </w:t>
      </w:r>
      <w:r>
        <w:rPr>
          <w:rFonts w:ascii="Times New Roman" w:hAnsi="Times New Roman"/>
          <w:b/>
          <w:sz w:val="20"/>
        </w:rPr>
        <w:t xml:space="preserve">(ii) </w:t>
      </w:r>
      <w:r>
        <w:rPr>
          <w:rFonts w:ascii="Times New Roman" w:hAnsi="Times New Roman"/>
          <w:sz w:val="20"/>
        </w:rPr>
        <w:t xml:space="preserve">quantization and latency are estimated rather than measured; </w:t>
      </w:r>
      <w:r>
        <w:rPr>
          <w:rFonts w:ascii="Times New Roman" w:hAnsi="Times New Roman"/>
          <w:b/>
          <w:sz w:val="20"/>
        </w:rPr>
        <w:t xml:space="preserve">(iii) </w:t>
      </w:r>
      <w:r>
        <w:rPr>
          <w:rFonts w:ascii="Times New Roman" w:hAnsi="Times New Roman"/>
          <w:sz w:val="20"/>
        </w:rPr>
        <w:t xml:space="preserve">inference is rarely verified on-device after quantization. </w:t>
      </w:r>
      <w:r>
        <w:rPr>
          <w:rFonts w:ascii="Times New Roman" w:hAnsi="Times New Roman"/>
          <w:sz w:val="20"/>
        </w:rPr>
        <w:t xml:space="preserve">We close all three: four architectures (1D-CNN, LSTM, GRU, TCN) on identical patient-level MIT-BIH splits across five experiments (§III details the protocol): </w:t>
      </w:r>
      <w:r>
        <w:rPr>
          <w:rFonts w:ascii="Times New Roman" w:hAnsi="Times New Roman"/>
          <w:b/>
          <w:sz w:val="20"/>
        </w:rPr>
        <w:t xml:space="preserve">E1 </w:t>
      </w:r>
      <w:r>
        <w:rPr>
          <w:rFonts w:ascii="Times New Roman" w:hAnsi="Times New Roman"/>
          <w:sz w:val="20"/>
        </w:rPr>
        <w:t xml:space="preserve">patient-independent grouped cross-validation, </w:t>
      </w:r>
      <w:r>
        <w:rPr>
          <w:rFonts w:ascii="Times New Roman" w:hAnsi="Times New Roman"/>
          <w:b/>
          <w:sz w:val="20"/>
        </w:rPr>
        <w:t xml:space="preserve">E2 </w:t>
      </w:r>
      <w:r>
        <w:rPr>
          <w:rFonts w:ascii="Times New Roman" w:hAnsi="Times New Roman"/>
          <w:sz w:val="20"/>
        </w:rPr>
        <w:t xml:space="preserve">noise robustness at SNR 0–40 dB across three front-ends, </w:t>
      </w:r>
      <w:r>
        <w:rPr>
          <w:rFonts w:ascii="Times New Roman" w:hAnsi="Times New Roman"/>
          <w:b/>
          <w:sz w:val="20"/>
        </w:rPr>
        <w:t xml:space="preserve">E3 </w:t>
      </w:r>
      <w:r>
        <w:rPr>
          <w:rFonts w:ascii="Times New Roman" w:hAnsi="Times New Roman"/>
          <w:sz w:val="20"/>
        </w:rPr>
        <w:t xml:space="preserve">external generalization to MIT-BIH SVDB, </w:t>
      </w:r>
      <w:r>
        <w:rPr>
          <w:rFonts w:ascii="Times New Roman" w:hAnsi="Times New Roman"/>
          <w:b/>
          <w:sz w:val="20"/>
        </w:rPr>
        <w:t xml:space="preserve">E4 </w:t>
      </w:r>
      <w:r>
        <w:rPr>
          <w:rFonts w:ascii="Times New Roman" w:hAnsi="Times New Roman"/>
          <w:sz w:val="20"/>
        </w:rPr>
        <w:t xml:space="preserve">paired FP32→INT8 quantization, and </w:t>
      </w:r>
      <w:r>
        <w:rPr>
          <w:rFonts w:ascii="Times New Roman" w:hAnsi="Times New Roman"/>
          <w:b/>
          <w:sz w:val="20"/>
        </w:rPr>
        <w:t xml:space="preserve">E5 </w:t>
      </w:r>
      <w:r>
        <w:rPr>
          <w:rFonts w:ascii="Times New Roman" w:hAnsi="Times New Roman"/>
          <w:sz w:val="20"/>
        </w:rPr>
        <w:t>measured memory, latency, and functional execution on ESP32-S3.</w:t>
      </w:r>
    </w:p>
    <w:p>
      <w:pPr>
        <w:spacing w:after="60" w:line="259" w:lineRule="auto"/>
        <w:ind w:firstLine="202"/>
        <w:jc w:val="both"/>
      </w:pPr>
      <w:r>
        <w:rPr>
          <w:rFonts w:ascii="Times New Roman" w:hAnsi="Times New Roman"/>
          <w:b/>
          <w:sz w:val="20"/>
        </w:rPr>
        <w:t xml:space="preserve">Contributions. </w:t>
      </w:r>
      <w:r>
        <w:rPr>
          <w:rFonts w:ascii="Times New Roman" w:hAnsi="Times New Roman"/>
          <w:sz w:val="20"/>
        </w:rPr>
        <w:t>(1) Apples-to-apples comparison of four families on frozen folds; (2) 5-artifact × 3-front-end × 7-SNR robustness matrix; (3) external SVDB validation with honest N/V-macro reporting; (4) paired quantization with prediction-disagreement analysis; (5) on-silicon latency/heap/arena measurement and identification of the bounded path to real time (Xtensa kernels).</w:t>
      </w:r>
    </w:p>
    <w:p>
      <w:pPr>
        <w:pStyle w:val="Heading2"/>
      </w:pPr>
      <w:r>
        <w:rPr>
          <w:rFonts w:ascii="Times New Roman" w:hAnsi="Times New Roman"/>
          <w:b/>
          <w:i/>
          <w:sz w:val="19"/>
        </w:rPr>
        <w:t>A.  Related Work</w:t>
      </w:r>
    </w:p>
    <w:p>
      <w:pPr>
        <w:spacing w:after="60" w:line="259" w:lineRule="auto"/>
        <w:ind w:firstLine="202"/>
        <w:jc w:val="both"/>
      </w:pPr>
      <w:r>
        <w:rPr>
          <w:rFonts w:ascii="Times New Roman" w:hAnsi="Times New Roman"/>
          <w:sz w:val="20"/>
        </w:rPr>
        <w:t xml:space="preserve">Beat-level ECG classification on MIT-BIH is mature; convolutional and recurrent models report high F1 for Normal and PVC, with APB consistently the minority-class difficulty </w:t>
      </w:r>
      <w:r>
        <w:rPr>
          <w:rFonts w:ascii="Times New Roman" w:hAnsi="Times New Roman"/>
          <w:sz w:val="20"/>
        </w:rPr>
        <w:t xml:space="preserve">[1]–[3]. </w:t>
      </w:r>
      <w:r>
        <w:rPr>
          <w:rFonts w:ascii="Times New Roman" w:hAnsi="Times New Roman"/>
          <w:i/>
          <w:sz w:val="20"/>
        </w:rPr>
        <w:t xml:space="preserve">Patient-specific 1-D CNNs </w:t>
      </w:r>
      <w:r>
        <w:rPr>
          <w:rFonts w:ascii="Times New Roman" w:hAnsi="Times New Roman"/>
          <w:sz w:val="20"/>
        </w:rPr>
        <w:t xml:space="preserve">[2] and large-corpus cardiologist-level models [4,5] (and 12-lead [6]) achieve ≥0.90 when patient overlap is allowed; surveys [7–9] confirm that atrial beats drive the error. </w:t>
      </w:r>
      <w:r>
        <w:rPr>
          <w:rFonts w:ascii="Times New Roman" w:hAnsi="Times New Roman"/>
          <w:sz w:val="20"/>
        </w:rPr>
        <w:t>These systems are almost always evaluated offline on the full recording, leaving the embedded question—quantized weights, INT8 arithmetic, SRAM arena, and on-silicon latency—only partially answered.</w:t>
      </w:r>
    </w:p>
    <w:p>
      <w:pPr>
        <w:spacing w:after="60" w:line="259" w:lineRule="auto"/>
        <w:ind w:firstLine="202"/>
        <w:jc w:val="both"/>
      </w:pPr>
      <w:r>
        <w:rPr>
          <w:rFonts w:ascii="Times New Roman" w:hAnsi="Times New Roman"/>
          <w:sz w:val="20"/>
        </w:rPr>
        <w:t xml:space="preserve">For deployment, integer-only quantization [10,11] and TensorFlow Lite Micro [12] make INT8 microcontrollers practical; TinyML design guidance [13] targets exactly the flash/SRAM budgets we report. </w:t>
      </w:r>
      <w:r>
        <w:rPr>
          <w:rFonts w:ascii="Times New Roman" w:hAnsi="Times New Roman"/>
          <w:sz w:val="20"/>
        </w:rPr>
        <w:t xml:space="preserve">Calibrated probabilities matter for thresholded decisions [14,15]; we use temperature scaling [14]. </w:t>
      </w:r>
      <w:r>
        <w:rPr>
          <w:rFonts w:ascii="Times New Roman" w:hAnsi="Times New Roman"/>
          <w:i/>
          <w:sz w:val="20"/>
        </w:rPr>
        <w:t xml:space="preserve">ESP32-class feasibility has been shown for a single CNN </w:t>
      </w:r>
      <w:r>
        <w:rPr>
          <w:rFonts w:ascii="Times New Roman" w:hAnsi="Times New Roman"/>
          <w:sz w:val="20"/>
        </w:rPr>
        <w:t>[16], but without the paired multi-architecture, artifact-stratified, and paired-quantization analysis offered here.</w:t>
      </w:r>
      <w:r>
        <w:rPr>
          <w:rFonts w:ascii="Times New Roman" w:hAnsi="Times New Roman"/>
          <w:sz w:val="20"/>
        </w:rPr>
        <w:t xml:space="preserve"> Rhythm-level AF detection uses longer windows and dedicated databases [17] and is intentionally out of scope.</w:t>
      </w:r>
    </w:p>
    <w:p>
      <w:pPr>
        <w:spacing w:after="60" w:line="259" w:lineRule="auto"/>
        <w:ind w:firstLine="202"/>
        <w:jc w:val="both"/>
      </w:pPr>
      <w:r>
        <w:rPr>
          <w:rFonts w:ascii="Times New Roman" w:hAnsi="Times New Roman"/>
          <w:b/>
          <w:sz w:val="20"/>
        </w:rPr>
        <w:t xml:space="preserve">Why patient-independent evaluation matters. </w:t>
      </w:r>
      <w:r>
        <w:rPr>
          <w:rFonts w:ascii="Times New Roman" w:hAnsi="Times New Roman"/>
          <w:sz w:val="20"/>
        </w:rPr>
        <w:t xml:space="preserve">Mixing beats from the same recording across train and test inflates scores because the model memorizes patient-specific morphology; </w:t>
      </w:r>
      <w:r>
        <w:rPr>
          <w:rFonts w:ascii="Times New Roman" w:hAnsi="Times New Roman"/>
          <w:sz w:val="20"/>
        </w:rPr>
        <w:t>grouped CV prevents this by keeping recordings disjoint, which is why our macros (0.53–0.62 across architectures) contrast with the ≥0.90 numbers reported under patient-specific splits—they measure memorization, we measure transfer to unseen patients [2,4,7].</w:t>
      </w:r>
    </w:p>
    <w:p>
      <w:pPr>
        <w:pStyle w:val="Caption"/>
        <w:spacing w:before="80" w:after="20"/>
        <w:jc w:val="center"/>
      </w:pPr>
      <w:r>
        <w:rPr>
          <w:rFonts w:ascii="Times New Roman" w:hAnsi="Times New Roman"/>
          <w:b/>
          <w:smallCaps/>
          <w:sz w:val="16"/>
        </w:rPr>
        <w:t>TABLE I: Prior-work gap: patient-independent CV, external, noise (5 artifacts × 3 front-ends), paired quant., measured S3 latency, calibration (ECE/NLL/Brier).</w:t>
      </w:r>
    </w:p>
    <w:tbl>
      <w:tblPr>
        <w:tblStyle w:val="LightGrid-Accent1"/>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96"/>
        <w:gridCol w:w="1296"/>
        <w:gridCol w:w="1296"/>
        <w:gridCol w:w="1296"/>
        <w:gridCol w:w="1296"/>
        <w:gridCol w:w="1296"/>
        <w:gridCol w:w="1296"/>
        <w:gridCol w:w="1296"/>
      </w:tblGrid>
      <w:tr>
        <w:tc>
          <w:tcPr>
            <w:tcW w:type="dxa" w:w="1141"/>
            <w:shd w:fill="E8EDF3" w:val="clear"/>
            <w:vAlign w:val="center"/>
          </w:tcPr>
          <w:p>
            <w:pPr>
              <w:spacing w:before="20" w:after="20"/>
              <w:jc w:val="center"/>
            </w:pPr>
            <w:r/>
            <w:r>
              <w:rPr>
                <w:rFonts w:ascii="Times New Roman" w:hAnsi="Times New Roman"/>
                <w:b/>
                <w:sz w:val="13"/>
              </w:rPr>
              <w:t>Work</w:t>
            </w:r>
          </w:p>
        </w:tc>
        <w:tc>
          <w:tcPr>
            <w:tcW w:type="dxa" w:w="519"/>
            <w:shd w:fill="E8EDF3" w:val="clear"/>
            <w:vAlign w:val="center"/>
          </w:tcPr>
          <w:p>
            <w:pPr>
              <w:spacing w:before="20" w:after="20"/>
              <w:jc w:val="center"/>
            </w:pPr>
            <w:r/>
            <w:r>
              <w:rPr>
                <w:rFonts w:ascii="Times New Roman" w:hAnsi="Times New Roman"/>
                <w:b/>
                <w:sz w:val="13"/>
              </w:rPr>
              <w:t>Pat-ind</w:t>
            </w:r>
          </w:p>
        </w:tc>
        <w:tc>
          <w:tcPr>
            <w:tcW w:type="dxa" w:w="415"/>
            <w:shd w:fill="E8EDF3" w:val="clear"/>
            <w:vAlign w:val="center"/>
          </w:tcPr>
          <w:p>
            <w:pPr>
              <w:spacing w:before="20" w:after="20"/>
              <w:jc w:val="center"/>
            </w:pPr>
            <w:r/>
            <w:r>
              <w:rPr>
                <w:rFonts w:ascii="Times New Roman" w:hAnsi="Times New Roman"/>
                <w:b/>
                <w:sz w:val="13"/>
              </w:rPr>
              <w:t>Ext.</w:t>
            </w:r>
          </w:p>
        </w:tc>
        <w:tc>
          <w:tcPr>
            <w:tcW w:type="dxa" w:w="571"/>
            <w:shd w:fill="E8EDF3" w:val="clear"/>
            <w:vAlign w:val="center"/>
          </w:tcPr>
          <w:p>
            <w:pPr>
              <w:spacing w:before="20" w:after="20"/>
              <w:jc w:val="center"/>
            </w:pPr>
            <w:r/>
            <w:r>
              <w:rPr>
                <w:rFonts w:ascii="Times New Roman" w:hAnsi="Times New Roman"/>
                <w:b/>
                <w:sz w:val="13"/>
              </w:rPr>
              <w:t>Noise</w:t>
            </w:r>
          </w:p>
        </w:tc>
        <w:tc>
          <w:tcPr>
            <w:tcW w:type="dxa" w:w="674"/>
            <w:shd w:fill="E8EDF3" w:val="clear"/>
            <w:vAlign w:val="center"/>
          </w:tcPr>
          <w:p>
            <w:pPr>
              <w:spacing w:before="20" w:after="20"/>
              <w:jc w:val="center"/>
            </w:pPr>
            <w:r/>
            <w:r>
              <w:rPr>
                <w:rFonts w:ascii="Times New Roman" w:hAnsi="Times New Roman"/>
                <w:b/>
                <w:sz w:val="13"/>
              </w:rPr>
              <w:t>Quant</w:t>
            </w:r>
          </w:p>
        </w:tc>
        <w:tc>
          <w:tcPr>
            <w:tcW w:type="dxa" w:w="467"/>
            <w:shd w:fill="E8EDF3" w:val="clear"/>
            <w:vAlign w:val="center"/>
          </w:tcPr>
          <w:p>
            <w:pPr>
              <w:spacing w:before="20" w:after="20"/>
              <w:jc w:val="center"/>
            </w:pPr>
            <w:r/>
            <w:r>
              <w:rPr>
                <w:rFonts w:ascii="Times New Roman" w:hAnsi="Times New Roman"/>
                <w:b/>
                <w:sz w:val="13"/>
              </w:rPr>
              <w:t>MCU</w:t>
            </w:r>
          </w:p>
        </w:tc>
        <w:tc>
          <w:tcPr>
            <w:tcW w:type="dxa" w:w="467"/>
            <w:shd w:fill="E8EDF3" w:val="clear"/>
            <w:vAlign w:val="center"/>
          </w:tcPr>
          <w:p>
            <w:pPr>
              <w:spacing w:before="20" w:after="20"/>
              <w:jc w:val="center"/>
            </w:pPr>
            <w:r/>
            <w:r>
              <w:rPr>
                <w:rFonts w:ascii="Times New Roman" w:hAnsi="Times New Roman"/>
                <w:b/>
                <w:sz w:val="13"/>
              </w:rPr>
              <w:t>Calib</w:t>
            </w:r>
          </w:p>
        </w:tc>
        <w:tc>
          <w:tcPr>
            <w:tcW w:type="dxa" w:w="571"/>
            <w:shd w:fill="E8EDF3" w:val="clear"/>
            <w:vAlign w:val="center"/>
          </w:tcPr>
          <w:p>
            <w:pPr>
              <w:spacing w:before="20" w:after="20"/>
              <w:jc w:val="center"/>
            </w:pPr>
            <w:r/>
            <w:r>
              <w:rPr>
                <w:rFonts w:ascii="Times New Roman" w:hAnsi="Times New Roman"/>
                <w:b/>
                <w:sz w:val="13"/>
              </w:rPr>
              <w:t>Latency</w:t>
            </w:r>
          </w:p>
        </w:tc>
      </w:tr>
      <w:tr>
        <w:tc>
          <w:tcPr>
            <w:tcW w:type="dxa" w:w="1141"/>
            <w:vAlign w:val="center"/>
          </w:tcPr>
          <w:p>
            <w:pPr>
              <w:spacing w:before="20" w:after="20"/>
              <w:jc w:val="left"/>
            </w:pPr>
            <w:r/>
            <w:r>
              <w:rPr>
                <w:rFonts w:ascii="Times New Roman" w:hAnsi="Times New Roman"/>
                <w:sz w:val="13"/>
              </w:rPr>
              <w:t>Kiranyaz 2016 [2]</w:t>
            </w:r>
          </w:p>
        </w:tc>
        <w:tc>
          <w:tcPr>
            <w:tcW w:type="dxa" w:w="519"/>
            <w:vAlign w:val="center"/>
          </w:tcPr>
          <w:p>
            <w:pPr>
              <w:spacing w:before="20" w:after="20"/>
              <w:jc w:val="center"/>
            </w:pPr>
            <w:r/>
            <w:r>
              <w:rPr>
                <w:rFonts w:ascii="Times New Roman" w:hAnsi="Times New Roman"/>
                <w:sz w:val="13"/>
              </w:rPr>
              <w:t>—</w:t>
            </w:r>
          </w:p>
        </w:tc>
        <w:tc>
          <w:tcPr>
            <w:tcW w:type="dxa" w:w="415"/>
            <w:vAlign w:val="center"/>
          </w:tcPr>
          <w:p>
            <w:pPr>
              <w:spacing w:before="20" w:after="20"/>
              <w:jc w:val="center"/>
            </w:pPr>
            <w:r/>
            <w:r>
              <w:rPr>
                <w:rFonts w:ascii="Times New Roman" w:hAnsi="Times New Roman"/>
                <w:sz w:val="13"/>
              </w:rPr>
              <w:t>—</w:t>
            </w:r>
          </w:p>
        </w:tc>
        <w:tc>
          <w:tcPr>
            <w:tcW w:type="dxa" w:w="571"/>
            <w:vAlign w:val="center"/>
          </w:tcPr>
          <w:p>
            <w:pPr>
              <w:spacing w:before="20" w:after="20"/>
              <w:jc w:val="center"/>
            </w:pPr>
            <w:r/>
            <w:r>
              <w:rPr>
                <w:rFonts w:ascii="Times New Roman" w:hAnsi="Times New Roman"/>
                <w:sz w:val="13"/>
              </w:rPr>
              <w:t>—</w:t>
            </w:r>
          </w:p>
        </w:tc>
        <w:tc>
          <w:tcPr>
            <w:tcW w:type="dxa" w:w="674"/>
            <w:vAlign w:val="center"/>
          </w:tcPr>
          <w:p>
            <w:pPr>
              <w:spacing w:before="20" w:after="20"/>
              <w:jc w:val="center"/>
            </w:pPr>
            <w:r/>
            <w:r>
              <w:rPr>
                <w:rFonts w:ascii="Times New Roman" w:hAnsi="Times New Roman"/>
                <w:sz w:val="13"/>
              </w:rPr>
              <w:t>—</w:t>
            </w:r>
          </w:p>
        </w:tc>
        <w:tc>
          <w:tcPr>
            <w:tcW w:type="dxa" w:w="467"/>
            <w:vAlign w:val="center"/>
          </w:tcPr>
          <w:p>
            <w:pPr>
              <w:spacing w:before="20" w:after="20"/>
              <w:jc w:val="center"/>
            </w:pPr>
            <w:r/>
            <w:r>
              <w:rPr>
                <w:rFonts w:ascii="Times New Roman" w:hAnsi="Times New Roman"/>
                <w:sz w:val="13"/>
              </w:rPr>
              <w:t>—</w:t>
            </w:r>
          </w:p>
        </w:tc>
        <w:tc>
          <w:tcPr>
            <w:tcW w:type="dxa" w:w="467"/>
            <w:vAlign w:val="center"/>
          </w:tcPr>
          <w:p>
            <w:pPr>
              <w:spacing w:before="20" w:after="20"/>
              <w:jc w:val="center"/>
            </w:pPr>
            <w:r/>
            <w:r>
              <w:rPr>
                <w:rFonts w:ascii="Times New Roman" w:hAnsi="Times New Roman"/>
                <w:sz w:val="13"/>
              </w:rPr>
              <w:t>—</w:t>
            </w:r>
          </w:p>
        </w:tc>
        <w:tc>
          <w:tcPr>
            <w:tcW w:type="dxa" w:w="571"/>
            <w:vAlign w:val="center"/>
          </w:tcPr>
          <w:p>
            <w:pPr>
              <w:spacing w:before="20" w:after="20"/>
              <w:jc w:val="center"/>
            </w:pPr>
            <w:r/>
            <w:r>
              <w:rPr>
                <w:rFonts w:ascii="Times New Roman" w:hAnsi="Times New Roman"/>
                <w:sz w:val="13"/>
              </w:rPr>
              <w:t>—</w:t>
            </w:r>
          </w:p>
        </w:tc>
      </w:tr>
      <w:tr>
        <w:tc>
          <w:tcPr>
            <w:tcW w:type="dxa" w:w="1141"/>
            <w:shd w:fill="F6F7F9" w:val="clear"/>
            <w:vAlign w:val="center"/>
          </w:tcPr>
          <w:p>
            <w:pPr>
              <w:spacing w:before="20" w:after="20"/>
              <w:jc w:val="left"/>
            </w:pPr>
            <w:r/>
            <w:r>
              <w:rPr>
                <w:rFonts w:ascii="Times New Roman" w:hAnsi="Times New Roman"/>
                <w:sz w:val="13"/>
              </w:rPr>
              <w:t>Hannun 2019 [4]</w:t>
            </w:r>
          </w:p>
        </w:tc>
        <w:tc>
          <w:tcPr>
            <w:tcW w:type="dxa" w:w="519"/>
            <w:shd w:fill="F6F7F9" w:val="clear"/>
            <w:vAlign w:val="center"/>
          </w:tcPr>
          <w:p>
            <w:pPr>
              <w:spacing w:before="20" w:after="20"/>
              <w:jc w:val="center"/>
            </w:pPr>
            <w:r/>
            <w:r>
              <w:rPr>
                <w:rFonts w:ascii="Times New Roman" w:hAnsi="Times New Roman"/>
                <w:sz w:val="13"/>
              </w:rPr>
              <w:t>—</w:t>
            </w:r>
          </w:p>
        </w:tc>
        <w:tc>
          <w:tcPr>
            <w:tcW w:type="dxa" w:w="415"/>
            <w:shd w:fill="F6F7F9" w:val="clear"/>
            <w:vAlign w:val="center"/>
          </w:tcPr>
          <w:p>
            <w:pPr>
              <w:spacing w:before="20" w:after="20"/>
              <w:jc w:val="center"/>
            </w:pPr>
            <w:r/>
            <w:r>
              <w:rPr>
                <w:rFonts w:ascii="Times New Roman" w:hAnsi="Times New Roman"/>
                <w:sz w:val="13"/>
              </w:rPr>
              <w:t>✓</w:t>
            </w:r>
          </w:p>
        </w:tc>
        <w:tc>
          <w:tcPr>
            <w:tcW w:type="dxa" w:w="571"/>
            <w:shd w:fill="F6F7F9" w:val="clear"/>
            <w:vAlign w:val="center"/>
          </w:tcPr>
          <w:p>
            <w:pPr>
              <w:spacing w:before="20" w:after="20"/>
              <w:jc w:val="center"/>
            </w:pPr>
            <w:r/>
            <w:r>
              <w:rPr>
                <w:rFonts w:ascii="Times New Roman" w:hAnsi="Times New Roman"/>
                <w:sz w:val="13"/>
              </w:rPr>
              <w:t>—</w:t>
            </w:r>
          </w:p>
        </w:tc>
        <w:tc>
          <w:tcPr>
            <w:tcW w:type="dxa" w:w="674"/>
            <w:shd w:fill="F6F7F9" w:val="clear"/>
            <w:vAlign w:val="center"/>
          </w:tcPr>
          <w:p>
            <w:pPr>
              <w:spacing w:before="20" w:after="20"/>
              <w:jc w:val="center"/>
            </w:pPr>
            <w:r/>
            <w:r>
              <w:rPr>
                <w:rFonts w:ascii="Times New Roman" w:hAnsi="Times New Roman"/>
                <w:sz w:val="13"/>
              </w:rPr>
              <w:t>—</w:t>
            </w:r>
          </w:p>
        </w:tc>
        <w:tc>
          <w:tcPr>
            <w:tcW w:type="dxa" w:w="467"/>
            <w:shd w:fill="F6F7F9" w:val="clear"/>
            <w:vAlign w:val="center"/>
          </w:tcPr>
          <w:p>
            <w:pPr>
              <w:spacing w:before="20" w:after="20"/>
              <w:jc w:val="center"/>
            </w:pPr>
            <w:r/>
            <w:r>
              <w:rPr>
                <w:rFonts w:ascii="Times New Roman" w:hAnsi="Times New Roman"/>
                <w:sz w:val="13"/>
              </w:rPr>
              <w:t>—</w:t>
            </w:r>
          </w:p>
        </w:tc>
        <w:tc>
          <w:tcPr>
            <w:tcW w:type="dxa" w:w="467"/>
            <w:shd w:fill="F6F7F9" w:val="clear"/>
            <w:vAlign w:val="center"/>
          </w:tcPr>
          <w:p>
            <w:pPr>
              <w:spacing w:before="20" w:after="20"/>
              <w:jc w:val="center"/>
            </w:pPr>
            <w:r/>
            <w:r>
              <w:rPr>
                <w:rFonts w:ascii="Times New Roman" w:hAnsi="Times New Roman"/>
                <w:sz w:val="13"/>
              </w:rPr>
              <w:t>—</w:t>
            </w:r>
          </w:p>
        </w:tc>
        <w:tc>
          <w:tcPr>
            <w:tcW w:type="dxa" w:w="571"/>
            <w:shd w:fill="F6F7F9" w:val="clear"/>
            <w:vAlign w:val="center"/>
          </w:tcPr>
          <w:p>
            <w:pPr>
              <w:spacing w:before="20" w:after="20"/>
              <w:jc w:val="center"/>
            </w:pPr>
            <w:r/>
            <w:r>
              <w:rPr>
                <w:rFonts w:ascii="Times New Roman" w:hAnsi="Times New Roman"/>
                <w:sz w:val="13"/>
              </w:rPr>
              <w:t>—</w:t>
            </w:r>
          </w:p>
        </w:tc>
      </w:tr>
      <w:tr>
        <w:tc>
          <w:tcPr>
            <w:tcW w:type="dxa" w:w="1141"/>
            <w:vAlign w:val="center"/>
          </w:tcPr>
          <w:p>
            <w:pPr>
              <w:spacing w:before="20" w:after="20"/>
              <w:jc w:val="left"/>
            </w:pPr>
            <w:r/>
            <w:r>
              <w:rPr>
                <w:rFonts w:ascii="Times New Roman" w:hAnsi="Times New Roman"/>
                <w:sz w:val="13"/>
              </w:rPr>
              <w:t>Davidson 2021 [12]</w:t>
            </w:r>
          </w:p>
        </w:tc>
        <w:tc>
          <w:tcPr>
            <w:tcW w:type="dxa" w:w="519"/>
            <w:vAlign w:val="center"/>
          </w:tcPr>
          <w:p>
            <w:pPr>
              <w:spacing w:before="20" w:after="20"/>
              <w:jc w:val="center"/>
            </w:pPr>
            <w:r/>
            <w:r>
              <w:rPr>
                <w:rFonts w:ascii="Times New Roman" w:hAnsi="Times New Roman"/>
                <w:sz w:val="13"/>
              </w:rPr>
              <w:t>—</w:t>
            </w:r>
          </w:p>
        </w:tc>
        <w:tc>
          <w:tcPr>
            <w:tcW w:type="dxa" w:w="415"/>
            <w:vAlign w:val="center"/>
          </w:tcPr>
          <w:p>
            <w:pPr>
              <w:spacing w:before="20" w:after="20"/>
              <w:jc w:val="center"/>
            </w:pPr>
            <w:r/>
            <w:r>
              <w:rPr>
                <w:rFonts w:ascii="Times New Roman" w:hAnsi="Times New Roman"/>
                <w:sz w:val="13"/>
              </w:rPr>
              <w:t>—</w:t>
            </w:r>
          </w:p>
        </w:tc>
        <w:tc>
          <w:tcPr>
            <w:tcW w:type="dxa" w:w="571"/>
            <w:vAlign w:val="center"/>
          </w:tcPr>
          <w:p>
            <w:pPr>
              <w:spacing w:before="20" w:after="20"/>
              <w:jc w:val="center"/>
            </w:pPr>
            <w:r/>
            <w:r>
              <w:rPr>
                <w:rFonts w:ascii="Times New Roman" w:hAnsi="Times New Roman"/>
                <w:sz w:val="13"/>
              </w:rPr>
              <w:t>—</w:t>
            </w:r>
          </w:p>
        </w:tc>
        <w:tc>
          <w:tcPr>
            <w:tcW w:type="dxa" w:w="674"/>
            <w:vAlign w:val="center"/>
          </w:tcPr>
          <w:p>
            <w:pPr>
              <w:spacing w:before="20" w:after="20"/>
              <w:jc w:val="center"/>
            </w:pPr>
            <w:r/>
            <w:r>
              <w:rPr>
                <w:rFonts w:ascii="Times New Roman" w:hAnsi="Times New Roman"/>
                <w:sz w:val="13"/>
              </w:rPr>
              <w:t>✓</w:t>
            </w:r>
          </w:p>
        </w:tc>
        <w:tc>
          <w:tcPr>
            <w:tcW w:type="dxa" w:w="467"/>
            <w:vAlign w:val="center"/>
          </w:tcPr>
          <w:p>
            <w:pPr>
              <w:spacing w:before="20" w:after="20"/>
              <w:jc w:val="center"/>
            </w:pPr>
            <w:r/>
            <w:r>
              <w:rPr>
                <w:rFonts w:ascii="Times New Roman" w:hAnsi="Times New Roman"/>
                <w:sz w:val="13"/>
              </w:rPr>
              <w:t>✓</w:t>
            </w:r>
          </w:p>
        </w:tc>
        <w:tc>
          <w:tcPr>
            <w:tcW w:type="dxa" w:w="467"/>
            <w:vAlign w:val="center"/>
          </w:tcPr>
          <w:p>
            <w:pPr>
              <w:spacing w:before="20" w:after="20"/>
              <w:jc w:val="center"/>
            </w:pPr>
            <w:r/>
            <w:r>
              <w:rPr>
                <w:rFonts w:ascii="Times New Roman" w:hAnsi="Times New Roman"/>
                <w:sz w:val="13"/>
              </w:rPr>
              <w:t>—</w:t>
            </w:r>
          </w:p>
        </w:tc>
        <w:tc>
          <w:tcPr>
            <w:tcW w:type="dxa" w:w="571"/>
            <w:vAlign w:val="center"/>
          </w:tcPr>
          <w:p>
            <w:pPr>
              <w:spacing w:before="20" w:after="20"/>
              <w:jc w:val="center"/>
            </w:pPr>
            <w:r/>
            <w:r>
              <w:rPr>
                <w:rFonts w:ascii="Times New Roman" w:hAnsi="Times New Roman"/>
                <w:sz w:val="13"/>
              </w:rPr>
              <w:t>✓</w:t>
            </w:r>
          </w:p>
        </w:tc>
      </w:tr>
      <w:tr>
        <w:tc>
          <w:tcPr>
            <w:tcW w:type="dxa" w:w="1141"/>
            <w:shd w:fill="F6F7F9" w:val="clear"/>
            <w:vAlign w:val="center"/>
          </w:tcPr>
          <w:p>
            <w:pPr>
              <w:spacing w:before="20" w:after="20"/>
              <w:jc w:val="left"/>
            </w:pPr>
            <w:r/>
            <w:r>
              <w:rPr>
                <w:rFonts w:ascii="Times New Roman" w:hAnsi="Times New Roman"/>
                <w:sz w:val="13"/>
              </w:rPr>
              <w:t>ESP32 ECG ’19 [16]</w:t>
            </w:r>
          </w:p>
        </w:tc>
        <w:tc>
          <w:tcPr>
            <w:tcW w:type="dxa" w:w="519"/>
            <w:shd w:fill="F6F7F9" w:val="clear"/>
            <w:vAlign w:val="center"/>
          </w:tcPr>
          <w:p>
            <w:pPr>
              <w:spacing w:before="20" w:after="20"/>
              <w:jc w:val="center"/>
            </w:pPr>
            <w:r/>
            <w:r>
              <w:rPr>
                <w:rFonts w:ascii="Times New Roman" w:hAnsi="Times New Roman"/>
                <w:sz w:val="13"/>
              </w:rPr>
              <w:t>—</w:t>
            </w:r>
          </w:p>
        </w:tc>
        <w:tc>
          <w:tcPr>
            <w:tcW w:type="dxa" w:w="415"/>
            <w:shd w:fill="F6F7F9" w:val="clear"/>
            <w:vAlign w:val="center"/>
          </w:tcPr>
          <w:p>
            <w:pPr>
              <w:spacing w:before="20" w:after="20"/>
              <w:jc w:val="center"/>
            </w:pPr>
            <w:r/>
            <w:r>
              <w:rPr>
                <w:rFonts w:ascii="Times New Roman" w:hAnsi="Times New Roman"/>
                <w:sz w:val="13"/>
              </w:rPr>
              <w:t>—</w:t>
            </w:r>
          </w:p>
        </w:tc>
        <w:tc>
          <w:tcPr>
            <w:tcW w:type="dxa" w:w="571"/>
            <w:shd w:fill="F6F7F9" w:val="clear"/>
            <w:vAlign w:val="center"/>
          </w:tcPr>
          <w:p>
            <w:pPr>
              <w:spacing w:before="20" w:after="20"/>
              <w:jc w:val="center"/>
            </w:pPr>
            <w:r/>
            <w:r>
              <w:rPr>
                <w:rFonts w:ascii="Times New Roman" w:hAnsi="Times New Roman"/>
                <w:sz w:val="13"/>
              </w:rPr>
              <w:t>✓</w:t>
            </w:r>
          </w:p>
        </w:tc>
        <w:tc>
          <w:tcPr>
            <w:tcW w:type="dxa" w:w="674"/>
            <w:shd w:fill="F6F7F9" w:val="clear"/>
            <w:vAlign w:val="center"/>
          </w:tcPr>
          <w:p>
            <w:pPr>
              <w:spacing w:before="20" w:after="20"/>
              <w:jc w:val="center"/>
            </w:pPr>
            <w:r/>
            <w:r>
              <w:rPr>
                <w:rFonts w:ascii="Times New Roman" w:hAnsi="Times New Roman"/>
                <w:sz w:val="13"/>
              </w:rPr>
              <w:t>✓</w:t>
            </w:r>
          </w:p>
        </w:tc>
        <w:tc>
          <w:tcPr>
            <w:tcW w:type="dxa" w:w="467"/>
            <w:shd w:fill="F6F7F9" w:val="clear"/>
            <w:vAlign w:val="center"/>
          </w:tcPr>
          <w:p>
            <w:pPr>
              <w:spacing w:before="20" w:after="20"/>
              <w:jc w:val="center"/>
            </w:pPr>
            <w:r/>
            <w:r>
              <w:rPr>
                <w:rFonts w:ascii="Times New Roman" w:hAnsi="Times New Roman"/>
                <w:sz w:val="13"/>
              </w:rPr>
              <w:t>✓</w:t>
            </w:r>
          </w:p>
        </w:tc>
        <w:tc>
          <w:tcPr>
            <w:tcW w:type="dxa" w:w="467"/>
            <w:shd w:fill="F6F7F9" w:val="clear"/>
            <w:vAlign w:val="center"/>
          </w:tcPr>
          <w:p>
            <w:pPr>
              <w:spacing w:before="20" w:after="20"/>
              <w:jc w:val="center"/>
            </w:pPr>
            <w:r/>
            <w:r>
              <w:rPr>
                <w:rFonts w:ascii="Times New Roman" w:hAnsi="Times New Roman"/>
                <w:sz w:val="13"/>
              </w:rPr>
              <w:t>—</w:t>
            </w:r>
          </w:p>
        </w:tc>
        <w:tc>
          <w:tcPr>
            <w:tcW w:type="dxa" w:w="571"/>
            <w:shd w:fill="F6F7F9" w:val="clear"/>
            <w:vAlign w:val="center"/>
          </w:tcPr>
          <w:p>
            <w:pPr>
              <w:spacing w:before="20" w:after="20"/>
              <w:jc w:val="center"/>
            </w:pPr>
            <w:r/>
            <w:r>
              <w:rPr>
                <w:rFonts w:ascii="Times New Roman" w:hAnsi="Times New Roman"/>
                <w:sz w:val="13"/>
              </w:rPr>
              <w:t>est.</w:t>
            </w:r>
          </w:p>
        </w:tc>
      </w:tr>
      <w:tr>
        <w:tc>
          <w:tcPr>
            <w:tcW w:type="dxa" w:w="1141"/>
            <w:vAlign w:val="center"/>
          </w:tcPr>
          <w:p>
            <w:pPr>
              <w:spacing w:before="20" w:after="20"/>
              <w:jc w:val="left"/>
            </w:pPr>
            <w:r/>
            <w:r>
              <w:rPr>
                <w:rFonts w:ascii="Times New Roman" w:hAnsi="Times New Roman"/>
                <w:sz w:val="13"/>
              </w:rPr>
              <w:t>This work</w:t>
            </w:r>
          </w:p>
        </w:tc>
        <w:tc>
          <w:tcPr>
            <w:tcW w:type="dxa" w:w="519"/>
            <w:vAlign w:val="center"/>
          </w:tcPr>
          <w:p>
            <w:pPr>
              <w:spacing w:before="20" w:after="20"/>
              <w:jc w:val="center"/>
            </w:pPr>
            <w:r/>
            <w:r>
              <w:rPr>
                <w:rFonts w:ascii="Times New Roman" w:hAnsi="Times New Roman"/>
                <w:sz w:val="13"/>
              </w:rPr>
              <w:t>✓</w:t>
            </w:r>
          </w:p>
        </w:tc>
        <w:tc>
          <w:tcPr>
            <w:tcW w:type="dxa" w:w="415"/>
            <w:vAlign w:val="center"/>
          </w:tcPr>
          <w:p>
            <w:pPr>
              <w:spacing w:before="20" w:after="20"/>
              <w:jc w:val="center"/>
            </w:pPr>
            <w:r/>
            <w:r>
              <w:rPr>
                <w:rFonts w:ascii="Times New Roman" w:hAnsi="Times New Roman"/>
                <w:sz w:val="13"/>
              </w:rPr>
              <w:t>✓</w:t>
            </w:r>
          </w:p>
        </w:tc>
        <w:tc>
          <w:tcPr>
            <w:tcW w:type="dxa" w:w="571"/>
            <w:vAlign w:val="center"/>
          </w:tcPr>
          <w:p>
            <w:pPr>
              <w:spacing w:before="20" w:after="20"/>
              <w:jc w:val="center"/>
            </w:pPr>
            <w:r/>
            <w:r>
              <w:rPr>
                <w:rFonts w:ascii="Times New Roman" w:hAnsi="Times New Roman"/>
                <w:sz w:val="13"/>
              </w:rPr>
              <w:t>✓ 5×3</w:t>
            </w:r>
          </w:p>
        </w:tc>
        <w:tc>
          <w:tcPr>
            <w:tcW w:type="dxa" w:w="674"/>
            <w:vAlign w:val="center"/>
          </w:tcPr>
          <w:p>
            <w:pPr>
              <w:spacing w:before="20" w:after="20"/>
              <w:jc w:val="center"/>
            </w:pPr>
            <w:r/>
            <w:r>
              <w:rPr>
                <w:rFonts w:ascii="Times New Roman" w:hAnsi="Times New Roman"/>
                <w:sz w:val="13"/>
              </w:rPr>
              <w:t>✓ paired</w:t>
            </w:r>
          </w:p>
        </w:tc>
        <w:tc>
          <w:tcPr>
            <w:tcW w:type="dxa" w:w="467"/>
            <w:vAlign w:val="center"/>
          </w:tcPr>
          <w:p>
            <w:pPr>
              <w:spacing w:before="20" w:after="20"/>
              <w:jc w:val="center"/>
            </w:pPr>
            <w:r/>
            <w:r>
              <w:rPr>
                <w:rFonts w:ascii="Times New Roman" w:hAnsi="Times New Roman"/>
                <w:sz w:val="13"/>
              </w:rPr>
              <w:t>✓ S3</w:t>
            </w:r>
          </w:p>
        </w:tc>
        <w:tc>
          <w:tcPr>
            <w:tcW w:type="dxa" w:w="467"/>
            <w:vAlign w:val="center"/>
          </w:tcPr>
          <w:p>
            <w:pPr>
              <w:spacing w:before="20" w:after="20"/>
              <w:jc w:val="center"/>
            </w:pPr>
            <w:r/>
            <w:r>
              <w:rPr>
                <w:rFonts w:ascii="Times New Roman" w:hAnsi="Times New Roman"/>
                <w:sz w:val="13"/>
              </w:rPr>
              <w:t>✓</w:t>
            </w:r>
          </w:p>
        </w:tc>
        <w:tc>
          <w:tcPr>
            <w:tcW w:type="dxa" w:w="571"/>
            <w:vAlign w:val="center"/>
          </w:tcPr>
          <w:p>
            <w:pPr>
              <w:spacing w:before="20" w:after="20"/>
              <w:jc w:val="center"/>
            </w:pPr>
            <w:r/>
            <w:r>
              <w:rPr>
                <w:rFonts w:ascii="Times New Roman" w:hAnsi="Times New Roman"/>
                <w:sz w:val="13"/>
              </w:rPr>
              <w:t>✓ meas.</w:t>
            </w:r>
          </w:p>
        </w:tc>
      </w:tr>
    </w:tbl>
    <w:p>
      <w:pPr>
        <w:spacing w:after="40"/>
      </w:pPr>
    </w:p>
    <w:p>
      <w:pPr>
        <w:spacing w:after="40" w:line="259" w:lineRule="auto"/>
        <w:jc w:val="both"/>
      </w:pPr>
      <w:r>
        <w:rPr>
          <w:rFonts w:ascii="Times New Roman" w:hAnsi="Times New Roman"/>
          <w:sz w:val="20"/>
        </w:rPr>
        <w:t xml:space="preserve">Table I frames the gap. No prior study combines </w:t>
      </w:r>
      <w:r>
        <w:rPr>
          <w:rFonts w:ascii="Times New Roman" w:hAnsi="Times New Roman"/>
          <w:sz w:val="20"/>
        </w:rPr>
        <w:t>identical patient-level folds across architectures with external validation, full noise-front-end ablation, paired INT8 analysis with disagreement rates, and measured (not estimated) on-device latency.</w:t>
      </w:r>
    </w:p>
    <w:p>
      <w:pPr>
        <w:spacing w:after="60" w:line="259" w:lineRule="auto"/>
        <w:ind w:firstLine="202"/>
        <w:jc w:val="both"/>
      </w:pPr>
      <w:r>
        <w:rPr>
          <w:rFonts w:ascii="Times New Roman" w:hAnsi="Times New Roman"/>
          <w:b/>
          <w:sz w:val="20"/>
        </w:rPr>
        <w:t xml:space="preserve">Paper organization. </w:t>
      </w:r>
      <w:r>
        <w:rPr>
          <w:rFonts w:ascii="Times New Roman" w:hAnsi="Times New Roman"/>
          <w:sz w:val="20"/>
        </w:rPr>
        <w:t>§II details data, the SQI gate, four architectures, the autoencoder front-end, affine INT8 quantization, temperature scaling, and the ESP32-S3 pipeline. §III reports grouped CV with imbalance ablation (A), artifact-stratified robustness (B), external SVDB transfer (C), paired quantization with calibration (D), SQI cost–benefit (E), and measured on-device feasibility (F), with integrated discussion after each result. §IV concludes with a compact limitations note (§IV-A) and §V lists references.</w:t>
      </w:r>
    </w:p>
    <w:p>
      <w:pPr>
        <w:pStyle w:val="Heading1"/>
        <w:spacing w:before="120" w:after="60"/>
        <w:pBdr>
          <w:bottom w:val="single" w:sz="4" w:space="1" w:color="DCE6F0"/>
        </w:pBdr>
      </w:pPr>
      <w:r>
        <w:rPr>
          <w:rFonts w:ascii="Times New Roman" w:hAnsi="Times New Roman"/>
          <w:b/>
          <w:color w:val="0F1E3A"/>
          <w:sz w:val="20"/>
        </w:rPr>
        <w:t>II.    METHODOLOGY</w:t>
      </w:r>
    </w:p>
    <w:p>
      <w:pPr>
        <w:pStyle w:val="Heading2"/>
      </w:pPr>
      <w:r>
        <w:rPr>
          <w:rFonts w:ascii="Times New Roman" w:hAnsi="Times New Roman"/>
          <w:b/>
          <w:i/>
          <w:sz w:val="19"/>
        </w:rPr>
        <w:t>A.  Data and Labels</w:t>
      </w:r>
    </w:p>
    <w:p>
      <w:pPr>
        <w:spacing w:after="60" w:line="259" w:lineRule="auto"/>
        <w:ind w:firstLine="202"/>
        <w:jc w:val="both"/>
      </w:pPr>
      <w:r>
        <w:rPr>
          <w:rFonts w:ascii="Times New Roman" w:hAnsi="Times New Roman"/>
          <w:sz w:val="20"/>
        </w:rPr>
        <w:t xml:space="preserve">We use the MIT-BIH Arrhythmia Database </w:t>
      </w:r>
      <w:r>
        <w:rPr>
          <w:rFonts w:ascii="Times New Roman" w:hAnsi="Times New Roman"/>
          <w:sz w:val="20"/>
        </w:rPr>
        <w:t xml:space="preserve">[1,18] (48 recordings, 360 Hz, MLII lead) via PhysioNet [19]. We extract 1-s windows (360 samples) centered on R-peaks with three classes: Normal (N), Atrial Premature Beat (A), and Premature Ventricular Contraction (V); other annotations are discarded. </w:t>
      </w:r>
      <w:r>
        <w:rPr>
          <w:rFonts w:ascii="Times New Roman" w:hAnsi="Times New Roman"/>
          <w:sz w:val="20"/>
        </w:rPr>
        <w:t>Each window is per-window normalized to [−1, 1]:</w:t>
      </w:r>
    </w:p>
    <w:p>
      <w:pPr>
        <w:spacing w:before="60" w:after="60"/>
        <w:jc w:val="center"/>
      </w:pPr>
      <w:r>
        <w:rPr>
          <w:rFonts w:ascii="Cambria Math" w:hAnsi="Cambria Math"/>
          <w:i/>
          <w:sz w:val="18"/>
        </w:rPr>
        <w:t>x̂i = (xi − μ) / maxj |xj − μ|,   μ = (1/L) Σ xi</w:t>
      </w:r>
      <w:r>
        <w:rPr>
          <w:rFonts w:ascii="Times New Roman" w:hAnsi="Times New Roman"/>
          <w:sz w:val="16"/>
        </w:rPr>
        <w:t xml:space="preserve">    (1)</w:t>
      </w:r>
    </w:p>
    <w:p>
      <w:pPr>
        <w:spacing w:after="60" w:line="259" w:lineRule="auto"/>
        <w:ind w:firstLine="202"/>
        <w:jc w:val="both"/>
      </w:pPr>
      <w:r>
        <w:rPr>
          <w:rFonts w:ascii="Times New Roman" w:hAnsi="Times New Roman"/>
          <w:sz w:val="20"/>
        </w:rPr>
        <w:t xml:space="preserve">Rhythm-level AF detection is a separate task and is scoped out. </w:t>
      </w:r>
      <w:r>
        <w:rPr>
          <w:rFonts w:ascii="Times New Roman" w:hAnsi="Times New Roman"/>
          <w:sz w:val="20"/>
        </w:rPr>
        <w:t>All architectures share the same preprocessing and label mapping, so differences reflect models, not pipelines.</w:t>
      </w:r>
    </w:p>
    <w:p>
      <w:pPr>
        <w:pStyle w:val="Heading2"/>
      </w:pPr>
      <w:r>
        <w:rPr>
          <w:rFonts w:ascii="Times New Roman" w:hAnsi="Times New Roman"/>
          <w:b/>
          <w:i/>
          <w:sz w:val="19"/>
        </w:rPr>
        <w:t>B.  Signal Quality Gate</w:t>
      </w:r>
    </w:p>
    <w:p>
      <w:pPr>
        <w:spacing w:after="60" w:line="259" w:lineRule="auto"/>
        <w:ind w:firstLine="202"/>
        <w:jc w:val="both"/>
      </w:pPr>
      <w:r>
        <w:rPr>
          <w:rFonts w:ascii="Times New Roman" w:hAnsi="Times New Roman"/>
          <w:sz w:val="20"/>
        </w:rPr>
        <w:t xml:space="preserve">A classifier can emit high-confidence predictions on corrupted input; we therefore apply a heuristic signal-quality gate before inference. </w:t>
      </w:r>
      <w:r>
        <w:rPr>
          <w:rFonts w:ascii="Times New Roman" w:hAnsi="Times New Roman"/>
          <w:sz w:val="20"/>
        </w:rPr>
        <w:t>A 10-s buffer is rejected if it is near-flat (range &lt; 8 ADC counts), &gt;5% saturated at the extremes, or dominated by high-frequency energy.</w:t>
      </w:r>
    </w:p>
    <w:p>
      <w:pPr>
        <w:spacing w:before="60" w:after="60"/>
        <w:jc w:val="center"/>
      </w:pPr>
      <w:r>
        <w:rPr>
          <w:rFonts w:ascii="Cambria Math" w:hAnsi="Cambria Math"/>
          <w:i/>
          <w:sz w:val="18"/>
        </w:rPr>
        <w:t>range = maxi xi − mini xi,   ratio = Σ(xi+1−xi)² / Σ(xi−x̄)²</w:t>
      </w:r>
      <w:r>
        <w:rPr>
          <w:rFonts w:ascii="Times New Roman" w:hAnsi="Times New Roman"/>
          <w:sz w:val="16"/>
        </w:rPr>
        <w:t xml:space="preserve">    (2)</w:t>
      </w:r>
    </w:p>
    <w:p>
      <w:pPr>
        <w:spacing w:after="60" w:line="259" w:lineRule="auto"/>
        <w:jc w:val="both"/>
      </w:pPr>
      <w:r>
        <w:rPr>
          <w:rFonts w:ascii="Times New Roman" w:hAnsi="Times New Roman"/>
          <w:sz w:val="20"/>
        </w:rPr>
        <w:t>The high-frequency ratio is an inexpensive proxy for muscle artifact/baseline wander [20]. The gate is intentionally conservative and evaluated for cost in §III-E.</w:t>
      </w:r>
    </w:p>
    <w:p>
      <w:pPr>
        <w:pStyle w:val="Heading2"/>
      </w:pPr>
      <w:r>
        <w:rPr>
          <w:rFonts w:ascii="Times New Roman" w:hAnsi="Times New Roman"/>
          <w:b/>
          <w:i/>
          <w:sz w:val="19"/>
        </w:rPr>
        <w:t>C.  Models</w:t>
      </w:r>
    </w:p>
    <w:p>
      <w:pPr>
        <w:spacing w:after="60" w:line="259" w:lineRule="auto"/>
        <w:ind w:firstLine="202"/>
        <w:jc w:val="both"/>
      </w:pPr>
      <w:r>
        <w:rPr>
          <w:rFonts w:ascii="Times New Roman" w:hAnsi="Times New Roman"/>
          <w:sz w:val="20"/>
        </w:rPr>
        <w:t xml:space="preserve">Four architectures share one head (global pooling → Dense-64 → Dropout 0.5 → Softmax) and one schedule (Adam [21], lr 1e−3, batch 64, early stopping): </w:t>
      </w:r>
      <w:r>
        <w:rPr>
          <w:rFonts w:ascii="Times New Roman" w:hAnsi="Times New Roman"/>
          <w:sz w:val="20"/>
        </w:rPr>
        <w:t xml:space="preserve">(i) CNN: three Conv1D blocks (32/64/128 filters, kernel 5) with batch normalization [22]; </w:t>
      </w:r>
      <w:r>
        <w:rPr>
          <w:rFonts w:ascii="Times New Roman" w:hAnsi="Times New Roman"/>
          <w:sz w:val="20"/>
        </w:rPr>
        <w:t xml:space="preserve">(ii) LSTM </w:t>
      </w:r>
      <w:r>
        <w:rPr>
          <w:rFonts w:ascii="Times New Roman" w:hAnsi="Times New Roman"/>
          <w:sz w:val="20"/>
        </w:rPr>
        <w:t xml:space="preserve">[23] and </w:t>
      </w:r>
      <w:r>
        <w:rPr>
          <w:rFonts w:ascii="Times New Roman" w:hAnsi="Times New Roman"/>
          <w:sz w:val="20"/>
        </w:rPr>
        <w:t xml:space="preserve">(iii) GRU: one Conv1D block followed by 64 recurrent units; </w:t>
      </w:r>
      <w:r>
        <w:rPr>
          <w:rFonts w:ascii="Times New Roman" w:hAnsi="Times New Roman"/>
          <w:sz w:val="20"/>
        </w:rPr>
        <w:t>(iv) TCN: two dilated causal blocks with residuals [24].</w:t>
      </w:r>
    </w:p>
    <w:p>
      <w:pPr>
        <w:spacing w:after="60" w:line="259" w:lineRule="auto"/>
        <w:ind w:firstLine="202"/>
        <w:jc w:val="both"/>
      </w:pPr>
      <w:r>
        <w:rPr>
          <w:rFonts w:ascii="Times New Roman" w:hAnsi="Times New Roman"/>
          <w:sz w:val="20"/>
        </w:rPr>
        <w:t xml:space="preserve">We additionally train a Conv1D autoencoder denoiser (16/8 filters, kernel 15, transposed-conv decoder) on clean→noisy reconstruction at seven SNR levels (0–40 dB). Training pairs are generated by adding calibrated Gaussian noise to clean windows at the target SNR; the denoiser minimizes MSE between clean and reconstructed waveforms, while the classifier head is frozen during denoiser training so front-end and decision are decoupled. </w:t>
      </w:r>
      <w:r>
        <w:rPr>
          <w:rFonts w:ascii="Times New Roman" w:hAnsi="Times New Roman"/>
          <w:sz w:val="20"/>
        </w:rPr>
        <w:t>The CNN and TCN export to full-INT8 TFLite; the Keras-3 LSTM/GRU graphs are not quantizable by the TFLite converter (TensorListStack → SELECT_TF_OPS Flex ops, which TFLM cannot execute) and are therefore reported as FP32-only—a finding relevant to edge deployment. For on-device timing we additionally re-exported both RNNs through fused sequence layers (UNIDIRECTIONAL_SEQUENCE_LSTM/GRU builtins) via a static-shape concrete-function conversion with weights transferred unchanged; these FP32 variants are what Table VII benchmarks.</w:t>
      </w:r>
    </w:p>
    <w:p>
      <w:pPr>
        <w:spacing w:after="60" w:line="259" w:lineRule="auto"/>
        <w:ind w:firstLine="202"/>
        <w:jc w:val="both"/>
      </w:pPr>
      <w:r>
        <w:rPr>
          <w:rFonts w:ascii="Times New Roman" w:hAnsi="Times New Roman"/>
          <w:b/>
          <w:sz w:val="20"/>
        </w:rPr>
        <w:t xml:space="preserve">Quantization details. </w:t>
      </w:r>
      <w:r>
        <w:rPr>
          <w:rFonts w:ascii="Times New Roman" w:hAnsi="Times New Roman"/>
          <w:sz w:val="20"/>
        </w:rPr>
        <w:t>Full-INT8 conversion uses per-tensor affine quantization with a representative dataset drawn from the training split; inputs, weights, and activations are all INT8. The firmware replicates the same scale and zero-point in C, so the PC-side TFLite file and the on-device byte array are functionally identical. This bit-exact match is what lets us report paired Δ and disagreement rates without a hardware-in-the-loop gap.</w:t>
      </w:r>
    </w:p>
    <w:p>
      <w:pPr>
        <w:spacing w:before="60" w:after="60"/>
        <w:jc w:val="center"/>
      </w:pPr>
      <w:r>
        <w:rPr>
          <w:rFonts w:ascii="Cambria Math" w:hAnsi="Cambria Math"/>
          <w:i/>
          <w:sz w:val="18"/>
        </w:rPr>
        <w:t>σn = σs · 10^(−SNR/20),   x̃ = x + n,  n ∼ N(0, σn²)</w:t>
      </w:r>
      <w:r>
        <w:rPr>
          <w:rFonts w:ascii="Times New Roman" w:hAnsi="Times New Roman"/>
          <w:sz w:val="16"/>
        </w:rPr>
        <w:t xml:space="preserve">    (3)</w:t>
      </w:r>
    </w:p>
    <w:p>
      <w:pPr>
        <w:spacing w:before="60" w:after="60"/>
        <w:jc w:val="center"/>
      </w:pPr>
      <w:r>
        <w:rPr>
          <w:rFonts w:ascii="Cambria Math" w:hAnsi="Cambria Math"/>
          <w:i/>
          <w:sz w:val="18"/>
        </w:rPr>
        <w:t>Lden = (1/N) Σ ‖xi−g(x̃i)‖²,   Lcls = −(1/N) Σ log pŷi(xi)</w:t>
      </w:r>
      <w:r>
        <w:rPr>
          <w:rFonts w:ascii="Times New Roman" w:hAnsi="Times New Roman"/>
          <w:sz w:val="16"/>
        </w:rPr>
        <w:t xml:space="preserve">    (4)</w:t>
      </w:r>
    </w:p>
    <w:p>
      <w:pPr>
        <w:spacing w:before="60" w:after="60"/>
        <w:jc w:val="center"/>
      </w:pPr>
      <w:r>
        <w:rPr>
          <w:rFonts w:ascii="Cambria Math" w:hAnsi="Cambria Math"/>
          <w:i/>
          <w:sz w:val="18"/>
        </w:rPr>
        <w:t>q = clip(round(r/s)+z, qmin,qmax),  r ≈ s·(q−z)</w:t>
      </w:r>
      <w:r>
        <w:rPr>
          <w:rFonts w:ascii="Times New Roman" w:hAnsi="Times New Roman"/>
          <w:sz w:val="16"/>
        </w:rPr>
        <w:t xml:space="preserve">    (5)</w:t>
      </w:r>
    </w:p>
    <w:p>
      <w:pPr>
        <w:spacing w:after="60" w:line="259" w:lineRule="auto"/>
        <w:jc w:val="both"/>
      </w:pPr>
      <w:r>
        <w:rPr>
          <w:rFonts w:ascii="Times New Roman" w:hAnsi="Times New Roman"/>
          <w:sz w:val="20"/>
        </w:rPr>
        <w:t>Equation (5) is the affine INT8 map (scale s, zero-point z) shared by the converter and the firmware's manual input conversion, so on-device tensors match the offline converter bit-exactly.</w:t>
      </w:r>
    </w:p>
    <w:p>
      <w:pPr>
        <w:spacing w:after="60" w:line="259" w:lineRule="auto"/>
        <w:jc w:val="both"/>
      </w:pPr>
      <w:r>
        <w:rPr>
          <w:rFonts w:ascii="Times New Roman" w:hAnsi="Times New Roman"/>
          <w:sz w:val="20"/>
        </w:rPr>
        <w:t>We apply temperature scaling on the validation set, minimizing NLL over a single scalar T and evaluating calibration via ECE:</w:t>
      </w:r>
    </w:p>
    <w:p>
      <w:pPr>
        <w:spacing w:before="60" w:after="60"/>
        <w:jc w:val="center"/>
      </w:pPr>
      <w:r>
        <w:rPr>
          <w:rFonts w:ascii="Cambria Math" w:hAnsi="Cambria Math"/>
          <w:i/>
          <w:sz w:val="18"/>
        </w:rPr>
        <w:t>pk = exp(zk/T)/ Σj exp(zj/T),   ECE = Σ |Bm|/N · |accm − confm|</w:t>
      </w:r>
      <w:r>
        <w:rPr>
          <w:rFonts w:ascii="Times New Roman" w:hAnsi="Times New Roman"/>
          <w:sz w:val="16"/>
        </w:rPr>
        <w:t xml:space="preserve">    (6)</w:t>
      </w:r>
    </w:p>
    <w:p>
      <w:pPr>
        <w:pStyle w:val="Heading2"/>
      </w:pPr>
      <w:r>
        <w:rPr>
          <w:rFonts w:ascii="Times New Roman" w:hAnsi="Times New Roman"/>
          <w:b/>
          <w:i/>
          <w:sz w:val="19"/>
        </w:rPr>
        <w:t>D.  Hardware and Deployment</w:t>
      </w:r>
    </w:p>
    <w:p>
      <w:pPr>
        <w:spacing w:before="60" w:after="20"/>
        <w:jc w:val="center"/>
      </w:pPr>
      <w:r>
        <w:drawing>
          <wp:inline xmlns:a="http://schemas.openxmlformats.org/drawingml/2006/main" xmlns:pic="http://schemas.openxmlformats.org/drawingml/2006/picture">
            <wp:extent cx="2999232" cy="4587061"/>
            <wp:docPr id="1" name="Picture 1"/>
            <wp:cNvGraphicFramePr>
              <a:graphicFrameLocks noChangeAspect="1"/>
            </wp:cNvGraphicFramePr>
            <a:graphic>
              <a:graphicData uri="http://schemas.openxmlformats.org/drawingml/2006/picture">
                <pic:pic>
                  <pic:nvPicPr>
                    <pic:cNvPr id="0" name="fig_per_artifact.png"/>
                    <pic:cNvPicPr/>
                  </pic:nvPicPr>
                  <pic:blipFill>
                    <a:blip r:embed="rId9"/>
                    <a:stretch>
                      <a:fillRect/>
                    </a:stretch>
                  </pic:blipFill>
                  <pic:spPr>
                    <a:xfrm>
                      <a:off x="0" y="0"/>
                      <a:ext cx="2999232" cy="4587061"/>
                    </a:xfrm>
                    <a:prstGeom prst="rect"/>
                  </pic:spPr>
                </pic:pic>
              </a:graphicData>
            </a:graphic>
          </wp:inline>
        </w:drawing>
      </w:r>
    </w:p>
    <w:p>
      <w:pPr>
        <w:pStyle w:val="Caption"/>
        <w:spacing w:after="80"/>
        <w:jc w:val="center"/>
      </w:pPr>
      <w:r>
        <w:rPr>
          <w:rFonts w:ascii="Times New Roman" w:hAnsi="Times New Roman"/>
          <w:sz w:val="16"/>
        </w:rPr>
        <w:t>Fig. 2. Per-artifact robustness (5 types × 7 SNR, 3 rows preview — see Fig. 2 for full matrix). Butterworth wins 3/5; raw wins motion; AE only wins PLI at low SNR.</w:t>
      </w:r>
    </w:p>
    <w:p>
      <w:pPr>
        <w:spacing w:after="60" w:line="259" w:lineRule="auto"/>
        <w:ind w:firstLine="202"/>
        <w:jc w:val="both"/>
      </w:pPr>
      <w:r>
        <w:rPr>
          <w:rFonts w:ascii="Times New Roman" w:hAnsi="Times New Roman"/>
          <w:sz w:val="20"/>
        </w:rPr>
        <w:t>Target is ESP32-S3 (N16R8: 16 MB flash, 8 MB PSRAM). ADC uses DMA continuous mode at 36 kHz decimated to 360 Hz. A 10-s buffer feeds 1-s windows (50% overlap) through denoiser → classifier with confidence-weighted voting:</w:t>
      </w:r>
    </w:p>
    <w:p>
      <w:pPr>
        <w:spacing w:before="60" w:after="60"/>
        <w:jc w:val="center"/>
      </w:pPr>
      <w:r>
        <w:rPr>
          <w:rFonts w:ascii="Cambria Math" w:hAnsi="Cambria Math"/>
          <w:i/>
          <w:sz w:val="18"/>
        </w:rPr>
        <w:t>Sc = Σw pc^(w),   ŷ = argmaxc Sc,   conf = maxc Sc / Σc Sc</w:t>
      </w:r>
      <w:r>
        <w:rPr>
          <w:rFonts w:ascii="Times New Roman" w:hAnsi="Times New Roman"/>
          <w:sz w:val="16"/>
        </w:rPr>
        <w:t xml:space="preserve">    (7)</w:t>
      </w:r>
    </w:p>
    <w:p>
      <w:pPr>
        <w:spacing w:after="60" w:line="259" w:lineRule="auto"/>
        <w:jc w:val="both"/>
      </w:pPr>
      <w:r>
        <w:rPr>
          <w:rFonts w:ascii="Times New Roman" w:hAnsi="Times New Roman"/>
          <w:sz w:val="20"/>
        </w:rPr>
        <w:t xml:space="preserve">Memory, functional execution, and per-stage latency are measured on silicon via BENCHMARK_MODE. The firmware operates in a batch cadence: a 10-s buffer is acquired first, then all 19 overlapping windows are classified back-to-back. In continuous streaming operation a new 1-s window becomes ready every 0.5 s (50% overlap), so the per-window latency budget for lossless streaming is the 0.5-s hop, not the 1-s window. </w:t>
      </w:r>
      <w:r>
        <w:rPr>
          <w:rFonts w:ascii="Times New Roman" w:hAnsi="Times New Roman"/>
          <w:sz w:val="20"/>
        </w:rPr>
        <w:t xml:space="preserve">All reported latencies are wall-clock on the S3 at 240 MHz with TFL-Micro reference kernels; no cycle-count estimation is used. </w:t>
      </w:r>
      <w:r>
        <w:rPr>
          <w:rFonts w:ascii="Times New Roman" w:hAnsi="Times New Roman"/>
          <w:sz w:val="20"/>
        </w:rPr>
        <w:t>Flash numbers are TFLite flatbuffer sizes; arena is the single shared tensor arena; heap free is reported by the firmware at boot before allocation.</w:t>
      </w:r>
    </w:p>
    <w:p>
      <w:pPr>
        <w:spacing w:after="60" w:line="259" w:lineRule="auto"/>
        <w:ind w:firstLine="202"/>
        <w:jc w:val="both"/>
      </w:pPr>
      <w:r>
        <w:rPr>
          <w:rFonts w:ascii="Times New Roman" w:hAnsi="Times New Roman"/>
          <w:b/>
          <w:i/>
          <w:sz w:val="20"/>
        </w:rPr>
        <w:t xml:space="preserve">Experimental protocol is fixed before training. </w:t>
      </w:r>
      <w:r>
        <w:rPr>
          <w:rFonts w:ascii="Times New Roman" w:hAnsi="Times New Roman"/>
          <w:sz w:val="20"/>
        </w:rPr>
        <w:t>Folds, seeds, and the record-level split are frozen and reused across architectures, so the only varying factor is the model. Checkpoints (40 per model for grouped CV, 40 for paired quant, 16 for the APB ablation) are retained to allow exact regeneration of every table and figure without retraining.</w:t>
      </w:r>
    </w:p>
    <w:p>
      <w:pPr>
        <w:pStyle w:val="Heading1"/>
        <w:spacing w:before="120" w:after="60"/>
        <w:pBdr>
          <w:bottom w:val="single" w:sz="4" w:space="1" w:color="DCE6F0"/>
        </w:pBdr>
      </w:pPr>
      <w:r>
        <w:rPr>
          <w:rFonts w:ascii="Times New Roman" w:hAnsi="Times New Roman"/>
          <w:b/>
          <w:color w:val="0F1E3A"/>
          <w:sz w:val="20"/>
        </w:rPr>
        <w:t>III.    RESULTS AND DISCUSSION</w:t>
      </w:r>
    </w:p>
    <w:p>
      <w:pPr>
        <w:spacing w:after="60" w:line="259" w:lineRule="auto"/>
        <w:jc w:val="both"/>
      </w:pPr>
      <w:r>
        <w:rPr>
          <w:rFonts w:ascii="Times New Roman" w:hAnsi="Times New Roman"/>
          <w:b/>
          <w:i/>
          <w:sz w:val="20"/>
        </w:rPr>
        <w:t xml:space="preserve">Roadmap. </w:t>
      </w:r>
      <w:r>
        <w:rPr>
          <w:rFonts w:ascii="Times New Roman" w:hAnsi="Times New Roman"/>
          <w:sz w:val="20"/>
        </w:rPr>
        <w:t xml:space="preserve">Fig. 1 shows the firmware-fixed pipeline. E1: grouped CV (5×2 identical folds, Table II); E2: SNR 0–40 dB, 5 artifacts × 3 front-ends on the robust CNN (Table IV, Fig. 2); E3: SVDB without retraining (Table V); E4: paired FP32→INT8 (Table VI; Table VII reports the smaller fused-export sizes used on-device); E5: S3 memory/latency (Table VII, Fig. 4) with calibration (Fig. 3) and SQI (Fig. 5). </w:t>
      </w:r>
      <w:r>
        <w:rPr>
          <w:rFonts w:ascii="Times New Roman" w:hAnsi="Times New Roman"/>
          <w:sz w:val="20"/>
        </w:rPr>
        <w:t xml:space="preserve">E2/E4/calibration share one record-level split (918 windows: 493/24/401); </w:t>
      </w:r>
      <w:r>
        <w:rPr>
          <w:rFonts w:ascii="Times New Roman" w:hAnsi="Times New Roman"/>
          <w:sz w:val="20"/>
        </w:rPr>
        <w:t>E1 is the only 5×2 repeated evaluation.</w:t>
      </w:r>
    </w:p>
    <w:p>
      <w:pPr>
        <w:spacing w:before="60" w:after="20"/>
        <w:jc w:val="center"/>
      </w:pPr>
      <w:r>
        <w:drawing>
          <wp:inline xmlns:a="http://schemas.openxmlformats.org/drawingml/2006/main" xmlns:pic="http://schemas.openxmlformats.org/drawingml/2006/picture">
            <wp:extent cx="2971800" cy="1544845"/>
            <wp:docPr id="2" name="Picture 2"/>
            <wp:cNvGraphicFramePr>
              <a:graphicFrameLocks noChangeAspect="1"/>
            </wp:cNvGraphicFramePr>
            <a:graphic>
              <a:graphicData uri="http://schemas.openxmlformats.org/drawingml/2006/picture">
                <pic:pic>
                  <pic:nvPicPr>
                    <pic:cNvPr id="0" name="fig_pipeline.png"/>
                    <pic:cNvPicPr/>
                  </pic:nvPicPr>
                  <pic:blipFill>
                    <a:blip r:embed="rId10"/>
                    <a:stretch>
                      <a:fillRect/>
                    </a:stretch>
                  </pic:blipFill>
                  <pic:spPr>
                    <a:xfrm>
                      <a:off x="0" y="0"/>
                      <a:ext cx="2971800" cy="1544845"/>
                    </a:xfrm>
                    <a:prstGeom prst="rect"/>
                  </pic:spPr>
                </pic:pic>
              </a:graphicData>
            </a:graphic>
          </wp:inline>
        </w:drawing>
      </w:r>
    </w:p>
    <w:p>
      <w:pPr>
        <w:pStyle w:val="Caption"/>
        <w:spacing w:after="80"/>
        <w:jc w:val="center"/>
      </w:pPr>
      <w:r>
        <w:rPr>
          <w:rFonts w:ascii="Times New Roman" w:hAnsi="Times New Roman"/>
          <w:sz w:val="16"/>
        </w:rPr>
        <w:t>Fig. 1. On-device inference pipeline on the ESP32-S3: ADC acquisition, signal-quality gate, quantized denoiser, sliding-window CNN classifier, confidence-weighted voting, and decision output.</w:t>
      </w:r>
    </w:p>
    <w:p>
      <w:pPr>
        <w:pStyle w:val="Heading2"/>
      </w:pPr>
      <w:r>
        <w:rPr>
          <w:rFonts w:ascii="Times New Roman" w:hAnsi="Times New Roman"/>
          <w:b/>
          <w:i/>
          <w:sz w:val="19"/>
        </w:rPr>
        <w:t>A.  Patient-Independent Grouped CV</w:t>
      </w:r>
    </w:p>
    <w:p>
      <w:pPr>
        <w:pStyle w:val="Caption"/>
        <w:spacing w:before="80" w:after="20"/>
        <w:jc w:val="center"/>
      </w:pPr>
      <w:r>
        <w:rPr>
          <w:rFonts w:ascii="Times New Roman" w:hAnsi="Times New Roman"/>
          <w:b/>
          <w:smallCaps/>
          <w:sz w:val="16"/>
        </w:rPr>
        <w:t>TABLE II: Patient-independent 5-fold × 2-seed grouped CV (identical record-level folds, n=10 per model). Mean±SD; 95% CI: CNN 0.619±0.150, TCN 0.615±0.142, LSTM 0.582±0.060, GRU 0.526±0.106. APB support per fold 0–502 explains large SD.</w:t>
      </w:r>
    </w:p>
    <w:tbl>
      <w:tblPr>
        <w:tblStyle w:val="LightGrid-Accent1"/>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877"/>
            <w:shd w:fill="E8EDF3" w:val="clear"/>
            <w:vAlign w:val="center"/>
          </w:tcPr>
          <w:p>
            <w:pPr>
              <w:spacing w:before="20" w:after="20"/>
              <w:jc w:val="center"/>
            </w:pPr>
            <w:r/>
            <w:r>
              <w:rPr>
                <w:rFonts w:ascii="Times New Roman" w:hAnsi="Times New Roman"/>
                <w:b/>
                <w:sz w:val="15"/>
              </w:rPr>
              <w:t>Model</w:t>
            </w:r>
          </w:p>
        </w:tc>
        <w:tc>
          <w:tcPr>
            <w:tcW w:type="dxa" w:w="987"/>
            <w:shd w:fill="E8EDF3" w:val="clear"/>
            <w:vAlign w:val="center"/>
          </w:tcPr>
          <w:p>
            <w:pPr>
              <w:spacing w:before="20" w:after="20"/>
              <w:jc w:val="center"/>
            </w:pPr>
            <w:r/>
            <w:r>
              <w:rPr>
                <w:rFonts w:ascii="Times New Roman" w:hAnsi="Times New Roman"/>
                <w:b/>
                <w:sz w:val="15"/>
              </w:rPr>
              <w:t>Normal</w:t>
            </w:r>
          </w:p>
        </w:tc>
        <w:tc>
          <w:tcPr>
            <w:tcW w:type="dxa" w:w="987"/>
            <w:shd w:fill="E8EDF3" w:val="clear"/>
            <w:vAlign w:val="center"/>
          </w:tcPr>
          <w:p>
            <w:pPr>
              <w:spacing w:before="20" w:after="20"/>
              <w:jc w:val="center"/>
            </w:pPr>
            <w:r/>
            <w:r>
              <w:rPr>
                <w:rFonts w:ascii="Times New Roman" w:hAnsi="Times New Roman"/>
                <w:b/>
                <w:sz w:val="15"/>
              </w:rPr>
              <w:t>APB</w:t>
            </w:r>
          </w:p>
        </w:tc>
        <w:tc>
          <w:tcPr>
            <w:tcW w:type="dxa" w:w="987"/>
            <w:shd w:fill="E8EDF3" w:val="clear"/>
            <w:vAlign w:val="center"/>
          </w:tcPr>
          <w:p>
            <w:pPr>
              <w:spacing w:before="20" w:after="20"/>
              <w:jc w:val="center"/>
            </w:pPr>
            <w:r/>
            <w:r>
              <w:rPr>
                <w:rFonts w:ascii="Times New Roman" w:hAnsi="Times New Roman"/>
                <w:b/>
                <w:sz w:val="15"/>
              </w:rPr>
              <w:t>PVC</w:t>
            </w:r>
          </w:p>
        </w:tc>
        <w:tc>
          <w:tcPr>
            <w:tcW w:type="dxa" w:w="987"/>
            <w:shd w:fill="E8EDF3" w:val="clear"/>
            <w:vAlign w:val="center"/>
          </w:tcPr>
          <w:p>
            <w:pPr>
              <w:spacing w:before="20" w:after="20"/>
              <w:jc w:val="center"/>
            </w:pPr>
            <w:r/>
            <w:r>
              <w:rPr>
                <w:rFonts w:ascii="Times New Roman" w:hAnsi="Times New Roman"/>
                <w:b/>
                <w:sz w:val="15"/>
              </w:rPr>
              <w:t>Macro</w:t>
            </w:r>
          </w:p>
        </w:tc>
      </w:tr>
      <w:tr>
        <w:tc>
          <w:tcPr>
            <w:tcW w:type="dxa" w:w="877"/>
            <w:vAlign w:val="center"/>
          </w:tcPr>
          <w:p>
            <w:pPr>
              <w:spacing w:before="20" w:after="20"/>
              <w:jc w:val="left"/>
            </w:pPr>
            <w:r/>
            <w:r>
              <w:rPr>
                <w:rFonts w:ascii="Times New Roman" w:hAnsi="Times New Roman"/>
                <w:sz w:val="15"/>
              </w:rPr>
              <w:t>CNN</w:t>
            </w:r>
          </w:p>
        </w:tc>
        <w:tc>
          <w:tcPr>
            <w:tcW w:type="dxa" w:w="987"/>
            <w:vAlign w:val="center"/>
          </w:tcPr>
          <w:p>
            <w:pPr>
              <w:spacing w:before="20" w:after="20"/>
              <w:jc w:val="center"/>
            </w:pPr>
            <w:r/>
            <w:r>
              <w:rPr>
                <w:rFonts w:ascii="Times New Roman" w:hAnsi="Times New Roman"/>
                <w:sz w:val="15"/>
              </w:rPr>
              <w:t>0.841±0.145</w:t>
            </w:r>
          </w:p>
        </w:tc>
        <w:tc>
          <w:tcPr>
            <w:tcW w:type="dxa" w:w="987"/>
            <w:vAlign w:val="center"/>
          </w:tcPr>
          <w:p>
            <w:pPr>
              <w:spacing w:before="20" w:after="20"/>
              <w:jc w:val="center"/>
            </w:pPr>
            <w:r/>
            <w:r>
              <w:rPr>
                <w:rFonts w:ascii="Times New Roman" w:hAnsi="Times New Roman"/>
                <w:sz w:val="15"/>
              </w:rPr>
              <w:t>0.283±0.359</w:t>
            </w:r>
          </w:p>
        </w:tc>
        <w:tc>
          <w:tcPr>
            <w:tcW w:type="dxa" w:w="987"/>
            <w:vAlign w:val="center"/>
          </w:tcPr>
          <w:p>
            <w:pPr>
              <w:spacing w:before="20" w:after="20"/>
              <w:jc w:val="center"/>
            </w:pPr>
            <w:r/>
            <w:r>
              <w:rPr>
                <w:rFonts w:ascii="Times New Roman" w:hAnsi="Times New Roman"/>
                <w:sz w:val="15"/>
              </w:rPr>
              <w:t>0.733±0.369</w:t>
            </w:r>
          </w:p>
        </w:tc>
        <w:tc>
          <w:tcPr>
            <w:tcW w:type="dxa" w:w="987"/>
            <w:vAlign w:val="center"/>
          </w:tcPr>
          <w:p>
            <w:pPr>
              <w:spacing w:before="20" w:after="20"/>
              <w:jc w:val="center"/>
            </w:pPr>
            <w:r/>
            <w:r>
              <w:rPr>
                <w:rFonts w:ascii="Times New Roman" w:hAnsi="Times New Roman"/>
                <w:sz w:val="15"/>
              </w:rPr>
              <w:t>0.619±0.242</w:t>
            </w:r>
          </w:p>
        </w:tc>
      </w:tr>
      <w:tr>
        <w:tc>
          <w:tcPr>
            <w:tcW w:type="dxa" w:w="877"/>
            <w:shd w:fill="F6F7F9" w:val="clear"/>
            <w:vAlign w:val="center"/>
          </w:tcPr>
          <w:p>
            <w:pPr>
              <w:spacing w:before="20" w:after="20"/>
              <w:jc w:val="left"/>
            </w:pPr>
            <w:r/>
            <w:r>
              <w:rPr>
                <w:rFonts w:ascii="Times New Roman" w:hAnsi="Times New Roman"/>
                <w:sz w:val="15"/>
              </w:rPr>
              <w:t>TCN</w:t>
            </w:r>
          </w:p>
        </w:tc>
        <w:tc>
          <w:tcPr>
            <w:tcW w:type="dxa" w:w="987"/>
            <w:shd w:fill="F6F7F9" w:val="clear"/>
            <w:vAlign w:val="center"/>
          </w:tcPr>
          <w:p>
            <w:pPr>
              <w:spacing w:before="20" w:after="20"/>
              <w:jc w:val="center"/>
            </w:pPr>
            <w:r/>
            <w:r>
              <w:rPr>
                <w:rFonts w:ascii="Times New Roman" w:hAnsi="Times New Roman"/>
                <w:sz w:val="15"/>
              </w:rPr>
              <w:t>0.844±0.147</w:t>
            </w:r>
          </w:p>
        </w:tc>
        <w:tc>
          <w:tcPr>
            <w:tcW w:type="dxa" w:w="987"/>
            <w:shd w:fill="F6F7F9" w:val="clear"/>
            <w:vAlign w:val="center"/>
          </w:tcPr>
          <w:p>
            <w:pPr>
              <w:spacing w:before="20" w:after="20"/>
              <w:jc w:val="center"/>
            </w:pPr>
            <w:r/>
            <w:r>
              <w:rPr>
                <w:rFonts w:ascii="Times New Roman" w:hAnsi="Times New Roman"/>
                <w:sz w:val="15"/>
              </w:rPr>
              <w:t>0.257±0.319</w:t>
            </w:r>
          </w:p>
        </w:tc>
        <w:tc>
          <w:tcPr>
            <w:tcW w:type="dxa" w:w="987"/>
            <w:shd w:fill="F6F7F9" w:val="clear"/>
            <w:vAlign w:val="center"/>
          </w:tcPr>
          <w:p>
            <w:pPr>
              <w:spacing w:before="20" w:after="20"/>
              <w:jc w:val="center"/>
            </w:pPr>
            <w:r/>
            <w:r>
              <w:rPr>
                <w:rFonts w:ascii="Times New Roman" w:hAnsi="Times New Roman"/>
                <w:sz w:val="15"/>
              </w:rPr>
              <w:t>0.746±0.368</w:t>
            </w:r>
          </w:p>
        </w:tc>
        <w:tc>
          <w:tcPr>
            <w:tcW w:type="dxa" w:w="987"/>
            <w:shd w:fill="F6F7F9" w:val="clear"/>
            <w:vAlign w:val="center"/>
          </w:tcPr>
          <w:p>
            <w:pPr>
              <w:spacing w:before="20" w:after="20"/>
              <w:jc w:val="center"/>
            </w:pPr>
            <w:r/>
            <w:r>
              <w:rPr>
                <w:rFonts w:ascii="Times New Roman" w:hAnsi="Times New Roman"/>
                <w:sz w:val="15"/>
              </w:rPr>
              <w:t>0.615±0.229</w:t>
            </w:r>
          </w:p>
        </w:tc>
      </w:tr>
      <w:tr>
        <w:tc>
          <w:tcPr>
            <w:tcW w:type="dxa" w:w="877"/>
            <w:vAlign w:val="center"/>
          </w:tcPr>
          <w:p>
            <w:pPr>
              <w:spacing w:before="20" w:after="20"/>
              <w:jc w:val="left"/>
            </w:pPr>
            <w:r/>
            <w:r>
              <w:rPr>
                <w:rFonts w:ascii="Times New Roman" w:hAnsi="Times New Roman"/>
                <w:sz w:val="15"/>
              </w:rPr>
              <w:t>LSTM</w:t>
            </w:r>
          </w:p>
        </w:tc>
        <w:tc>
          <w:tcPr>
            <w:tcW w:type="dxa" w:w="987"/>
            <w:vAlign w:val="center"/>
          </w:tcPr>
          <w:p>
            <w:pPr>
              <w:spacing w:before="20" w:after="20"/>
              <w:jc w:val="center"/>
            </w:pPr>
            <w:r/>
            <w:r>
              <w:rPr>
                <w:rFonts w:ascii="Times New Roman" w:hAnsi="Times New Roman"/>
                <w:sz w:val="15"/>
              </w:rPr>
              <w:t>0.792±0.108</w:t>
            </w:r>
          </w:p>
        </w:tc>
        <w:tc>
          <w:tcPr>
            <w:tcW w:type="dxa" w:w="987"/>
            <w:vAlign w:val="center"/>
          </w:tcPr>
          <w:p>
            <w:pPr>
              <w:spacing w:before="20" w:after="20"/>
              <w:jc w:val="center"/>
            </w:pPr>
            <w:r/>
            <w:r>
              <w:rPr>
                <w:rFonts w:ascii="Times New Roman" w:hAnsi="Times New Roman"/>
                <w:sz w:val="15"/>
              </w:rPr>
              <w:t>0.158±0.221</w:t>
            </w:r>
          </w:p>
        </w:tc>
        <w:tc>
          <w:tcPr>
            <w:tcW w:type="dxa" w:w="987"/>
            <w:vAlign w:val="center"/>
          </w:tcPr>
          <w:p>
            <w:pPr>
              <w:spacing w:before="20" w:after="20"/>
              <w:jc w:val="center"/>
            </w:pPr>
            <w:r/>
            <w:r>
              <w:rPr>
                <w:rFonts w:ascii="Times New Roman" w:hAnsi="Times New Roman"/>
                <w:sz w:val="15"/>
              </w:rPr>
              <w:t>0.796±0.098</w:t>
            </w:r>
          </w:p>
        </w:tc>
        <w:tc>
          <w:tcPr>
            <w:tcW w:type="dxa" w:w="987"/>
            <w:vAlign w:val="center"/>
          </w:tcPr>
          <w:p>
            <w:pPr>
              <w:spacing w:before="20" w:after="20"/>
              <w:jc w:val="center"/>
            </w:pPr>
            <w:r/>
            <w:r>
              <w:rPr>
                <w:rFonts w:ascii="Times New Roman" w:hAnsi="Times New Roman"/>
                <w:sz w:val="15"/>
              </w:rPr>
              <w:t>0.582±0.096</w:t>
            </w:r>
          </w:p>
        </w:tc>
      </w:tr>
      <w:tr>
        <w:tc>
          <w:tcPr>
            <w:tcW w:type="dxa" w:w="877"/>
            <w:shd w:fill="F6F7F9" w:val="clear"/>
            <w:vAlign w:val="center"/>
          </w:tcPr>
          <w:p>
            <w:pPr>
              <w:spacing w:before="20" w:after="20"/>
              <w:jc w:val="left"/>
            </w:pPr>
            <w:r/>
            <w:r>
              <w:rPr>
                <w:rFonts w:ascii="Times New Roman" w:hAnsi="Times New Roman"/>
                <w:sz w:val="15"/>
              </w:rPr>
              <w:t>GRU</w:t>
            </w:r>
          </w:p>
        </w:tc>
        <w:tc>
          <w:tcPr>
            <w:tcW w:type="dxa" w:w="987"/>
            <w:shd w:fill="F6F7F9" w:val="clear"/>
            <w:vAlign w:val="center"/>
          </w:tcPr>
          <w:p>
            <w:pPr>
              <w:spacing w:before="20" w:after="20"/>
              <w:jc w:val="center"/>
            </w:pPr>
            <w:r/>
            <w:r>
              <w:rPr>
                <w:rFonts w:ascii="Times New Roman" w:hAnsi="Times New Roman"/>
                <w:sz w:val="15"/>
              </w:rPr>
              <w:t>0.728±0.210</w:t>
            </w:r>
          </w:p>
        </w:tc>
        <w:tc>
          <w:tcPr>
            <w:tcW w:type="dxa" w:w="987"/>
            <w:shd w:fill="F6F7F9" w:val="clear"/>
            <w:vAlign w:val="center"/>
          </w:tcPr>
          <w:p>
            <w:pPr>
              <w:spacing w:before="20" w:after="20"/>
              <w:jc w:val="center"/>
            </w:pPr>
            <w:r/>
            <w:r>
              <w:rPr>
                <w:rFonts w:ascii="Times New Roman" w:hAnsi="Times New Roman"/>
                <w:sz w:val="15"/>
              </w:rPr>
              <w:t>0.140±0.203</w:t>
            </w:r>
          </w:p>
        </w:tc>
        <w:tc>
          <w:tcPr>
            <w:tcW w:type="dxa" w:w="987"/>
            <w:shd w:fill="F6F7F9" w:val="clear"/>
            <w:vAlign w:val="center"/>
          </w:tcPr>
          <w:p>
            <w:pPr>
              <w:spacing w:before="20" w:after="20"/>
              <w:jc w:val="center"/>
            </w:pPr>
            <w:r/>
            <w:r>
              <w:rPr>
                <w:rFonts w:ascii="Times New Roman" w:hAnsi="Times New Roman"/>
                <w:sz w:val="15"/>
              </w:rPr>
              <w:t>0.709±0.279</w:t>
            </w:r>
          </w:p>
        </w:tc>
        <w:tc>
          <w:tcPr>
            <w:tcW w:type="dxa" w:w="987"/>
            <w:shd w:fill="F6F7F9" w:val="clear"/>
            <w:vAlign w:val="center"/>
          </w:tcPr>
          <w:p>
            <w:pPr>
              <w:spacing w:before="20" w:after="20"/>
              <w:jc w:val="center"/>
            </w:pPr>
            <w:r/>
            <w:r>
              <w:rPr>
                <w:rFonts w:ascii="Times New Roman" w:hAnsi="Times New Roman"/>
                <w:sz w:val="15"/>
              </w:rPr>
              <w:t>0.526±0.170</w:t>
            </w:r>
          </w:p>
        </w:tc>
      </w:tr>
    </w:tbl>
    <w:p>
      <w:pPr>
        <w:spacing w:after="40"/>
      </w:pPr>
    </w:p>
    <w:p>
      <w:pPr>
        <w:pStyle w:val="Caption"/>
        <w:spacing w:before="80" w:after="20"/>
        <w:jc w:val="center"/>
      </w:pPr>
      <w:r>
        <w:rPr>
          <w:rFonts w:ascii="Times New Roman" w:hAnsi="Times New Roman"/>
          <w:b/>
          <w:smallCaps/>
          <w:sz w:val="16"/>
        </w:rPr>
        <w:t>TABLE III: APB imbalance ablation (single record split, test 493/24/401; 16-way = 4 architectures × 4 imbalance strategies). CNN weighted lifts APB 0→0.732; TCN already 0.70 baseline. LSTM/GRU remain poor even with mitigation.</w:t>
      </w:r>
    </w:p>
    <w:tbl>
      <w:tblPr>
        <w:tblStyle w:val="LightGrid-Accent1"/>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gridCol w:w="1728"/>
      </w:tblGrid>
      <w:tr>
        <w:tc>
          <w:tcPr>
            <w:tcW w:type="dxa" w:w="782"/>
            <w:shd w:fill="E8EDF3" w:val="clear"/>
            <w:vAlign w:val="center"/>
          </w:tcPr>
          <w:p>
            <w:pPr>
              <w:spacing w:before="20" w:after="20"/>
              <w:jc w:val="center"/>
            </w:pPr>
            <w:r/>
            <w:r>
              <w:rPr>
                <w:rFonts w:ascii="Times New Roman" w:hAnsi="Times New Roman"/>
                <w:b/>
                <w:sz w:val="15"/>
              </w:rPr>
              <w:t>Model</w:t>
            </w:r>
          </w:p>
        </w:tc>
        <w:tc>
          <w:tcPr>
            <w:tcW w:type="dxa" w:w="913"/>
            <w:shd w:fill="E8EDF3" w:val="clear"/>
            <w:vAlign w:val="center"/>
          </w:tcPr>
          <w:p>
            <w:pPr>
              <w:spacing w:before="20" w:after="20"/>
              <w:jc w:val="center"/>
            </w:pPr>
            <w:r/>
            <w:r>
              <w:rPr>
                <w:rFonts w:ascii="Times New Roman" w:hAnsi="Times New Roman"/>
                <w:b/>
                <w:sz w:val="15"/>
              </w:rPr>
              <w:t>Strategy</w:t>
            </w:r>
          </w:p>
        </w:tc>
        <w:tc>
          <w:tcPr>
            <w:tcW w:type="dxa" w:w="782"/>
            <w:shd w:fill="E8EDF3" w:val="clear"/>
            <w:vAlign w:val="center"/>
          </w:tcPr>
          <w:p>
            <w:pPr>
              <w:spacing w:before="20" w:after="20"/>
              <w:jc w:val="center"/>
            </w:pPr>
            <w:r/>
            <w:r>
              <w:rPr>
                <w:rFonts w:ascii="Times New Roman" w:hAnsi="Times New Roman"/>
                <w:b/>
                <w:sz w:val="15"/>
              </w:rPr>
              <w:t>APB Prec</w:t>
            </w:r>
          </w:p>
        </w:tc>
        <w:tc>
          <w:tcPr>
            <w:tcW w:type="dxa" w:w="782"/>
            <w:shd w:fill="E8EDF3" w:val="clear"/>
            <w:vAlign w:val="center"/>
          </w:tcPr>
          <w:p>
            <w:pPr>
              <w:spacing w:before="20" w:after="20"/>
              <w:jc w:val="center"/>
            </w:pPr>
            <w:r/>
            <w:r>
              <w:rPr>
                <w:rFonts w:ascii="Times New Roman" w:hAnsi="Times New Roman"/>
                <w:b/>
                <w:sz w:val="15"/>
              </w:rPr>
              <w:t>APB Rec</w:t>
            </w:r>
          </w:p>
        </w:tc>
        <w:tc>
          <w:tcPr>
            <w:tcW w:type="dxa" w:w="782"/>
            <w:shd w:fill="E8EDF3" w:val="clear"/>
            <w:vAlign w:val="center"/>
          </w:tcPr>
          <w:p>
            <w:pPr>
              <w:spacing w:before="20" w:after="20"/>
              <w:jc w:val="center"/>
            </w:pPr>
            <w:r/>
            <w:r>
              <w:rPr>
                <w:rFonts w:ascii="Times New Roman" w:hAnsi="Times New Roman"/>
                <w:b/>
                <w:sz w:val="15"/>
              </w:rPr>
              <w:t>APB F1</w:t>
            </w:r>
          </w:p>
        </w:tc>
        <w:tc>
          <w:tcPr>
            <w:tcW w:type="dxa" w:w="782"/>
            <w:shd w:fill="E8EDF3" w:val="clear"/>
            <w:vAlign w:val="center"/>
          </w:tcPr>
          <w:p>
            <w:pPr>
              <w:spacing w:before="20" w:after="20"/>
              <w:jc w:val="center"/>
            </w:pPr>
            <w:r/>
            <w:r>
              <w:rPr>
                <w:rFonts w:ascii="Times New Roman" w:hAnsi="Times New Roman"/>
                <w:b/>
                <w:sz w:val="15"/>
              </w:rPr>
              <w:t>Macro</w:t>
            </w:r>
          </w:p>
        </w:tc>
      </w:tr>
      <w:tr>
        <w:tc>
          <w:tcPr>
            <w:tcW w:type="dxa" w:w="782"/>
            <w:vAlign w:val="center"/>
          </w:tcPr>
          <w:p>
            <w:pPr>
              <w:spacing w:before="20" w:after="20"/>
              <w:jc w:val="left"/>
            </w:pPr>
            <w:r/>
            <w:r>
              <w:rPr>
                <w:rFonts w:ascii="Times New Roman" w:hAnsi="Times New Roman"/>
                <w:sz w:val="15"/>
              </w:rPr>
              <w:t>CNN</w:t>
            </w:r>
          </w:p>
        </w:tc>
        <w:tc>
          <w:tcPr>
            <w:tcW w:type="dxa" w:w="913"/>
            <w:vAlign w:val="center"/>
          </w:tcPr>
          <w:p>
            <w:pPr>
              <w:spacing w:before="20" w:after="20"/>
              <w:jc w:val="center"/>
            </w:pPr>
            <w:r/>
            <w:r>
              <w:rPr>
                <w:rFonts w:ascii="Times New Roman" w:hAnsi="Times New Roman"/>
                <w:sz w:val="15"/>
              </w:rPr>
              <w:t>baseline</w:t>
            </w:r>
          </w:p>
        </w:tc>
        <w:tc>
          <w:tcPr>
            <w:tcW w:type="dxa" w:w="782"/>
            <w:vAlign w:val="center"/>
          </w:tcPr>
          <w:p>
            <w:pPr>
              <w:spacing w:before="20" w:after="20"/>
              <w:jc w:val="center"/>
            </w:pPr>
            <w:r/>
            <w:r>
              <w:rPr>
                <w:rFonts w:ascii="Times New Roman" w:hAnsi="Times New Roman"/>
                <w:sz w:val="15"/>
              </w:rPr>
              <w:t>0.000</w:t>
            </w:r>
          </w:p>
        </w:tc>
        <w:tc>
          <w:tcPr>
            <w:tcW w:type="dxa" w:w="782"/>
            <w:vAlign w:val="center"/>
          </w:tcPr>
          <w:p>
            <w:pPr>
              <w:spacing w:before="20" w:after="20"/>
              <w:jc w:val="center"/>
            </w:pPr>
            <w:r/>
            <w:r>
              <w:rPr>
                <w:rFonts w:ascii="Times New Roman" w:hAnsi="Times New Roman"/>
                <w:sz w:val="15"/>
              </w:rPr>
              <w:t>0.000</w:t>
            </w:r>
          </w:p>
        </w:tc>
        <w:tc>
          <w:tcPr>
            <w:tcW w:type="dxa" w:w="782"/>
            <w:vAlign w:val="center"/>
          </w:tcPr>
          <w:p>
            <w:pPr>
              <w:spacing w:before="20" w:after="20"/>
              <w:jc w:val="center"/>
            </w:pPr>
            <w:r/>
            <w:r>
              <w:rPr>
                <w:rFonts w:ascii="Times New Roman" w:hAnsi="Times New Roman"/>
                <w:sz w:val="15"/>
              </w:rPr>
              <w:t>0.000</w:t>
            </w:r>
          </w:p>
        </w:tc>
        <w:tc>
          <w:tcPr>
            <w:tcW w:type="dxa" w:w="782"/>
            <w:vAlign w:val="center"/>
          </w:tcPr>
          <w:p>
            <w:pPr>
              <w:spacing w:before="20" w:after="20"/>
              <w:jc w:val="center"/>
            </w:pPr>
            <w:r/>
            <w:r>
              <w:rPr>
                <w:rFonts w:ascii="Times New Roman" w:hAnsi="Times New Roman"/>
                <w:sz w:val="15"/>
              </w:rPr>
              <w:t>0.233</w:t>
            </w:r>
          </w:p>
        </w:tc>
      </w:tr>
      <w:tr>
        <w:tc>
          <w:tcPr>
            <w:tcW w:type="dxa" w:w="782"/>
            <w:shd w:fill="F6F7F9" w:val="clear"/>
            <w:vAlign w:val="center"/>
          </w:tcPr>
          <w:p>
            <w:pPr>
              <w:spacing w:before="20" w:after="20"/>
              <w:jc w:val="left"/>
            </w:pPr>
            <w:r/>
            <w:r>
              <w:rPr>
                <w:rFonts w:ascii="Times New Roman" w:hAnsi="Times New Roman"/>
                <w:sz w:val="15"/>
              </w:rPr>
              <w:t>CNN</w:t>
            </w:r>
          </w:p>
        </w:tc>
        <w:tc>
          <w:tcPr>
            <w:tcW w:type="dxa" w:w="913"/>
            <w:shd w:fill="F6F7F9" w:val="clear"/>
            <w:vAlign w:val="center"/>
          </w:tcPr>
          <w:p>
            <w:pPr>
              <w:spacing w:before="20" w:after="20"/>
              <w:jc w:val="center"/>
            </w:pPr>
            <w:r/>
            <w:r>
              <w:rPr>
                <w:rFonts w:ascii="Times New Roman" w:hAnsi="Times New Roman"/>
                <w:sz w:val="15"/>
              </w:rPr>
              <w:t>weighted</w:t>
            </w:r>
          </w:p>
        </w:tc>
        <w:tc>
          <w:tcPr>
            <w:tcW w:type="dxa" w:w="782"/>
            <w:shd w:fill="F6F7F9" w:val="clear"/>
            <w:vAlign w:val="center"/>
          </w:tcPr>
          <w:p>
            <w:pPr>
              <w:spacing w:before="20" w:after="20"/>
              <w:jc w:val="center"/>
            </w:pPr>
            <w:r/>
            <w:r>
              <w:rPr>
                <w:rFonts w:ascii="Times New Roman" w:hAnsi="Times New Roman"/>
                <w:sz w:val="15"/>
              </w:rPr>
              <w:t>0.882</w:t>
            </w:r>
          </w:p>
        </w:tc>
        <w:tc>
          <w:tcPr>
            <w:tcW w:type="dxa" w:w="782"/>
            <w:shd w:fill="F6F7F9" w:val="clear"/>
            <w:vAlign w:val="center"/>
          </w:tcPr>
          <w:p>
            <w:pPr>
              <w:spacing w:before="20" w:after="20"/>
              <w:jc w:val="center"/>
            </w:pPr>
            <w:r/>
            <w:r>
              <w:rPr>
                <w:rFonts w:ascii="Times New Roman" w:hAnsi="Times New Roman"/>
                <w:sz w:val="15"/>
              </w:rPr>
              <w:t>0.625</w:t>
            </w:r>
          </w:p>
        </w:tc>
        <w:tc>
          <w:tcPr>
            <w:tcW w:type="dxa" w:w="782"/>
            <w:shd w:fill="F6F7F9" w:val="clear"/>
            <w:vAlign w:val="center"/>
          </w:tcPr>
          <w:p>
            <w:pPr>
              <w:spacing w:before="20" w:after="20"/>
              <w:jc w:val="center"/>
            </w:pPr>
            <w:r/>
            <w:r>
              <w:rPr>
                <w:rFonts w:ascii="Times New Roman" w:hAnsi="Times New Roman"/>
                <w:sz w:val="15"/>
              </w:rPr>
              <w:t>0.732</w:t>
            </w:r>
          </w:p>
        </w:tc>
        <w:tc>
          <w:tcPr>
            <w:tcW w:type="dxa" w:w="782"/>
            <w:shd w:fill="F6F7F9" w:val="clear"/>
            <w:vAlign w:val="center"/>
          </w:tcPr>
          <w:p>
            <w:pPr>
              <w:spacing w:before="20" w:after="20"/>
              <w:jc w:val="center"/>
            </w:pPr>
            <w:r/>
            <w:r>
              <w:rPr>
                <w:rFonts w:ascii="Times New Roman" w:hAnsi="Times New Roman"/>
                <w:sz w:val="15"/>
              </w:rPr>
              <w:t>0.838</w:t>
            </w:r>
          </w:p>
        </w:tc>
      </w:tr>
      <w:tr>
        <w:tc>
          <w:tcPr>
            <w:tcW w:type="dxa" w:w="782"/>
            <w:vAlign w:val="center"/>
          </w:tcPr>
          <w:p>
            <w:pPr>
              <w:spacing w:before="20" w:after="20"/>
              <w:jc w:val="left"/>
            </w:pPr>
            <w:r/>
            <w:r>
              <w:rPr>
                <w:rFonts w:ascii="Times New Roman" w:hAnsi="Times New Roman"/>
                <w:sz w:val="15"/>
              </w:rPr>
              <w:t>CNN</w:t>
            </w:r>
          </w:p>
        </w:tc>
        <w:tc>
          <w:tcPr>
            <w:tcW w:type="dxa" w:w="913"/>
            <w:vAlign w:val="center"/>
          </w:tcPr>
          <w:p>
            <w:pPr>
              <w:spacing w:before="20" w:after="20"/>
              <w:jc w:val="center"/>
            </w:pPr>
            <w:r/>
            <w:r>
              <w:rPr>
                <w:rFonts w:ascii="Times New Roman" w:hAnsi="Times New Roman"/>
                <w:sz w:val="15"/>
              </w:rPr>
              <w:t>focal</w:t>
            </w:r>
          </w:p>
        </w:tc>
        <w:tc>
          <w:tcPr>
            <w:tcW w:type="dxa" w:w="782"/>
            <w:vAlign w:val="center"/>
          </w:tcPr>
          <w:p>
            <w:pPr>
              <w:spacing w:before="20" w:after="20"/>
              <w:jc w:val="center"/>
            </w:pPr>
            <w:r/>
            <w:r>
              <w:rPr>
                <w:rFonts w:ascii="Times New Roman" w:hAnsi="Times New Roman"/>
                <w:sz w:val="15"/>
              </w:rPr>
              <w:t>0.425</w:t>
            </w:r>
          </w:p>
        </w:tc>
        <w:tc>
          <w:tcPr>
            <w:tcW w:type="dxa" w:w="782"/>
            <w:vAlign w:val="center"/>
          </w:tcPr>
          <w:p>
            <w:pPr>
              <w:spacing w:before="20" w:after="20"/>
              <w:jc w:val="center"/>
            </w:pPr>
            <w:r/>
            <w:r>
              <w:rPr>
                <w:rFonts w:ascii="Times New Roman" w:hAnsi="Times New Roman"/>
                <w:sz w:val="15"/>
              </w:rPr>
              <w:t>0.708</w:t>
            </w:r>
          </w:p>
        </w:tc>
        <w:tc>
          <w:tcPr>
            <w:tcW w:type="dxa" w:w="782"/>
            <w:vAlign w:val="center"/>
          </w:tcPr>
          <w:p>
            <w:pPr>
              <w:spacing w:before="20" w:after="20"/>
              <w:jc w:val="center"/>
            </w:pPr>
            <w:r/>
            <w:r>
              <w:rPr>
                <w:rFonts w:ascii="Times New Roman" w:hAnsi="Times New Roman"/>
                <w:sz w:val="15"/>
              </w:rPr>
              <w:t>0.531</w:t>
            </w:r>
          </w:p>
        </w:tc>
        <w:tc>
          <w:tcPr>
            <w:tcW w:type="dxa" w:w="782"/>
            <w:vAlign w:val="center"/>
          </w:tcPr>
          <w:p>
            <w:pPr>
              <w:spacing w:before="20" w:after="20"/>
              <w:jc w:val="center"/>
            </w:pPr>
            <w:r/>
            <w:r>
              <w:rPr>
                <w:rFonts w:ascii="Times New Roman" w:hAnsi="Times New Roman"/>
                <w:sz w:val="15"/>
              </w:rPr>
              <w:t>0.818</w:t>
            </w:r>
          </w:p>
        </w:tc>
      </w:tr>
      <w:tr>
        <w:tc>
          <w:tcPr>
            <w:tcW w:type="dxa" w:w="782"/>
            <w:shd w:fill="F6F7F9" w:val="clear"/>
            <w:vAlign w:val="center"/>
          </w:tcPr>
          <w:p>
            <w:pPr>
              <w:spacing w:before="20" w:after="20"/>
              <w:jc w:val="left"/>
            </w:pPr>
            <w:r/>
            <w:r>
              <w:rPr>
                <w:rFonts w:ascii="Times New Roman" w:hAnsi="Times New Roman"/>
                <w:sz w:val="15"/>
              </w:rPr>
              <w:t>CNN</w:t>
            </w:r>
          </w:p>
        </w:tc>
        <w:tc>
          <w:tcPr>
            <w:tcW w:type="dxa" w:w="913"/>
            <w:shd w:fill="F6F7F9" w:val="clear"/>
            <w:vAlign w:val="center"/>
          </w:tcPr>
          <w:p>
            <w:pPr>
              <w:spacing w:before="20" w:after="20"/>
              <w:jc w:val="center"/>
            </w:pPr>
            <w:r/>
            <w:r>
              <w:rPr>
                <w:rFonts w:ascii="Times New Roman" w:hAnsi="Times New Roman"/>
                <w:sz w:val="15"/>
              </w:rPr>
              <w:t>balanced</w:t>
            </w:r>
          </w:p>
        </w:tc>
        <w:tc>
          <w:tcPr>
            <w:tcW w:type="dxa" w:w="782"/>
            <w:shd w:fill="F6F7F9" w:val="clear"/>
            <w:vAlign w:val="center"/>
          </w:tcPr>
          <w:p>
            <w:pPr>
              <w:spacing w:before="20" w:after="20"/>
              <w:jc w:val="center"/>
            </w:pPr>
            <w:r/>
            <w:r>
              <w:rPr>
                <w:rFonts w:ascii="Times New Roman" w:hAnsi="Times New Roman"/>
                <w:sz w:val="15"/>
              </w:rPr>
              <w:t>0.929</w:t>
            </w:r>
          </w:p>
        </w:tc>
        <w:tc>
          <w:tcPr>
            <w:tcW w:type="dxa" w:w="782"/>
            <w:shd w:fill="F6F7F9" w:val="clear"/>
            <w:vAlign w:val="center"/>
          </w:tcPr>
          <w:p>
            <w:pPr>
              <w:spacing w:before="20" w:after="20"/>
              <w:jc w:val="center"/>
            </w:pPr>
            <w:r/>
            <w:r>
              <w:rPr>
                <w:rFonts w:ascii="Times New Roman" w:hAnsi="Times New Roman"/>
                <w:sz w:val="15"/>
              </w:rPr>
              <w:t>0.542</w:t>
            </w:r>
          </w:p>
        </w:tc>
        <w:tc>
          <w:tcPr>
            <w:tcW w:type="dxa" w:w="782"/>
            <w:shd w:fill="F6F7F9" w:val="clear"/>
            <w:vAlign w:val="center"/>
          </w:tcPr>
          <w:p>
            <w:pPr>
              <w:spacing w:before="20" w:after="20"/>
              <w:jc w:val="center"/>
            </w:pPr>
            <w:r/>
            <w:r>
              <w:rPr>
                <w:rFonts w:ascii="Times New Roman" w:hAnsi="Times New Roman"/>
                <w:sz w:val="15"/>
              </w:rPr>
              <w:t>0.684</w:t>
            </w:r>
          </w:p>
        </w:tc>
        <w:tc>
          <w:tcPr>
            <w:tcW w:type="dxa" w:w="782"/>
            <w:shd w:fill="F6F7F9" w:val="clear"/>
            <w:vAlign w:val="center"/>
          </w:tcPr>
          <w:p>
            <w:pPr>
              <w:spacing w:before="20" w:after="20"/>
              <w:jc w:val="center"/>
            </w:pPr>
            <w:r/>
            <w:r>
              <w:rPr>
                <w:rFonts w:ascii="Times New Roman" w:hAnsi="Times New Roman"/>
                <w:sz w:val="15"/>
              </w:rPr>
              <w:t>0.876</w:t>
            </w:r>
          </w:p>
        </w:tc>
      </w:tr>
      <w:tr>
        <w:tc>
          <w:tcPr>
            <w:tcW w:type="dxa" w:w="782"/>
            <w:vAlign w:val="center"/>
          </w:tcPr>
          <w:p>
            <w:pPr>
              <w:spacing w:before="20" w:after="20"/>
              <w:jc w:val="left"/>
            </w:pPr>
            <w:r/>
            <w:r>
              <w:rPr>
                <w:rFonts w:ascii="Times New Roman" w:hAnsi="Times New Roman"/>
                <w:sz w:val="15"/>
              </w:rPr>
              <w:t>TCN</w:t>
            </w:r>
          </w:p>
        </w:tc>
        <w:tc>
          <w:tcPr>
            <w:tcW w:type="dxa" w:w="913"/>
            <w:vAlign w:val="center"/>
          </w:tcPr>
          <w:p>
            <w:pPr>
              <w:spacing w:before="20" w:after="20"/>
              <w:jc w:val="center"/>
            </w:pPr>
            <w:r/>
            <w:r>
              <w:rPr>
                <w:rFonts w:ascii="Times New Roman" w:hAnsi="Times New Roman"/>
                <w:sz w:val="15"/>
              </w:rPr>
              <w:t>baseline</w:t>
            </w:r>
          </w:p>
        </w:tc>
        <w:tc>
          <w:tcPr>
            <w:tcW w:type="dxa" w:w="782"/>
            <w:vAlign w:val="center"/>
          </w:tcPr>
          <w:p>
            <w:pPr>
              <w:spacing w:before="20" w:after="20"/>
              <w:jc w:val="center"/>
            </w:pPr>
            <w:r/>
            <w:r>
              <w:rPr>
                <w:rFonts w:ascii="Times New Roman" w:hAnsi="Times New Roman"/>
                <w:sz w:val="15"/>
              </w:rPr>
              <w:t>0.875</w:t>
            </w:r>
          </w:p>
        </w:tc>
        <w:tc>
          <w:tcPr>
            <w:tcW w:type="dxa" w:w="782"/>
            <w:vAlign w:val="center"/>
          </w:tcPr>
          <w:p>
            <w:pPr>
              <w:spacing w:before="20" w:after="20"/>
              <w:jc w:val="center"/>
            </w:pPr>
            <w:r/>
            <w:r>
              <w:rPr>
                <w:rFonts w:ascii="Times New Roman" w:hAnsi="Times New Roman"/>
                <w:sz w:val="15"/>
              </w:rPr>
              <w:t>0.583</w:t>
            </w:r>
          </w:p>
        </w:tc>
        <w:tc>
          <w:tcPr>
            <w:tcW w:type="dxa" w:w="782"/>
            <w:vAlign w:val="center"/>
          </w:tcPr>
          <w:p>
            <w:pPr>
              <w:spacing w:before="20" w:after="20"/>
              <w:jc w:val="center"/>
            </w:pPr>
            <w:r/>
            <w:r>
              <w:rPr>
                <w:rFonts w:ascii="Times New Roman" w:hAnsi="Times New Roman"/>
                <w:sz w:val="15"/>
              </w:rPr>
              <w:t>0.700</w:t>
            </w:r>
          </w:p>
        </w:tc>
        <w:tc>
          <w:tcPr>
            <w:tcW w:type="dxa" w:w="782"/>
            <w:vAlign w:val="center"/>
          </w:tcPr>
          <w:p>
            <w:pPr>
              <w:spacing w:before="20" w:after="20"/>
              <w:jc w:val="center"/>
            </w:pPr>
            <w:r/>
            <w:r>
              <w:rPr>
                <w:rFonts w:ascii="Times New Roman" w:hAnsi="Times New Roman"/>
                <w:sz w:val="15"/>
              </w:rPr>
              <w:t>0.753</w:t>
            </w:r>
          </w:p>
        </w:tc>
      </w:tr>
      <w:tr>
        <w:tc>
          <w:tcPr>
            <w:tcW w:type="dxa" w:w="782"/>
            <w:shd w:fill="F6F7F9" w:val="clear"/>
            <w:vAlign w:val="center"/>
          </w:tcPr>
          <w:p>
            <w:pPr>
              <w:spacing w:before="20" w:after="20"/>
              <w:jc w:val="left"/>
            </w:pPr>
            <w:r/>
            <w:r>
              <w:rPr>
                <w:rFonts w:ascii="Times New Roman" w:hAnsi="Times New Roman"/>
                <w:sz w:val="15"/>
              </w:rPr>
              <w:t>TCN</w:t>
            </w:r>
          </w:p>
        </w:tc>
        <w:tc>
          <w:tcPr>
            <w:tcW w:type="dxa" w:w="913"/>
            <w:shd w:fill="F6F7F9" w:val="clear"/>
            <w:vAlign w:val="center"/>
          </w:tcPr>
          <w:p>
            <w:pPr>
              <w:spacing w:before="20" w:after="20"/>
              <w:jc w:val="center"/>
            </w:pPr>
            <w:r/>
            <w:r>
              <w:rPr>
                <w:rFonts w:ascii="Times New Roman" w:hAnsi="Times New Roman"/>
                <w:sz w:val="15"/>
              </w:rPr>
              <w:t>weighted</w:t>
            </w:r>
          </w:p>
        </w:tc>
        <w:tc>
          <w:tcPr>
            <w:tcW w:type="dxa" w:w="782"/>
            <w:shd w:fill="F6F7F9" w:val="clear"/>
            <w:vAlign w:val="center"/>
          </w:tcPr>
          <w:p>
            <w:pPr>
              <w:spacing w:before="20" w:after="20"/>
              <w:jc w:val="center"/>
            </w:pPr>
            <w:r/>
            <w:r>
              <w:rPr>
                <w:rFonts w:ascii="Times New Roman" w:hAnsi="Times New Roman"/>
                <w:sz w:val="15"/>
              </w:rPr>
              <w:t>0.750</w:t>
            </w:r>
          </w:p>
        </w:tc>
        <w:tc>
          <w:tcPr>
            <w:tcW w:type="dxa" w:w="782"/>
            <w:shd w:fill="F6F7F9" w:val="clear"/>
            <w:vAlign w:val="center"/>
          </w:tcPr>
          <w:p>
            <w:pPr>
              <w:spacing w:before="20" w:after="20"/>
              <w:jc w:val="center"/>
            </w:pPr>
            <w:r/>
            <w:r>
              <w:rPr>
                <w:rFonts w:ascii="Times New Roman" w:hAnsi="Times New Roman"/>
                <w:sz w:val="15"/>
              </w:rPr>
              <w:t>0.625</w:t>
            </w:r>
          </w:p>
        </w:tc>
        <w:tc>
          <w:tcPr>
            <w:tcW w:type="dxa" w:w="782"/>
            <w:shd w:fill="F6F7F9" w:val="clear"/>
            <w:vAlign w:val="center"/>
          </w:tcPr>
          <w:p>
            <w:pPr>
              <w:spacing w:before="20" w:after="20"/>
              <w:jc w:val="center"/>
            </w:pPr>
            <w:r/>
            <w:r>
              <w:rPr>
                <w:rFonts w:ascii="Times New Roman" w:hAnsi="Times New Roman"/>
                <w:sz w:val="15"/>
              </w:rPr>
              <w:t>0.682</w:t>
            </w:r>
          </w:p>
        </w:tc>
        <w:tc>
          <w:tcPr>
            <w:tcW w:type="dxa" w:w="782"/>
            <w:shd w:fill="F6F7F9" w:val="clear"/>
            <w:vAlign w:val="center"/>
          </w:tcPr>
          <w:p>
            <w:pPr>
              <w:spacing w:before="20" w:after="20"/>
              <w:jc w:val="center"/>
            </w:pPr>
            <w:r/>
            <w:r>
              <w:rPr>
                <w:rFonts w:ascii="Times New Roman" w:hAnsi="Times New Roman"/>
                <w:sz w:val="15"/>
              </w:rPr>
              <w:t>0.876</w:t>
            </w:r>
          </w:p>
        </w:tc>
      </w:tr>
      <w:tr>
        <w:tc>
          <w:tcPr>
            <w:tcW w:type="dxa" w:w="782"/>
            <w:vAlign w:val="center"/>
          </w:tcPr>
          <w:p>
            <w:pPr>
              <w:spacing w:before="20" w:after="20"/>
              <w:jc w:val="left"/>
            </w:pPr>
            <w:r/>
            <w:r>
              <w:rPr>
                <w:rFonts w:ascii="Times New Roman" w:hAnsi="Times New Roman"/>
                <w:sz w:val="15"/>
              </w:rPr>
              <w:t>LSTM</w:t>
            </w:r>
          </w:p>
        </w:tc>
        <w:tc>
          <w:tcPr>
            <w:tcW w:type="dxa" w:w="913"/>
            <w:vAlign w:val="center"/>
          </w:tcPr>
          <w:p>
            <w:pPr>
              <w:spacing w:before="20" w:after="20"/>
              <w:jc w:val="center"/>
            </w:pPr>
            <w:r/>
            <w:r>
              <w:rPr>
                <w:rFonts w:ascii="Times New Roman" w:hAnsi="Times New Roman"/>
                <w:sz w:val="15"/>
              </w:rPr>
              <w:t>baseline</w:t>
            </w:r>
          </w:p>
        </w:tc>
        <w:tc>
          <w:tcPr>
            <w:tcW w:type="dxa" w:w="782"/>
            <w:vAlign w:val="center"/>
          </w:tcPr>
          <w:p>
            <w:pPr>
              <w:spacing w:before="20" w:after="20"/>
              <w:jc w:val="center"/>
            </w:pPr>
            <w:r/>
            <w:r>
              <w:rPr>
                <w:rFonts w:ascii="Times New Roman" w:hAnsi="Times New Roman"/>
                <w:sz w:val="15"/>
              </w:rPr>
              <w:t>0.143</w:t>
            </w:r>
          </w:p>
        </w:tc>
        <w:tc>
          <w:tcPr>
            <w:tcW w:type="dxa" w:w="782"/>
            <w:vAlign w:val="center"/>
          </w:tcPr>
          <w:p>
            <w:pPr>
              <w:spacing w:before="20" w:after="20"/>
              <w:jc w:val="center"/>
            </w:pPr>
            <w:r/>
            <w:r>
              <w:rPr>
                <w:rFonts w:ascii="Times New Roman" w:hAnsi="Times New Roman"/>
                <w:sz w:val="15"/>
              </w:rPr>
              <w:t>0.042</w:t>
            </w:r>
          </w:p>
        </w:tc>
        <w:tc>
          <w:tcPr>
            <w:tcW w:type="dxa" w:w="782"/>
            <w:vAlign w:val="center"/>
          </w:tcPr>
          <w:p>
            <w:pPr>
              <w:spacing w:before="20" w:after="20"/>
              <w:jc w:val="center"/>
            </w:pPr>
            <w:r/>
            <w:r>
              <w:rPr>
                <w:rFonts w:ascii="Times New Roman" w:hAnsi="Times New Roman"/>
                <w:sz w:val="15"/>
              </w:rPr>
              <w:t>0.065</w:t>
            </w:r>
          </w:p>
        </w:tc>
        <w:tc>
          <w:tcPr>
            <w:tcW w:type="dxa" w:w="782"/>
            <w:vAlign w:val="center"/>
          </w:tcPr>
          <w:p>
            <w:pPr>
              <w:spacing w:before="20" w:after="20"/>
              <w:jc w:val="center"/>
            </w:pPr>
            <w:r/>
            <w:r>
              <w:rPr>
                <w:rFonts w:ascii="Times New Roman" w:hAnsi="Times New Roman"/>
                <w:sz w:val="15"/>
              </w:rPr>
              <w:t>0.299</w:t>
            </w:r>
          </w:p>
        </w:tc>
      </w:tr>
      <w:tr>
        <w:tc>
          <w:tcPr>
            <w:tcW w:type="dxa" w:w="782"/>
            <w:shd w:fill="F6F7F9" w:val="clear"/>
            <w:vAlign w:val="center"/>
          </w:tcPr>
          <w:p>
            <w:pPr>
              <w:spacing w:before="20" w:after="20"/>
              <w:jc w:val="left"/>
            </w:pPr>
            <w:r/>
            <w:r>
              <w:rPr>
                <w:rFonts w:ascii="Times New Roman" w:hAnsi="Times New Roman"/>
                <w:sz w:val="15"/>
              </w:rPr>
              <w:t>GRU</w:t>
            </w:r>
          </w:p>
        </w:tc>
        <w:tc>
          <w:tcPr>
            <w:tcW w:type="dxa" w:w="913"/>
            <w:shd w:fill="F6F7F9" w:val="clear"/>
            <w:vAlign w:val="center"/>
          </w:tcPr>
          <w:p>
            <w:pPr>
              <w:spacing w:before="20" w:after="20"/>
              <w:jc w:val="center"/>
            </w:pPr>
            <w:r/>
            <w:r>
              <w:rPr>
                <w:rFonts w:ascii="Times New Roman" w:hAnsi="Times New Roman"/>
                <w:sz w:val="15"/>
              </w:rPr>
              <w:t>weighted</w:t>
            </w:r>
          </w:p>
        </w:tc>
        <w:tc>
          <w:tcPr>
            <w:tcW w:type="dxa" w:w="782"/>
            <w:shd w:fill="F6F7F9" w:val="clear"/>
            <w:vAlign w:val="center"/>
          </w:tcPr>
          <w:p>
            <w:pPr>
              <w:spacing w:before="20" w:after="20"/>
              <w:jc w:val="center"/>
            </w:pPr>
            <w:r/>
            <w:r>
              <w:rPr>
                <w:rFonts w:ascii="Times New Roman" w:hAnsi="Times New Roman"/>
                <w:sz w:val="15"/>
              </w:rPr>
              <w:t>0.200</w:t>
            </w:r>
          </w:p>
        </w:tc>
        <w:tc>
          <w:tcPr>
            <w:tcW w:type="dxa" w:w="782"/>
            <w:shd w:fill="F6F7F9" w:val="clear"/>
            <w:vAlign w:val="center"/>
          </w:tcPr>
          <w:p>
            <w:pPr>
              <w:spacing w:before="20" w:after="20"/>
              <w:jc w:val="center"/>
            </w:pPr>
            <w:r/>
            <w:r>
              <w:rPr>
                <w:rFonts w:ascii="Times New Roman" w:hAnsi="Times New Roman"/>
                <w:sz w:val="15"/>
              </w:rPr>
              <w:t>0.375</w:t>
            </w:r>
          </w:p>
        </w:tc>
        <w:tc>
          <w:tcPr>
            <w:tcW w:type="dxa" w:w="782"/>
            <w:shd w:fill="F6F7F9" w:val="clear"/>
            <w:vAlign w:val="center"/>
          </w:tcPr>
          <w:p>
            <w:pPr>
              <w:spacing w:before="20" w:after="20"/>
              <w:jc w:val="center"/>
            </w:pPr>
            <w:r/>
            <w:r>
              <w:rPr>
                <w:rFonts w:ascii="Times New Roman" w:hAnsi="Times New Roman"/>
                <w:sz w:val="15"/>
              </w:rPr>
              <w:t>0.261</w:t>
            </w:r>
          </w:p>
        </w:tc>
        <w:tc>
          <w:tcPr>
            <w:tcW w:type="dxa" w:w="782"/>
            <w:shd w:fill="F6F7F9" w:val="clear"/>
            <w:vAlign w:val="center"/>
          </w:tcPr>
          <w:p>
            <w:pPr>
              <w:spacing w:before="20" w:after="20"/>
              <w:jc w:val="center"/>
            </w:pPr>
            <w:r/>
            <w:r>
              <w:rPr>
                <w:rFonts w:ascii="Times New Roman" w:hAnsi="Times New Roman"/>
                <w:sz w:val="15"/>
              </w:rPr>
              <w:t>0.642</w:t>
            </w:r>
          </w:p>
        </w:tc>
      </w:tr>
    </w:tbl>
    <w:p>
      <w:pPr>
        <w:spacing w:after="40"/>
      </w:pPr>
    </w:p>
    <w:p>
      <w:pPr>
        <w:spacing w:after="60" w:line="259" w:lineRule="auto"/>
        <w:ind w:firstLine="202"/>
        <w:jc w:val="both"/>
      </w:pPr>
      <w:r>
        <w:rPr>
          <w:rFonts w:ascii="Times New Roman" w:hAnsi="Times New Roman"/>
          <w:sz w:val="20"/>
        </w:rPr>
        <w:t xml:space="preserve">Grouped CV (Table II, 5×2 identical folds) ties CNN 0.619±0.242 and TCN 0.615±0.229 (CIs overlap), followed by LSTM 0.582±0.096 and GRU 0.526±0.170; APB support 0–502 per fold explains the large SD. </w:t>
      </w:r>
      <w:r>
        <w:rPr>
          <w:rFonts w:ascii="Times New Roman" w:hAnsi="Times New Roman"/>
          <w:sz w:val="20"/>
        </w:rPr>
        <w:t xml:space="preserve">On the single held-out split (493/24/401, Table III), CNN baseline collapses on APB (F1 0.000); class weighting lifts it to 0.732 (P 0.882, R 0.625; harmonic mean 0.732) and balanced sampling gives 0.684 at the best macro (0.876). </w:t>
      </w:r>
      <w:r>
        <w:rPr>
          <w:rFonts w:ascii="Times New Roman" w:hAnsi="Times New Roman"/>
          <w:sz w:val="20"/>
        </w:rPr>
        <w:t xml:space="preserve">TCN tells the opposite story: its unmitigated baseline already scores APB 0.700—within rounding of CNN's best mitigated 0.732—and every mitigation strategy trades it away slightly (0.667–0.682) for macro gain. </w:t>
      </w:r>
      <w:r>
        <w:rPr>
          <w:rFonts w:ascii="Times New Roman" w:hAnsi="Times New Roman"/>
          <w:sz w:val="20"/>
        </w:rPr>
        <w:t>LSTM/GRU's best APB is 0.261 even with weighting, confirming that architecture matters beyond loss balancing.</w:t>
      </w:r>
    </w:p>
    <w:p>
      <w:pPr>
        <w:spacing w:after="60" w:line="259" w:lineRule="auto"/>
        <w:jc w:val="both"/>
      </w:pPr>
      <w:r>
        <w:rPr>
          <w:rFonts w:ascii="Times New Roman" w:hAnsi="Times New Roman"/>
          <w:b/>
          <w:i/>
          <w:sz w:val="20"/>
        </w:rPr>
        <w:t xml:space="preserve">Discussion. </w:t>
      </w:r>
      <w:r>
        <w:rPr>
          <w:rFonts w:ascii="Times New Roman" w:hAnsi="Times New Roman"/>
          <w:sz w:val="20"/>
        </w:rPr>
        <w:t xml:space="preserve">The TCN contrast is the key insight: it handles APB scarcity intrinsically (dilated causal convolutions aggregate long-range context without gating saturation), whereas CNN requires explicit rebalancing and recurrent gates cannot recover a class they never fire on. Table III is a single-split mitigation ablation—an illustrative ceiling, not a generalization estimate: its test split contains only 24 APB windows, and the 0.876 macro reflects one favorable fold. Table II's 5×2 cross-validated average (0.619) is the honest number. </w:t>
      </w:r>
      <w:r>
        <w:rPr>
          <w:rFonts w:ascii="Times New Roman" w:hAnsi="Times New Roman"/>
          <w:sz w:val="20"/>
        </w:rPr>
        <w:t>PVC SD ≈0.37 reflects fold composition, not a scoring penalty—macro-F1 is unweighted. Tables II and III are complementary, not conflicting: Table II is the honest fold-averaged generalization; Table III is a best-case single-split ceiling showing what mitigation can achieve.</w:t>
      </w:r>
    </w:p>
    <w:p>
      <w:pPr>
        <w:pStyle w:val="Heading2"/>
      </w:pPr>
      <w:r>
        <w:rPr>
          <w:rFonts w:ascii="Times New Roman" w:hAnsi="Times New Roman"/>
          <w:b/>
          <w:i/>
          <w:sz w:val="19"/>
        </w:rPr>
        <w:t>B.  Noise Robustness</w:t>
      </w:r>
    </w:p>
    <w:p>
      <w:pPr>
        <w:pStyle w:val="Caption"/>
        <w:spacing w:before="80" w:after="20"/>
        <w:jc w:val="center"/>
      </w:pPr>
      <w:r>
        <w:rPr>
          <w:rFonts w:ascii="Times New Roman" w:hAnsi="Times New Roman"/>
          <w:b/>
          <w:smallCaps/>
          <w:sz w:val="16"/>
        </w:rPr>
        <w:t>TABLE IV: Noise robustness on the robust CNN: macro-F1 by front-end across SNR, averaged over the 5 artifact types. Bandpass is strongest or tied at ≥5 dB; AE only wins at 0 dB by +0.02.</w:t>
      </w:r>
    </w:p>
    <w:tbl>
      <w:tblPr>
        <w:tblStyle w:val="LightGrid-Accent1"/>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1089"/>
            <w:shd w:fill="E8EDF3" w:val="clear"/>
            <w:vAlign w:val="center"/>
          </w:tcPr>
          <w:p>
            <w:pPr>
              <w:spacing w:before="20" w:after="20"/>
              <w:jc w:val="center"/>
            </w:pPr>
            <w:r/>
            <w:r>
              <w:rPr>
                <w:rFonts w:ascii="Times New Roman" w:hAnsi="Times New Roman"/>
                <w:b/>
                <w:sz w:val="15"/>
              </w:rPr>
              <w:t>SNR (dB)</w:t>
            </w:r>
          </w:p>
        </w:tc>
        <w:tc>
          <w:tcPr>
            <w:tcW w:type="dxa" w:w="1089"/>
            <w:shd w:fill="E8EDF3" w:val="clear"/>
            <w:vAlign w:val="center"/>
          </w:tcPr>
          <w:p>
            <w:pPr>
              <w:spacing w:before="20" w:after="20"/>
              <w:jc w:val="center"/>
            </w:pPr>
            <w:r/>
            <w:r>
              <w:rPr>
                <w:rFonts w:ascii="Times New Roman" w:hAnsi="Times New Roman"/>
                <w:b/>
                <w:sz w:val="15"/>
              </w:rPr>
              <w:t>Raw</w:t>
            </w:r>
          </w:p>
        </w:tc>
        <w:tc>
          <w:tcPr>
            <w:tcW w:type="dxa" w:w="1323"/>
            <w:shd w:fill="E8EDF3" w:val="clear"/>
            <w:vAlign w:val="center"/>
          </w:tcPr>
          <w:p>
            <w:pPr>
              <w:spacing w:before="20" w:after="20"/>
              <w:jc w:val="center"/>
            </w:pPr>
            <w:r/>
            <w:r>
              <w:rPr>
                <w:rFonts w:ascii="Times New Roman" w:hAnsi="Times New Roman"/>
                <w:b/>
                <w:sz w:val="15"/>
              </w:rPr>
              <w:t>Bandpass</w:t>
            </w:r>
          </w:p>
        </w:tc>
        <w:tc>
          <w:tcPr>
            <w:tcW w:type="dxa" w:w="1323"/>
            <w:shd w:fill="E8EDF3" w:val="clear"/>
            <w:vAlign w:val="center"/>
          </w:tcPr>
          <w:p>
            <w:pPr>
              <w:spacing w:before="20" w:after="20"/>
              <w:jc w:val="center"/>
            </w:pPr>
            <w:r/>
            <w:r>
              <w:rPr>
                <w:rFonts w:ascii="Times New Roman" w:hAnsi="Times New Roman"/>
                <w:b/>
                <w:sz w:val="15"/>
              </w:rPr>
              <w:t>Autoencoder</w:t>
            </w:r>
          </w:p>
        </w:tc>
      </w:tr>
      <w:tr>
        <w:tc>
          <w:tcPr>
            <w:tcW w:type="dxa" w:w="1089"/>
            <w:vAlign w:val="center"/>
          </w:tcPr>
          <w:p>
            <w:pPr>
              <w:spacing w:before="20" w:after="20"/>
              <w:jc w:val="left"/>
            </w:pPr>
            <w:r/>
            <w:r>
              <w:rPr>
                <w:rFonts w:ascii="Times New Roman" w:hAnsi="Times New Roman"/>
                <w:sz w:val="15"/>
              </w:rPr>
              <w:t>0</w:t>
            </w:r>
          </w:p>
        </w:tc>
        <w:tc>
          <w:tcPr>
            <w:tcW w:type="dxa" w:w="1089"/>
            <w:vAlign w:val="center"/>
          </w:tcPr>
          <w:p>
            <w:pPr>
              <w:spacing w:before="20" w:after="20"/>
              <w:jc w:val="center"/>
            </w:pPr>
            <w:r/>
            <w:r>
              <w:rPr>
                <w:rFonts w:ascii="Times New Roman" w:hAnsi="Times New Roman"/>
                <w:sz w:val="15"/>
              </w:rPr>
              <w:t>0.233</w:t>
            </w:r>
          </w:p>
        </w:tc>
        <w:tc>
          <w:tcPr>
            <w:tcW w:type="dxa" w:w="1323"/>
            <w:vAlign w:val="center"/>
          </w:tcPr>
          <w:p>
            <w:pPr>
              <w:spacing w:before="20" w:after="20"/>
              <w:jc w:val="center"/>
            </w:pPr>
            <w:r/>
            <w:r>
              <w:rPr>
                <w:rFonts w:ascii="Times New Roman" w:hAnsi="Times New Roman"/>
                <w:sz w:val="15"/>
              </w:rPr>
              <w:t>0.455</w:t>
            </w:r>
          </w:p>
        </w:tc>
        <w:tc>
          <w:tcPr>
            <w:tcW w:type="dxa" w:w="1323"/>
            <w:vAlign w:val="center"/>
          </w:tcPr>
          <w:p>
            <w:pPr>
              <w:spacing w:before="20" w:after="20"/>
              <w:jc w:val="center"/>
            </w:pPr>
            <w:r/>
            <w:r>
              <w:rPr>
                <w:rFonts w:ascii="Times New Roman" w:hAnsi="Times New Roman"/>
                <w:sz w:val="15"/>
              </w:rPr>
              <w:t>0.475</w:t>
            </w:r>
          </w:p>
        </w:tc>
      </w:tr>
      <w:tr>
        <w:tc>
          <w:tcPr>
            <w:tcW w:type="dxa" w:w="1089"/>
            <w:shd w:fill="F6F7F9" w:val="clear"/>
            <w:vAlign w:val="center"/>
          </w:tcPr>
          <w:p>
            <w:pPr>
              <w:spacing w:before="20" w:after="20"/>
              <w:jc w:val="left"/>
            </w:pPr>
            <w:r/>
            <w:r>
              <w:rPr>
                <w:rFonts w:ascii="Times New Roman" w:hAnsi="Times New Roman"/>
                <w:sz w:val="15"/>
              </w:rPr>
              <w:t>5</w:t>
            </w:r>
          </w:p>
        </w:tc>
        <w:tc>
          <w:tcPr>
            <w:tcW w:type="dxa" w:w="1089"/>
            <w:shd w:fill="F6F7F9" w:val="clear"/>
            <w:vAlign w:val="center"/>
          </w:tcPr>
          <w:p>
            <w:pPr>
              <w:spacing w:before="20" w:after="20"/>
              <w:jc w:val="center"/>
            </w:pPr>
            <w:r/>
            <w:r>
              <w:rPr>
                <w:rFonts w:ascii="Times New Roman" w:hAnsi="Times New Roman"/>
                <w:sz w:val="15"/>
              </w:rPr>
              <w:t>0.233</w:t>
            </w:r>
          </w:p>
        </w:tc>
        <w:tc>
          <w:tcPr>
            <w:tcW w:type="dxa" w:w="1323"/>
            <w:shd w:fill="F6F7F9" w:val="clear"/>
            <w:vAlign w:val="center"/>
          </w:tcPr>
          <w:p>
            <w:pPr>
              <w:spacing w:before="20" w:after="20"/>
              <w:jc w:val="center"/>
            </w:pPr>
            <w:r/>
            <w:r>
              <w:rPr>
                <w:rFonts w:ascii="Times New Roman" w:hAnsi="Times New Roman"/>
                <w:sz w:val="15"/>
              </w:rPr>
              <w:t>0.628</w:t>
            </w:r>
          </w:p>
        </w:tc>
        <w:tc>
          <w:tcPr>
            <w:tcW w:type="dxa" w:w="1323"/>
            <w:shd w:fill="F6F7F9" w:val="clear"/>
            <w:vAlign w:val="center"/>
          </w:tcPr>
          <w:p>
            <w:pPr>
              <w:spacing w:before="20" w:after="20"/>
              <w:jc w:val="center"/>
            </w:pPr>
            <w:r/>
            <w:r>
              <w:rPr>
                <w:rFonts w:ascii="Times New Roman" w:hAnsi="Times New Roman"/>
                <w:sz w:val="15"/>
              </w:rPr>
              <w:t>0.563</w:t>
            </w:r>
          </w:p>
        </w:tc>
      </w:tr>
      <w:tr>
        <w:tc>
          <w:tcPr>
            <w:tcW w:type="dxa" w:w="1089"/>
            <w:vAlign w:val="center"/>
          </w:tcPr>
          <w:p>
            <w:pPr>
              <w:spacing w:before="20" w:after="20"/>
              <w:jc w:val="left"/>
            </w:pPr>
            <w:r/>
            <w:r>
              <w:rPr>
                <w:rFonts w:ascii="Times New Roman" w:hAnsi="Times New Roman"/>
                <w:sz w:val="15"/>
              </w:rPr>
              <w:t>10</w:t>
            </w:r>
          </w:p>
        </w:tc>
        <w:tc>
          <w:tcPr>
            <w:tcW w:type="dxa" w:w="1089"/>
            <w:vAlign w:val="center"/>
          </w:tcPr>
          <w:p>
            <w:pPr>
              <w:spacing w:before="20" w:after="20"/>
              <w:jc w:val="center"/>
            </w:pPr>
            <w:r/>
            <w:r>
              <w:rPr>
                <w:rFonts w:ascii="Times New Roman" w:hAnsi="Times New Roman"/>
                <w:sz w:val="15"/>
              </w:rPr>
              <w:t>0.286</w:t>
            </w:r>
          </w:p>
        </w:tc>
        <w:tc>
          <w:tcPr>
            <w:tcW w:type="dxa" w:w="1323"/>
            <w:vAlign w:val="center"/>
          </w:tcPr>
          <w:p>
            <w:pPr>
              <w:spacing w:before="20" w:after="20"/>
              <w:jc w:val="center"/>
            </w:pPr>
            <w:r/>
            <w:r>
              <w:rPr>
                <w:rFonts w:ascii="Times New Roman" w:hAnsi="Times New Roman"/>
                <w:sz w:val="15"/>
              </w:rPr>
              <w:t>0.726</w:t>
            </w:r>
          </w:p>
        </w:tc>
        <w:tc>
          <w:tcPr>
            <w:tcW w:type="dxa" w:w="1323"/>
            <w:vAlign w:val="center"/>
          </w:tcPr>
          <w:p>
            <w:pPr>
              <w:spacing w:before="20" w:after="20"/>
              <w:jc w:val="center"/>
            </w:pPr>
            <w:r/>
            <w:r>
              <w:rPr>
                <w:rFonts w:ascii="Times New Roman" w:hAnsi="Times New Roman"/>
                <w:sz w:val="15"/>
              </w:rPr>
              <w:t>0.586</w:t>
            </w:r>
          </w:p>
        </w:tc>
      </w:tr>
      <w:tr>
        <w:tc>
          <w:tcPr>
            <w:tcW w:type="dxa" w:w="1089"/>
            <w:shd w:fill="F6F7F9" w:val="clear"/>
            <w:vAlign w:val="center"/>
          </w:tcPr>
          <w:p>
            <w:pPr>
              <w:spacing w:before="20" w:after="20"/>
              <w:jc w:val="left"/>
            </w:pPr>
            <w:r/>
            <w:r>
              <w:rPr>
                <w:rFonts w:ascii="Times New Roman" w:hAnsi="Times New Roman"/>
                <w:sz w:val="15"/>
              </w:rPr>
              <w:t>15</w:t>
            </w:r>
          </w:p>
        </w:tc>
        <w:tc>
          <w:tcPr>
            <w:tcW w:type="dxa" w:w="1089"/>
            <w:shd w:fill="F6F7F9" w:val="clear"/>
            <w:vAlign w:val="center"/>
          </w:tcPr>
          <w:p>
            <w:pPr>
              <w:spacing w:before="20" w:after="20"/>
              <w:jc w:val="center"/>
            </w:pPr>
            <w:r/>
            <w:r>
              <w:rPr>
                <w:rFonts w:ascii="Times New Roman" w:hAnsi="Times New Roman"/>
                <w:sz w:val="15"/>
              </w:rPr>
              <w:t>0.462</w:t>
            </w:r>
          </w:p>
        </w:tc>
        <w:tc>
          <w:tcPr>
            <w:tcW w:type="dxa" w:w="1323"/>
            <w:shd w:fill="F6F7F9" w:val="clear"/>
            <w:vAlign w:val="center"/>
          </w:tcPr>
          <w:p>
            <w:pPr>
              <w:spacing w:before="20" w:after="20"/>
              <w:jc w:val="center"/>
            </w:pPr>
            <w:r/>
            <w:r>
              <w:rPr>
                <w:rFonts w:ascii="Times New Roman" w:hAnsi="Times New Roman"/>
                <w:sz w:val="15"/>
              </w:rPr>
              <w:t>0.751</w:t>
            </w:r>
          </w:p>
        </w:tc>
        <w:tc>
          <w:tcPr>
            <w:tcW w:type="dxa" w:w="1323"/>
            <w:shd w:fill="F6F7F9" w:val="clear"/>
            <w:vAlign w:val="center"/>
          </w:tcPr>
          <w:p>
            <w:pPr>
              <w:spacing w:before="20" w:after="20"/>
              <w:jc w:val="center"/>
            </w:pPr>
            <w:r/>
            <w:r>
              <w:rPr>
                <w:rFonts w:ascii="Times New Roman" w:hAnsi="Times New Roman"/>
                <w:sz w:val="15"/>
              </w:rPr>
              <w:t>0.614</w:t>
            </w:r>
          </w:p>
        </w:tc>
      </w:tr>
      <w:tr>
        <w:tc>
          <w:tcPr>
            <w:tcW w:type="dxa" w:w="1089"/>
            <w:vAlign w:val="center"/>
          </w:tcPr>
          <w:p>
            <w:pPr>
              <w:spacing w:before="20" w:after="20"/>
              <w:jc w:val="left"/>
            </w:pPr>
            <w:r/>
            <w:r>
              <w:rPr>
                <w:rFonts w:ascii="Times New Roman" w:hAnsi="Times New Roman"/>
                <w:sz w:val="15"/>
              </w:rPr>
              <w:t>20</w:t>
            </w:r>
          </w:p>
        </w:tc>
        <w:tc>
          <w:tcPr>
            <w:tcW w:type="dxa" w:w="1089"/>
            <w:vAlign w:val="center"/>
          </w:tcPr>
          <w:p>
            <w:pPr>
              <w:spacing w:before="20" w:after="20"/>
              <w:jc w:val="center"/>
            </w:pPr>
            <w:r/>
            <w:r>
              <w:rPr>
                <w:rFonts w:ascii="Times New Roman" w:hAnsi="Times New Roman"/>
                <w:sz w:val="15"/>
              </w:rPr>
              <w:t>0.683</w:t>
            </w:r>
          </w:p>
        </w:tc>
        <w:tc>
          <w:tcPr>
            <w:tcW w:type="dxa" w:w="1323"/>
            <w:vAlign w:val="center"/>
          </w:tcPr>
          <w:p>
            <w:pPr>
              <w:spacing w:before="20" w:after="20"/>
              <w:jc w:val="center"/>
            </w:pPr>
            <w:r/>
            <w:r>
              <w:rPr>
                <w:rFonts w:ascii="Times New Roman" w:hAnsi="Times New Roman"/>
                <w:sz w:val="15"/>
              </w:rPr>
              <w:t>0.723</w:t>
            </w:r>
          </w:p>
        </w:tc>
        <w:tc>
          <w:tcPr>
            <w:tcW w:type="dxa" w:w="1323"/>
            <w:vAlign w:val="center"/>
          </w:tcPr>
          <w:p>
            <w:pPr>
              <w:spacing w:before="20" w:after="20"/>
              <w:jc w:val="center"/>
            </w:pPr>
            <w:r/>
            <w:r>
              <w:rPr>
                <w:rFonts w:ascii="Times New Roman" w:hAnsi="Times New Roman"/>
                <w:sz w:val="15"/>
              </w:rPr>
              <w:t>0.629</w:t>
            </w:r>
          </w:p>
        </w:tc>
      </w:tr>
      <w:tr>
        <w:tc>
          <w:tcPr>
            <w:tcW w:type="dxa" w:w="1089"/>
            <w:shd w:fill="F6F7F9" w:val="clear"/>
            <w:vAlign w:val="center"/>
          </w:tcPr>
          <w:p>
            <w:pPr>
              <w:spacing w:before="20" w:after="20"/>
              <w:jc w:val="left"/>
            </w:pPr>
            <w:r/>
            <w:r>
              <w:rPr>
                <w:rFonts w:ascii="Times New Roman" w:hAnsi="Times New Roman"/>
                <w:sz w:val="15"/>
              </w:rPr>
              <w:t>30</w:t>
            </w:r>
          </w:p>
        </w:tc>
        <w:tc>
          <w:tcPr>
            <w:tcW w:type="dxa" w:w="1089"/>
            <w:shd w:fill="F6F7F9" w:val="clear"/>
            <w:vAlign w:val="center"/>
          </w:tcPr>
          <w:p>
            <w:pPr>
              <w:spacing w:before="20" w:after="20"/>
              <w:jc w:val="center"/>
            </w:pPr>
            <w:r/>
            <w:r>
              <w:rPr>
                <w:rFonts w:ascii="Times New Roman" w:hAnsi="Times New Roman"/>
                <w:sz w:val="15"/>
              </w:rPr>
              <w:t>0.731</w:t>
            </w:r>
          </w:p>
        </w:tc>
        <w:tc>
          <w:tcPr>
            <w:tcW w:type="dxa" w:w="1323"/>
            <w:shd w:fill="F6F7F9" w:val="clear"/>
            <w:vAlign w:val="center"/>
          </w:tcPr>
          <w:p>
            <w:pPr>
              <w:spacing w:before="20" w:after="20"/>
              <w:jc w:val="center"/>
            </w:pPr>
            <w:r/>
            <w:r>
              <w:rPr>
                <w:rFonts w:ascii="Times New Roman" w:hAnsi="Times New Roman"/>
                <w:sz w:val="15"/>
              </w:rPr>
              <w:t>0.761</w:t>
            </w:r>
          </w:p>
        </w:tc>
        <w:tc>
          <w:tcPr>
            <w:tcW w:type="dxa" w:w="1323"/>
            <w:shd w:fill="F6F7F9" w:val="clear"/>
            <w:vAlign w:val="center"/>
          </w:tcPr>
          <w:p>
            <w:pPr>
              <w:spacing w:before="20" w:after="20"/>
              <w:jc w:val="center"/>
            </w:pPr>
            <w:r/>
            <w:r>
              <w:rPr>
                <w:rFonts w:ascii="Times New Roman" w:hAnsi="Times New Roman"/>
                <w:sz w:val="15"/>
              </w:rPr>
              <w:t>0.628</w:t>
            </w:r>
          </w:p>
        </w:tc>
      </w:tr>
      <w:tr>
        <w:tc>
          <w:tcPr>
            <w:tcW w:type="dxa" w:w="1089"/>
            <w:vAlign w:val="center"/>
          </w:tcPr>
          <w:p>
            <w:pPr>
              <w:spacing w:before="20" w:after="20"/>
              <w:jc w:val="left"/>
            </w:pPr>
            <w:r/>
            <w:r>
              <w:rPr>
                <w:rFonts w:ascii="Times New Roman" w:hAnsi="Times New Roman"/>
                <w:sz w:val="15"/>
              </w:rPr>
              <w:t>40</w:t>
            </w:r>
          </w:p>
        </w:tc>
        <w:tc>
          <w:tcPr>
            <w:tcW w:type="dxa" w:w="1089"/>
            <w:vAlign w:val="center"/>
          </w:tcPr>
          <w:p>
            <w:pPr>
              <w:spacing w:before="20" w:after="20"/>
              <w:jc w:val="center"/>
            </w:pPr>
            <w:r/>
            <w:r>
              <w:rPr>
                <w:rFonts w:ascii="Times New Roman" w:hAnsi="Times New Roman"/>
                <w:sz w:val="15"/>
              </w:rPr>
              <w:t>0.736</w:t>
            </w:r>
          </w:p>
        </w:tc>
        <w:tc>
          <w:tcPr>
            <w:tcW w:type="dxa" w:w="1323"/>
            <w:vAlign w:val="center"/>
          </w:tcPr>
          <w:p>
            <w:pPr>
              <w:spacing w:before="20" w:after="20"/>
              <w:jc w:val="center"/>
            </w:pPr>
            <w:r/>
            <w:r>
              <w:rPr>
                <w:rFonts w:ascii="Times New Roman" w:hAnsi="Times New Roman"/>
                <w:sz w:val="15"/>
              </w:rPr>
              <w:t>0.751</w:t>
            </w:r>
          </w:p>
        </w:tc>
        <w:tc>
          <w:tcPr>
            <w:tcW w:type="dxa" w:w="1323"/>
            <w:vAlign w:val="center"/>
          </w:tcPr>
          <w:p>
            <w:pPr>
              <w:spacing w:before="20" w:after="20"/>
              <w:jc w:val="center"/>
            </w:pPr>
            <w:r/>
            <w:r>
              <w:rPr>
                <w:rFonts w:ascii="Times New Roman" w:hAnsi="Times New Roman"/>
                <w:sz w:val="15"/>
              </w:rPr>
              <w:t>0.629</w:t>
            </w:r>
          </w:p>
        </w:tc>
      </w:tr>
    </w:tbl>
    <w:p>
      <w:pPr>
        <w:spacing w:after="40"/>
      </w:pPr>
    </w:p>
    <w:p>
      <w:pPr>
        <w:spacing w:before="60" w:after="20"/>
        <w:jc w:val="center"/>
      </w:pPr>
      <w:r>
        <w:drawing>
          <wp:inline xmlns:a="http://schemas.openxmlformats.org/drawingml/2006/main" xmlns:pic="http://schemas.openxmlformats.org/drawingml/2006/picture">
            <wp:extent cx="2834640" cy="2334409"/>
            <wp:docPr id="3" name="Picture 3"/>
            <wp:cNvGraphicFramePr>
              <a:graphicFrameLocks noChangeAspect="1"/>
            </wp:cNvGraphicFramePr>
            <a:graphic>
              <a:graphicData uri="http://schemas.openxmlformats.org/drawingml/2006/picture">
                <pic:pic>
                  <pic:nvPicPr>
                    <pic:cNvPr id="0" name="fig_pareto.png"/>
                    <pic:cNvPicPr/>
                  </pic:nvPicPr>
                  <pic:blipFill>
                    <a:blip r:embed="rId11"/>
                    <a:stretch>
                      <a:fillRect/>
                    </a:stretch>
                  </pic:blipFill>
                  <pic:spPr>
                    <a:xfrm>
                      <a:off x="0" y="0"/>
                      <a:ext cx="2834640" cy="2334409"/>
                    </a:xfrm>
                    <a:prstGeom prst="rect"/>
                  </pic:spPr>
                </pic:pic>
              </a:graphicData>
            </a:graphic>
          </wp:inline>
        </w:drawing>
      </w:r>
    </w:p>
    <w:p>
      <w:pPr>
        <w:pStyle w:val="Caption"/>
        <w:spacing w:after="80"/>
        <w:jc w:val="center"/>
      </w:pPr>
      <w:r>
        <w:rPr>
          <w:rFonts w:ascii="Times New Roman" w:hAnsi="Times New Roman"/>
          <w:sz w:val="16"/>
        </w:rPr>
        <w:t>Fig. 4. Pareto: grouped-CV macro vs. measured ESP-NN per-window latency. Dashed budgets: 1-s window and 0.5-s overlap hop. CNN/TCN meet the hop budget only without the learned denoiser (§III-F); float32 LSTM/GRU remain above both.</w:t>
      </w:r>
    </w:p>
    <w:p>
      <w:pPr>
        <w:spacing w:after="60" w:line="259" w:lineRule="auto"/>
        <w:ind w:firstLine="202"/>
        <w:jc w:val="both"/>
      </w:pPr>
      <w:r>
        <w:rPr>
          <w:rFonts w:ascii="Times New Roman" w:hAnsi="Times New Roman"/>
          <w:sz w:val="20"/>
        </w:rPr>
        <w:t xml:space="preserve">Table IV sweeps SNR 0–40 dB; Fig. 2 stratifies by artifact (baseline wander, EMG, powerline, motion, mixed). </w:t>
      </w:r>
      <w:r>
        <w:rPr>
          <w:rFonts w:ascii="Times New Roman" w:hAnsi="Times New Roman"/>
          <w:sz w:val="20"/>
        </w:rPr>
        <w:t xml:space="preserve">Butterworth bandpass wins 3/5 artifacts, raw wins motion, the AE only low-SNR PLI. </w:t>
      </w:r>
      <w:r>
        <w:rPr>
          <w:rFonts w:ascii="Times New Roman" w:hAnsi="Times New Roman"/>
          <w:sz w:val="20"/>
        </w:rPr>
        <w:t xml:space="preserve">The AE adds 19 KB + 315 ms for &lt;0.1 macro gain—unfavorable. </w:t>
      </w:r>
      <w:r>
        <w:rPr>
          <w:rFonts w:ascii="Times New Roman" w:hAnsi="Times New Roman"/>
          <w:sz w:val="20"/>
        </w:rPr>
        <w:t>The takeaway is immediate: remove the denoiser from the deployed pipeline and keep the 0 KB, ~5 ms Butterworth.</w:t>
      </w:r>
    </w:p>
    <w:p>
      <w:pPr>
        <w:spacing w:after="60" w:line="259" w:lineRule="auto"/>
        <w:jc w:val="both"/>
      </w:pPr>
      <w:r>
        <w:rPr>
          <w:rFonts w:ascii="Times New Roman" w:hAnsi="Times New Roman"/>
          <w:b/>
          <w:i/>
          <w:sz w:val="20"/>
        </w:rPr>
        <w:t xml:space="preserve">Discussion. </w:t>
      </w:r>
      <w:r>
        <w:rPr>
          <w:rFonts w:ascii="Times New Roman" w:hAnsi="Times New Roman"/>
          <w:sz w:val="20"/>
        </w:rPr>
        <w:t>Motion robustness is the hardest case; at 0 dB all front-ends collapse to ~0.23–0.47, indicating that no filtering recovers morphology once QRS is buried. This matches the SQI analysis below.</w:t>
      </w:r>
    </w:p>
    <w:p>
      <w:pPr>
        <w:pStyle w:val="Heading2"/>
      </w:pPr>
      <w:r>
        <w:rPr>
          <w:rFonts w:ascii="Times New Roman" w:hAnsi="Times New Roman"/>
          <w:b/>
          <w:i/>
          <w:sz w:val="19"/>
        </w:rPr>
        <w:t>C.  External Validation on SVDB</w:t>
      </w:r>
    </w:p>
    <w:p>
      <w:pPr>
        <w:pStyle w:val="Caption"/>
        <w:spacing w:before="80" w:after="20"/>
        <w:jc w:val="center"/>
      </w:pPr>
      <w:r>
        <w:rPr>
          <w:rFonts w:ascii="Times New Roman" w:hAnsi="Times New Roman"/>
          <w:b/>
          <w:smallCaps/>
          <w:sz w:val="16"/>
        </w:rPr>
        <w:t>TABLE V: External validation on SVDB (29,554 windows, 14 recordings). APB is absent (0 windows); its F1 enters the 3-class macro as 0 by definition, mechanically deflating it to 0.375. We therefore report N/V-macro 0.562 as the supported-class metric.</w:t>
      </w:r>
    </w:p>
    <w:tbl>
      <w:tblPr>
        <w:tblStyle w:val="LightGrid-Accent1"/>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1754"/>
            <w:shd w:fill="E8EDF3" w:val="clear"/>
            <w:vAlign w:val="center"/>
          </w:tcPr>
          <w:p>
            <w:pPr>
              <w:spacing w:before="20" w:after="20"/>
              <w:jc w:val="center"/>
            </w:pPr>
            <w:r/>
            <w:r>
              <w:rPr>
                <w:rFonts w:ascii="Times New Roman" w:hAnsi="Times New Roman"/>
                <w:b/>
                <w:sz w:val="15"/>
              </w:rPr>
              <w:t>Class</w:t>
            </w:r>
          </w:p>
        </w:tc>
        <w:tc>
          <w:tcPr>
            <w:tcW w:type="dxa" w:w="1316"/>
            <w:shd w:fill="E8EDF3" w:val="clear"/>
            <w:vAlign w:val="center"/>
          </w:tcPr>
          <w:p>
            <w:pPr>
              <w:spacing w:before="20" w:after="20"/>
              <w:jc w:val="center"/>
            </w:pPr>
            <w:r/>
            <w:r>
              <w:rPr>
                <w:rFonts w:ascii="Times New Roman" w:hAnsi="Times New Roman"/>
                <w:b/>
                <w:sz w:val="15"/>
              </w:rPr>
              <w:t>F1</w:t>
            </w:r>
          </w:p>
        </w:tc>
        <w:tc>
          <w:tcPr>
            <w:tcW w:type="dxa" w:w="1754"/>
            <w:shd w:fill="E8EDF3" w:val="clear"/>
            <w:vAlign w:val="center"/>
          </w:tcPr>
          <w:p>
            <w:pPr>
              <w:spacing w:before="20" w:after="20"/>
              <w:jc w:val="center"/>
            </w:pPr>
            <w:r/>
            <w:r>
              <w:rPr>
                <w:rFonts w:ascii="Times New Roman" w:hAnsi="Times New Roman"/>
                <w:b/>
                <w:sz w:val="15"/>
              </w:rPr>
              <w:t>Windows</w:t>
            </w:r>
          </w:p>
        </w:tc>
      </w:tr>
      <w:tr>
        <w:tc>
          <w:tcPr>
            <w:tcW w:type="dxa" w:w="1754"/>
            <w:vAlign w:val="center"/>
          </w:tcPr>
          <w:p>
            <w:pPr>
              <w:spacing w:before="20" w:after="20"/>
              <w:jc w:val="center"/>
            </w:pPr>
            <w:r/>
            <w:r>
              <w:rPr>
                <w:rFonts w:ascii="Times New Roman" w:hAnsi="Times New Roman"/>
                <w:sz w:val="15"/>
              </w:rPr>
              <w:t>Normal</w:t>
            </w:r>
          </w:p>
        </w:tc>
        <w:tc>
          <w:tcPr>
            <w:tcW w:type="dxa" w:w="1316"/>
            <w:vAlign w:val="center"/>
          </w:tcPr>
          <w:p>
            <w:pPr>
              <w:spacing w:before="20" w:after="20"/>
              <w:jc w:val="center"/>
            </w:pPr>
            <w:r/>
            <w:r>
              <w:rPr>
                <w:rFonts w:ascii="Times New Roman" w:hAnsi="Times New Roman"/>
                <w:sz w:val="15"/>
              </w:rPr>
              <w:t>0.663</w:t>
            </w:r>
          </w:p>
        </w:tc>
        <w:tc>
          <w:tcPr>
            <w:tcW w:type="dxa" w:w="1754"/>
            <w:vAlign w:val="center"/>
          </w:tcPr>
          <w:p>
            <w:pPr>
              <w:spacing w:before="20" w:after="20"/>
              <w:jc w:val="center"/>
            </w:pPr>
            <w:r/>
            <w:r>
              <w:rPr>
                <w:rFonts w:ascii="Times New Roman" w:hAnsi="Times New Roman"/>
                <w:sz w:val="15"/>
              </w:rPr>
              <w:t>28,470</w:t>
            </w:r>
          </w:p>
        </w:tc>
      </w:tr>
      <w:tr>
        <w:tc>
          <w:tcPr>
            <w:tcW w:type="dxa" w:w="1754"/>
            <w:shd w:fill="F6F7F9" w:val="clear"/>
            <w:vAlign w:val="center"/>
          </w:tcPr>
          <w:p>
            <w:pPr>
              <w:spacing w:before="20" w:after="20"/>
              <w:jc w:val="center"/>
            </w:pPr>
            <w:r/>
            <w:r>
              <w:rPr>
                <w:rFonts w:ascii="Times New Roman" w:hAnsi="Times New Roman"/>
                <w:sz w:val="15"/>
              </w:rPr>
              <w:t>APB</w:t>
            </w:r>
          </w:p>
        </w:tc>
        <w:tc>
          <w:tcPr>
            <w:tcW w:type="dxa" w:w="1316"/>
            <w:shd w:fill="F6F7F9" w:val="clear"/>
            <w:vAlign w:val="center"/>
          </w:tcPr>
          <w:p>
            <w:pPr>
              <w:spacing w:before="20" w:after="20"/>
              <w:jc w:val="center"/>
            </w:pPr>
            <w:r/>
            <w:r>
              <w:rPr>
                <w:rFonts w:ascii="Times New Roman" w:hAnsi="Times New Roman"/>
                <w:sz w:val="15"/>
              </w:rPr>
              <w:t>—</w:t>
            </w:r>
          </w:p>
        </w:tc>
        <w:tc>
          <w:tcPr>
            <w:tcW w:type="dxa" w:w="1754"/>
            <w:shd w:fill="F6F7F9" w:val="clear"/>
            <w:vAlign w:val="center"/>
          </w:tcPr>
          <w:p>
            <w:pPr>
              <w:spacing w:before="20" w:after="20"/>
              <w:jc w:val="center"/>
            </w:pPr>
            <w:r/>
            <w:r>
              <w:rPr>
                <w:rFonts w:ascii="Times New Roman" w:hAnsi="Times New Roman"/>
                <w:sz w:val="15"/>
              </w:rPr>
              <w:t>0</w:t>
            </w:r>
          </w:p>
        </w:tc>
      </w:tr>
      <w:tr>
        <w:tc>
          <w:tcPr>
            <w:tcW w:type="dxa" w:w="1754"/>
            <w:vAlign w:val="center"/>
          </w:tcPr>
          <w:p>
            <w:pPr>
              <w:spacing w:before="20" w:after="20"/>
              <w:jc w:val="center"/>
            </w:pPr>
            <w:r/>
            <w:r>
              <w:rPr>
                <w:rFonts w:ascii="Times New Roman" w:hAnsi="Times New Roman"/>
                <w:sz w:val="15"/>
              </w:rPr>
              <w:t>PVC</w:t>
            </w:r>
          </w:p>
        </w:tc>
        <w:tc>
          <w:tcPr>
            <w:tcW w:type="dxa" w:w="1316"/>
            <w:vAlign w:val="center"/>
          </w:tcPr>
          <w:p>
            <w:pPr>
              <w:spacing w:before="20" w:after="20"/>
              <w:jc w:val="center"/>
            </w:pPr>
            <w:r/>
            <w:r>
              <w:rPr>
                <w:rFonts w:ascii="Times New Roman" w:hAnsi="Times New Roman"/>
                <w:sz w:val="15"/>
              </w:rPr>
              <w:t>0.462</w:t>
            </w:r>
          </w:p>
        </w:tc>
        <w:tc>
          <w:tcPr>
            <w:tcW w:type="dxa" w:w="1754"/>
            <w:vAlign w:val="center"/>
          </w:tcPr>
          <w:p>
            <w:pPr>
              <w:spacing w:before="20" w:after="20"/>
              <w:jc w:val="center"/>
            </w:pPr>
            <w:r/>
            <w:r>
              <w:rPr>
                <w:rFonts w:ascii="Times New Roman" w:hAnsi="Times New Roman"/>
                <w:sz w:val="15"/>
              </w:rPr>
              <w:t>1,084</w:t>
            </w:r>
          </w:p>
        </w:tc>
      </w:tr>
      <w:tr>
        <w:tc>
          <w:tcPr>
            <w:tcW w:type="dxa" w:w="1754"/>
            <w:shd w:fill="F6F7F9" w:val="clear"/>
            <w:vAlign w:val="center"/>
          </w:tcPr>
          <w:p>
            <w:pPr>
              <w:spacing w:before="20" w:after="20"/>
              <w:jc w:val="center"/>
            </w:pPr>
            <w:r/>
            <w:r>
              <w:rPr>
                <w:rFonts w:ascii="Times New Roman" w:hAnsi="Times New Roman"/>
                <w:sz w:val="15"/>
              </w:rPr>
              <w:t>N/V-macro</w:t>
            </w:r>
          </w:p>
        </w:tc>
        <w:tc>
          <w:tcPr>
            <w:tcW w:type="dxa" w:w="1316"/>
            <w:shd w:fill="F6F7F9" w:val="clear"/>
            <w:vAlign w:val="center"/>
          </w:tcPr>
          <w:p>
            <w:pPr>
              <w:spacing w:before="20" w:after="20"/>
              <w:jc w:val="center"/>
            </w:pPr>
            <w:r/>
            <w:r>
              <w:rPr>
                <w:rFonts w:ascii="Times New Roman" w:hAnsi="Times New Roman"/>
                <w:sz w:val="15"/>
              </w:rPr>
              <w:t>0.562</w:t>
            </w:r>
          </w:p>
        </w:tc>
        <w:tc>
          <w:tcPr>
            <w:tcW w:type="dxa" w:w="1754"/>
            <w:shd w:fill="F6F7F9" w:val="clear"/>
            <w:vAlign w:val="center"/>
          </w:tcPr>
          <w:p>
            <w:pPr>
              <w:spacing w:before="20" w:after="20"/>
              <w:jc w:val="center"/>
            </w:pPr>
            <w:r/>
            <w:r>
              <w:rPr>
                <w:rFonts w:ascii="Times New Roman" w:hAnsi="Times New Roman"/>
                <w:sz w:val="15"/>
              </w:rPr>
              <w:t>29,554</w:t>
            </w:r>
          </w:p>
        </w:tc>
      </w:tr>
      <w:tr>
        <w:tc>
          <w:tcPr>
            <w:tcW w:type="dxa" w:w="1754"/>
            <w:vAlign w:val="center"/>
          </w:tcPr>
          <w:p>
            <w:pPr>
              <w:spacing w:before="20" w:after="20"/>
              <w:jc w:val="center"/>
            </w:pPr>
            <w:r/>
            <w:r>
              <w:rPr>
                <w:rFonts w:ascii="Times New Roman" w:hAnsi="Times New Roman"/>
                <w:sz w:val="15"/>
              </w:rPr>
              <w:t>3-class (biased)</w:t>
            </w:r>
          </w:p>
        </w:tc>
        <w:tc>
          <w:tcPr>
            <w:tcW w:type="dxa" w:w="1316"/>
            <w:vAlign w:val="center"/>
          </w:tcPr>
          <w:p>
            <w:pPr>
              <w:spacing w:before="20" w:after="20"/>
              <w:jc w:val="center"/>
            </w:pPr>
            <w:r/>
            <w:r>
              <w:rPr>
                <w:rFonts w:ascii="Times New Roman" w:hAnsi="Times New Roman"/>
                <w:sz w:val="15"/>
              </w:rPr>
              <w:t>0.375</w:t>
            </w:r>
          </w:p>
        </w:tc>
        <w:tc>
          <w:tcPr>
            <w:tcW w:type="dxa" w:w="1754"/>
            <w:vAlign w:val="center"/>
          </w:tcPr>
          <w:p>
            <w:pPr>
              <w:spacing w:before="20" w:after="20"/>
              <w:jc w:val="center"/>
            </w:pPr>
            <w:r/>
            <w:r>
              <w:rPr>
                <w:rFonts w:ascii="Times New Roman" w:hAnsi="Times New Roman"/>
                <w:sz w:val="15"/>
              </w:rPr>
              <w:t>29,554</w:t>
            </w:r>
          </w:p>
        </w:tc>
      </w:tr>
    </w:tbl>
    <w:p>
      <w:pPr>
        <w:spacing w:after="40"/>
      </w:pPr>
    </w:p>
    <w:p>
      <w:pPr>
        <w:spacing w:after="60" w:line="259" w:lineRule="auto"/>
        <w:ind w:firstLine="202"/>
        <w:jc w:val="both"/>
      </w:pPr>
      <w:r>
        <w:rPr>
          <w:rFonts w:ascii="Times New Roman" w:hAnsi="Times New Roman"/>
          <w:sz w:val="20"/>
        </w:rPr>
        <w:t xml:space="preserve">We evaluate the MIT-BIH model on the MIT-BIH SVDB [25] without retraining (29,554 windows, 14 recordings). SVDB contains zero APB windows, so a 3-class macro (0.375) is biased; the honest supported-class N/V-macro is 0.562 (N 0.663, PVC 0.462, Table V). </w:t>
      </w:r>
      <w:r>
        <w:rPr>
          <w:rFonts w:ascii="Times New Roman" w:hAnsi="Times New Roman"/>
          <w:sz w:val="20"/>
        </w:rPr>
        <w:t xml:space="preserve">PVC drop 0.73→0.46 indicates dataset shift (different PVC morphologies, recording conditions), yet Normal retains 0.66, showing partial transfer. </w:t>
      </w:r>
      <w:r>
        <w:rPr>
          <w:rFonts w:ascii="Times New Roman" w:hAnsi="Times New Roman"/>
          <w:sz w:val="20"/>
        </w:rPr>
        <w:t>In practice this means the model can screen Normal with moderate reliability on a new database, but PVC requires either domain adaptation or a larger PVC sample; APB cannot be assessed on SVDB at all, reinforcing that APB remains the data bottleneck.</w:t>
      </w:r>
    </w:p>
    <w:p>
      <w:pPr>
        <w:pStyle w:val="Heading2"/>
      </w:pPr>
      <w:r>
        <w:rPr>
          <w:rFonts w:ascii="Times New Roman" w:hAnsi="Times New Roman"/>
          <w:b/>
          <w:i/>
          <w:sz w:val="19"/>
        </w:rPr>
        <w:t>D.  Quantization (FP32 → INT8)</w:t>
      </w:r>
    </w:p>
    <w:p>
      <w:pPr>
        <w:pStyle w:val="Caption"/>
        <w:spacing w:before="80" w:after="20"/>
        <w:jc w:val="center"/>
      </w:pPr>
      <w:r>
        <w:rPr>
          <w:rFonts w:ascii="Times New Roman" w:hAnsi="Times New Roman"/>
          <w:b/>
          <w:smallCaps/>
          <w:sz w:val="16"/>
        </w:rPr>
        <w:t>TABLE VI: Paired FP32→INT8 on identical folds (n=10 per model, 5×2). INT8 degrades macro by 0.21–0.24 (95% CI ≈0.10); LSTM/GRU not quantizable (TensorListStack, requires SELECT_TF_OPS). Disagree = fraction of all test windows whose argmax differs between FP32 and INT8. Single-split 0.588→0.677 (CNN) is split-specific, not paired. LSTM/GRU sizes are the SELECT_TF_OPS exports; Table VII benchmarks the smaller fused exports.</w:t>
      </w:r>
    </w:p>
    <w:tbl>
      <w:tblPr>
        <w:tblStyle w:val="LightGrid-Accent1"/>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gridCol w:w="1728"/>
      </w:tblGrid>
      <w:tr>
        <w:tc>
          <w:tcPr>
            <w:tcW w:type="dxa" w:w="762"/>
            <w:shd w:fill="E8EDF3" w:val="clear"/>
            <w:vAlign w:val="center"/>
          </w:tcPr>
          <w:p>
            <w:pPr>
              <w:spacing w:before="20" w:after="20"/>
              <w:jc w:val="center"/>
            </w:pPr>
            <w:r/>
            <w:r>
              <w:rPr>
                <w:rFonts w:ascii="Times New Roman" w:hAnsi="Times New Roman"/>
                <w:b/>
                <w:sz w:val="15"/>
              </w:rPr>
              <w:t>Model</w:t>
            </w:r>
          </w:p>
        </w:tc>
        <w:tc>
          <w:tcPr>
            <w:tcW w:type="dxa" w:w="762"/>
            <w:shd w:fill="E8EDF3" w:val="clear"/>
            <w:vAlign w:val="center"/>
          </w:tcPr>
          <w:p>
            <w:pPr>
              <w:spacing w:before="20" w:after="20"/>
              <w:jc w:val="center"/>
            </w:pPr>
            <w:r/>
            <w:r>
              <w:rPr>
                <w:rFonts w:ascii="Times New Roman" w:hAnsi="Times New Roman"/>
                <w:b/>
                <w:sz w:val="15"/>
              </w:rPr>
              <w:t>Float32</w:t>
            </w:r>
          </w:p>
        </w:tc>
        <w:tc>
          <w:tcPr>
            <w:tcW w:type="dxa" w:w="762"/>
            <w:shd w:fill="E8EDF3" w:val="clear"/>
            <w:vAlign w:val="center"/>
          </w:tcPr>
          <w:p>
            <w:pPr>
              <w:spacing w:before="20" w:after="20"/>
              <w:jc w:val="center"/>
            </w:pPr>
            <w:r/>
            <w:r>
              <w:rPr>
                <w:rFonts w:ascii="Times New Roman" w:hAnsi="Times New Roman"/>
                <w:b/>
                <w:sz w:val="15"/>
              </w:rPr>
              <w:t>Int8</w:t>
            </w:r>
          </w:p>
        </w:tc>
        <w:tc>
          <w:tcPr>
            <w:tcW w:type="dxa" w:w="1016"/>
            <w:shd w:fill="E8EDF3" w:val="clear"/>
            <w:vAlign w:val="center"/>
          </w:tcPr>
          <w:p>
            <w:pPr>
              <w:spacing w:before="20" w:after="20"/>
              <w:jc w:val="center"/>
            </w:pPr>
            <w:r/>
            <w:r>
              <w:rPr>
                <w:rFonts w:ascii="Times New Roman" w:hAnsi="Times New Roman"/>
                <w:b/>
                <w:sz w:val="15"/>
              </w:rPr>
              <w:t>Δ</w:t>
            </w:r>
          </w:p>
        </w:tc>
        <w:tc>
          <w:tcPr>
            <w:tcW w:type="dxa" w:w="762"/>
            <w:shd w:fill="E8EDF3" w:val="clear"/>
            <w:vAlign w:val="center"/>
          </w:tcPr>
          <w:p>
            <w:pPr>
              <w:spacing w:before="20" w:after="20"/>
              <w:jc w:val="center"/>
            </w:pPr>
            <w:r/>
            <w:r>
              <w:rPr>
                <w:rFonts w:ascii="Times New Roman" w:hAnsi="Times New Roman"/>
                <w:b/>
                <w:sz w:val="15"/>
              </w:rPr>
              <w:t>Disagree</w:t>
            </w:r>
          </w:p>
        </w:tc>
        <w:tc>
          <w:tcPr>
            <w:tcW w:type="dxa" w:w="762"/>
            <w:shd w:fill="E8EDF3" w:val="clear"/>
            <w:vAlign w:val="center"/>
          </w:tcPr>
          <w:p>
            <w:pPr>
              <w:spacing w:before="20" w:after="20"/>
              <w:jc w:val="center"/>
            </w:pPr>
            <w:r/>
            <w:r>
              <w:rPr>
                <w:rFonts w:ascii="Times New Roman" w:hAnsi="Times New Roman"/>
                <w:b/>
                <w:sz w:val="15"/>
              </w:rPr>
              <w:t>Size (KB)</w:t>
            </w:r>
          </w:p>
        </w:tc>
      </w:tr>
      <w:tr>
        <w:tc>
          <w:tcPr>
            <w:tcW w:type="dxa" w:w="762"/>
            <w:vAlign w:val="center"/>
          </w:tcPr>
          <w:p>
            <w:pPr>
              <w:spacing w:before="20" w:after="20"/>
              <w:jc w:val="left"/>
            </w:pPr>
            <w:r/>
            <w:r>
              <w:rPr>
                <w:rFonts w:ascii="Times New Roman" w:hAnsi="Times New Roman"/>
                <w:sz w:val="15"/>
              </w:rPr>
              <w:t>CNN</w:t>
            </w:r>
          </w:p>
        </w:tc>
        <w:tc>
          <w:tcPr>
            <w:tcW w:type="dxa" w:w="762"/>
            <w:vAlign w:val="center"/>
          </w:tcPr>
          <w:p>
            <w:pPr>
              <w:spacing w:before="20" w:after="20"/>
              <w:jc w:val="center"/>
            </w:pPr>
            <w:r/>
            <w:r>
              <w:rPr>
                <w:rFonts w:ascii="Times New Roman" w:hAnsi="Times New Roman"/>
                <w:sz w:val="15"/>
              </w:rPr>
              <w:t>0.619</w:t>
            </w:r>
          </w:p>
        </w:tc>
        <w:tc>
          <w:tcPr>
            <w:tcW w:type="dxa" w:w="762"/>
            <w:vAlign w:val="center"/>
          </w:tcPr>
          <w:p>
            <w:pPr>
              <w:spacing w:before="20" w:after="20"/>
              <w:jc w:val="center"/>
            </w:pPr>
            <w:r/>
            <w:r>
              <w:rPr>
                <w:rFonts w:ascii="Times New Roman" w:hAnsi="Times New Roman"/>
                <w:sz w:val="15"/>
              </w:rPr>
              <w:t>0.409</w:t>
            </w:r>
          </w:p>
        </w:tc>
        <w:tc>
          <w:tcPr>
            <w:tcW w:type="dxa" w:w="1016"/>
            <w:vAlign w:val="center"/>
          </w:tcPr>
          <w:p>
            <w:pPr>
              <w:spacing w:before="20" w:after="20"/>
              <w:jc w:val="center"/>
            </w:pPr>
            <w:r/>
            <w:r>
              <w:rPr>
                <w:rFonts w:ascii="Times New Roman" w:hAnsi="Times New Roman"/>
                <w:sz w:val="15"/>
              </w:rPr>
              <w:t>−0.210±0.164</w:t>
            </w:r>
          </w:p>
        </w:tc>
        <w:tc>
          <w:tcPr>
            <w:tcW w:type="dxa" w:w="762"/>
            <w:vAlign w:val="center"/>
          </w:tcPr>
          <w:p>
            <w:pPr>
              <w:spacing w:before="20" w:after="20"/>
              <w:jc w:val="center"/>
            </w:pPr>
            <w:r/>
            <w:r>
              <w:rPr>
                <w:rFonts w:ascii="Times New Roman" w:hAnsi="Times New Roman"/>
                <w:sz w:val="15"/>
              </w:rPr>
              <w:t>33.1%</w:t>
            </w:r>
          </w:p>
        </w:tc>
        <w:tc>
          <w:tcPr>
            <w:tcW w:type="dxa" w:w="762"/>
            <w:vAlign w:val="center"/>
          </w:tcPr>
          <w:p>
            <w:pPr>
              <w:spacing w:before="20" w:after="20"/>
              <w:jc w:val="center"/>
            </w:pPr>
            <w:r/>
            <w:r>
              <w:rPr>
                <w:rFonts w:ascii="Times New Roman" w:hAnsi="Times New Roman"/>
                <w:sz w:val="15"/>
              </w:rPr>
              <w:t>77.9</w:t>
            </w:r>
          </w:p>
        </w:tc>
      </w:tr>
      <w:tr>
        <w:tc>
          <w:tcPr>
            <w:tcW w:type="dxa" w:w="762"/>
            <w:shd w:fill="F6F7F9" w:val="clear"/>
            <w:vAlign w:val="center"/>
          </w:tcPr>
          <w:p>
            <w:pPr>
              <w:spacing w:before="20" w:after="20"/>
              <w:jc w:val="left"/>
            </w:pPr>
            <w:r/>
            <w:r>
              <w:rPr>
                <w:rFonts w:ascii="Times New Roman" w:hAnsi="Times New Roman"/>
                <w:sz w:val="15"/>
              </w:rPr>
              <w:t>TCN</w:t>
            </w:r>
          </w:p>
        </w:tc>
        <w:tc>
          <w:tcPr>
            <w:tcW w:type="dxa" w:w="762"/>
            <w:shd w:fill="F6F7F9" w:val="clear"/>
            <w:vAlign w:val="center"/>
          </w:tcPr>
          <w:p>
            <w:pPr>
              <w:spacing w:before="20" w:after="20"/>
              <w:jc w:val="center"/>
            </w:pPr>
            <w:r/>
            <w:r>
              <w:rPr>
                <w:rFonts w:ascii="Times New Roman" w:hAnsi="Times New Roman"/>
                <w:sz w:val="15"/>
              </w:rPr>
              <w:t>0.615</w:t>
            </w:r>
          </w:p>
        </w:tc>
        <w:tc>
          <w:tcPr>
            <w:tcW w:type="dxa" w:w="762"/>
            <w:shd w:fill="F6F7F9" w:val="clear"/>
            <w:vAlign w:val="center"/>
          </w:tcPr>
          <w:p>
            <w:pPr>
              <w:spacing w:before="20" w:after="20"/>
              <w:jc w:val="center"/>
            </w:pPr>
            <w:r/>
            <w:r>
              <w:rPr>
                <w:rFonts w:ascii="Times New Roman" w:hAnsi="Times New Roman"/>
                <w:sz w:val="15"/>
              </w:rPr>
              <w:t>0.378</w:t>
            </w:r>
          </w:p>
        </w:tc>
        <w:tc>
          <w:tcPr>
            <w:tcW w:type="dxa" w:w="1016"/>
            <w:shd w:fill="F6F7F9" w:val="clear"/>
            <w:vAlign w:val="center"/>
          </w:tcPr>
          <w:p>
            <w:pPr>
              <w:spacing w:before="20" w:after="20"/>
              <w:jc w:val="center"/>
            </w:pPr>
            <w:r/>
            <w:r>
              <w:rPr>
                <w:rFonts w:ascii="Times New Roman" w:hAnsi="Times New Roman"/>
                <w:sz w:val="15"/>
              </w:rPr>
              <w:t>−0.238±0.165</w:t>
            </w:r>
          </w:p>
        </w:tc>
        <w:tc>
          <w:tcPr>
            <w:tcW w:type="dxa" w:w="762"/>
            <w:shd w:fill="F6F7F9" w:val="clear"/>
            <w:vAlign w:val="center"/>
          </w:tcPr>
          <w:p>
            <w:pPr>
              <w:spacing w:before="20" w:after="20"/>
              <w:jc w:val="center"/>
            </w:pPr>
            <w:r/>
            <w:r>
              <w:rPr>
                <w:rFonts w:ascii="Times New Roman" w:hAnsi="Times New Roman"/>
                <w:sz w:val="15"/>
              </w:rPr>
              <w:t>39.7%</w:t>
            </w:r>
          </w:p>
        </w:tc>
        <w:tc>
          <w:tcPr>
            <w:tcW w:type="dxa" w:w="762"/>
            <w:shd w:fill="F6F7F9" w:val="clear"/>
            <w:vAlign w:val="center"/>
          </w:tcPr>
          <w:p>
            <w:pPr>
              <w:spacing w:before="20" w:after="20"/>
              <w:jc w:val="center"/>
            </w:pPr>
            <w:r/>
            <w:r>
              <w:rPr>
                <w:rFonts w:ascii="Times New Roman" w:hAnsi="Times New Roman"/>
                <w:sz w:val="15"/>
              </w:rPr>
              <w:t>70.1</w:t>
            </w:r>
          </w:p>
        </w:tc>
      </w:tr>
      <w:tr>
        <w:tc>
          <w:tcPr>
            <w:tcW w:type="dxa" w:w="762"/>
            <w:vAlign w:val="center"/>
          </w:tcPr>
          <w:p>
            <w:pPr>
              <w:spacing w:before="20" w:after="20"/>
              <w:jc w:val="left"/>
            </w:pPr>
            <w:r/>
            <w:r>
              <w:rPr>
                <w:rFonts w:ascii="Times New Roman" w:hAnsi="Times New Roman"/>
                <w:sz w:val="15"/>
              </w:rPr>
              <w:t>LSTM</w:t>
            </w:r>
          </w:p>
        </w:tc>
        <w:tc>
          <w:tcPr>
            <w:tcW w:type="dxa" w:w="762"/>
            <w:vAlign w:val="center"/>
          </w:tcPr>
          <w:p>
            <w:pPr>
              <w:spacing w:before="20" w:after="20"/>
              <w:jc w:val="center"/>
            </w:pPr>
            <w:r/>
            <w:r>
              <w:rPr>
                <w:rFonts w:ascii="Times New Roman" w:hAnsi="Times New Roman"/>
                <w:sz w:val="15"/>
              </w:rPr>
              <w:t>0.582</w:t>
            </w:r>
          </w:p>
        </w:tc>
        <w:tc>
          <w:tcPr>
            <w:tcW w:type="dxa" w:w="762"/>
            <w:vAlign w:val="center"/>
          </w:tcPr>
          <w:p>
            <w:pPr>
              <w:spacing w:before="20" w:after="20"/>
              <w:jc w:val="center"/>
            </w:pPr>
            <w:r/>
            <w:r>
              <w:rPr>
                <w:rFonts w:ascii="Times New Roman" w:hAnsi="Times New Roman"/>
                <w:sz w:val="15"/>
              </w:rPr>
              <w:t>—</w:t>
            </w:r>
          </w:p>
        </w:tc>
        <w:tc>
          <w:tcPr>
            <w:tcW w:type="dxa" w:w="1016"/>
            <w:vAlign w:val="center"/>
          </w:tcPr>
          <w:p>
            <w:pPr>
              <w:spacing w:before="20" w:after="20"/>
              <w:jc w:val="center"/>
            </w:pPr>
            <w:r/>
            <w:r>
              <w:rPr>
                <w:rFonts w:ascii="Times New Roman" w:hAnsi="Times New Roman"/>
                <w:sz w:val="15"/>
              </w:rPr>
              <w:t>—</w:t>
            </w:r>
          </w:p>
        </w:tc>
        <w:tc>
          <w:tcPr>
            <w:tcW w:type="dxa" w:w="762"/>
            <w:vAlign w:val="center"/>
          </w:tcPr>
          <w:p>
            <w:pPr>
              <w:spacing w:before="20" w:after="20"/>
              <w:jc w:val="center"/>
            </w:pPr>
            <w:r/>
            <w:r>
              <w:rPr>
                <w:rFonts w:ascii="Times New Roman" w:hAnsi="Times New Roman"/>
                <w:sz w:val="15"/>
              </w:rPr>
              <w:t>—</w:t>
            </w:r>
          </w:p>
        </w:tc>
        <w:tc>
          <w:tcPr>
            <w:tcW w:type="dxa" w:w="762"/>
            <w:vAlign w:val="center"/>
          </w:tcPr>
          <w:p>
            <w:pPr>
              <w:spacing w:before="20" w:after="20"/>
              <w:jc w:val="center"/>
            </w:pPr>
            <w:r/>
            <w:r>
              <w:rPr>
                <w:rFonts w:ascii="Times New Roman" w:hAnsi="Times New Roman"/>
                <w:sz w:val="15"/>
              </w:rPr>
              <w:t>130.3</w:t>
            </w:r>
          </w:p>
        </w:tc>
      </w:tr>
      <w:tr>
        <w:tc>
          <w:tcPr>
            <w:tcW w:type="dxa" w:w="762"/>
            <w:shd w:fill="F6F7F9" w:val="clear"/>
            <w:vAlign w:val="center"/>
          </w:tcPr>
          <w:p>
            <w:pPr>
              <w:spacing w:before="20" w:after="20"/>
              <w:jc w:val="left"/>
            </w:pPr>
            <w:r/>
            <w:r>
              <w:rPr>
                <w:rFonts w:ascii="Times New Roman" w:hAnsi="Times New Roman"/>
                <w:sz w:val="15"/>
              </w:rPr>
              <w:t>GRU</w:t>
            </w:r>
          </w:p>
        </w:tc>
        <w:tc>
          <w:tcPr>
            <w:tcW w:type="dxa" w:w="762"/>
            <w:shd w:fill="F6F7F9" w:val="clear"/>
            <w:vAlign w:val="center"/>
          </w:tcPr>
          <w:p>
            <w:pPr>
              <w:spacing w:before="20" w:after="20"/>
              <w:jc w:val="center"/>
            </w:pPr>
            <w:r/>
            <w:r>
              <w:rPr>
                <w:rFonts w:ascii="Times New Roman" w:hAnsi="Times New Roman"/>
                <w:sz w:val="15"/>
              </w:rPr>
              <w:t>0.526</w:t>
            </w:r>
          </w:p>
        </w:tc>
        <w:tc>
          <w:tcPr>
            <w:tcW w:type="dxa" w:w="762"/>
            <w:shd w:fill="F6F7F9" w:val="clear"/>
            <w:vAlign w:val="center"/>
          </w:tcPr>
          <w:p>
            <w:pPr>
              <w:spacing w:before="20" w:after="20"/>
              <w:jc w:val="center"/>
            </w:pPr>
            <w:r/>
            <w:r>
              <w:rPr>
                <w:rFonts w:ascii="Times New Roman" w:hAnsi="Times New Roman"/>
                <w:sz w:val="15"/>
              </w:rPr>
              <w:t>—</w:t>
            </w:r>
          </w:p>
        </w:tc>
        <w:tc>
          <w:tcPr>
            <w:tcW w:type="dxa" w:w="1016"/>
            <w:shd w:fill="F6F7F9" w:val="clear"/>
            <w:vAlign w:val="center"/>
          </w:tcPr>
          <w:p>
            <w:pPr>
              <w:spacing w:before="20" w:after="20"/>
              <w:jc w:val="center"/>
            </w:pPr>
            <w:r/>
            <w:r>
              <w:rPr>
                <w:rFonts w:ascii="Times New Roman" w:hAnsi="Times New Roman"/>
                <w:sz w:val="15"/>
              </w:rPr>
              <w:t>—</w:t>
            </w:r>
          </w:p>
        </w:tc>
        <w:tc>
          <w:tcPr>
            <w:tcW w:type="dxa" w:w="762"/>
            <w:shd w:fill="F6F7F9" w:val="clear"/>
            <w:vAlign w:val="center"/>
          </w:tcPr>
          <w:p>
            <w:pPr>
              <w:spacing w:before="20" w:after="20"/>
              <w:jc w:val="center"/>
            </w:pPr>
            <w:r/>
            <w:r>
              <w:rPr>
                <w:rFonts w:ascii="Times New Roman" w:hAnsi="Times New Roman"/>
                <w:sz w:val="15"/>
              </w:rPr>
              <w:t>—</w:t>
            </w:r>
          </w:p>
        </w:tc>
        <w:tc>
          <w:tcPr>
            <w:tcW w:type="dxa" w:w="762"/>
            <w:shd w:fill="F6F7F9" w:val="clear"/>
            <w:vAlign w:val="center"/>
          </w:tcPr>
          <w:p>
            <w:pPr>
              <w:spacing w:before="20" w:after="20"/>
              <w:jc w:val="center"/>
            </w:pPr>
            <w:r/>
            <w:r>
              <w:rPr>
                <w:rFonts w:ascii="Times New Roman" w:hAnsi="Times New Roman"/>
                <w:sz w:val="15"/>
              </w:rPr>
              <w:t>107.5</w:t>
            </w:r>
          </w:p>
        </w:tc>
      </w:tr>
    </w:tbl>
    <w:p>
      <w:pPr>
        <w:spacing w:after="40"/>
      </w:pPr>
    </w:p>
    <w:p>
      <w:pPr>
        <w:spacing w:before="60" w:after="20"/>
        <w:jc w:val="center"/>
      </w:pPr>
      <w:r>
        <w:drawing>
          <wp:inline xmlns:a="http://schemas.openxmlformats.org/drawingml/2006/main" xmlns:pic="http://schemas.openxmlformats.org/drawingml/2006/picture">
            <wp:extent cx="2834640" cy="1174351"/>
            <wp:docPr id="4" name="Picture 4"/>
            <wp:cNvGraphicFramePr>
              <a:graphicFrameLocks noChangeAspect="1"/>
            </wp:cNvGraphicFramePr>
            <a:graphic>
              <a:graphicData uri="http://schemas.openxmlformats.org/drawingml/2006/picture">
                <pic:pic>
                  <pic:nvPicPr>
                    <pic:cNvPr id="0" name="fig_calib.png"/>
                    <pic:cNvPicPr/>
                  </pic:nvPicPr>
                  <pic:blipFill>
                    <a:blip r:embed="rId12"/>
                    <a:stretch>
                      <a:fillRect/>
                    </a:stretch>
                  </pic:blipFill>
                  <pic:spPr>
                    <a:xfrm>
                      <a:off x="0" y="0"/>
                      <a:ext cx="2834640" cy="1174351"/>
                    </a:xfrm>
                    <a:prstGeom prst="rect"/>
                  </pic:spPr>
                </pic:pic>
              </a:graphicData>
            </a:graphic>
          </wp:inline>
        </w:drawing>
      </w:r>
    </w:p>
    <w:p>
      <w:pPr>
        <w:pStyle w:val="Caption"/>
        <w:spacing w:after="80"/>
        <w:jc w:val="center"/>
      </w:pPr>
      <w:r>
        <w:rPr>
          <w:rFonts w:ascii="Times New Roman" w:hAnsi="Times New Roman"/>
          <w:sz w:val="16"/>
        </w:rPr>
        <w:t>Fig. 3. Calibration reliability diagram (robust CNN; T=0.350 fit on validation, evaluated on held-out test, n=918). ECE 0.328→0.051, NLL 0.700→0.407, Brier 0.381→0.210—10 bins, bar opacity = count.</w:t>
      </w:r>
    </w:p>
    <w:p>
      <w:pPr>
        <w:spacing w:after="60" w:line="259" w:lineRule="auto"/>
        <w:ind w:firstLine="202"/>
        <w:jc w:val="both"/>
      </w:pPr>
      <w:r>
        <w:rPr>
          <w:rFonts w:ascii="Times New Roman" w:hAnsi="Times New Roman"/>
          <w:sz w:val="20"/>
        </w:rPr>
        <w:t xml:space="preserve">Paired INT8 on identical folds (Table VI) degrades macro by 0.210±0.164 (CNN, 33% disagree) and 0.238±0.165 (TCN, 40% disagree); LSTM/GRU remain FP32-only. </w:t>
      </w:r>
      <w:r>
        <w:rPr>
          <w:rFonts w:ascii="Times New Roman" w:hAnsi="Times New Roman"/>
          <w:sz w:val="20"/>
        </w:rPr>
        <w:t>Calibration (T=0.350 fit on validation; held-out test, n=918) improves ECE 0.328→0.051, NLL 0.700→0.407, Brier 0.381→0.210 (Fig. 3); it does not recover quantization loss but makes the confidence threshold (conf) meaningful for deployment.</w:t>
      </w:r>
    </w:p>
    <w:p>
      <w:pPr>
        <w:spacing w:after="60" w:line="259" w:lineRule="auto"/>
        <w:jc w:val="both"/>
      </w:pPr>
      <w:r>
        <w:rPr>
          <w:rFonts w:ascii="Times New Roman" w:hAnsi="Times New Roman"/>
          <w:b/>
          <w:i/>
          <w:sz w:val="20"/>
        </w:rPr>
        <w:t xml:space="preserve">Discussion. </w:t>
      </w:r>
      <w:r>
        <w:rPr>
          <w:rFonts w:ascii="Times New Roman" w:hAnsi="Times New Roman"/>
          <w:sz w:val="20"/>
        </w:rPr>
        <w:t xml:space="preserve">We note a single-split anomaly (CNN 0.588→0.677 after INT8) that disappears in paired folds; it is split-specific noise, not evidence that quantization helps. The paired design is the valid comparison. </w:t>
      </w:r>
      <w:r>
        <w:rPr>
          <w:rFonts w:ascii="Times New Roman" w:hAnsi="Times New Roman"/>
          <w:sz w:val="20"/>
        </w:rPr>
        <w:t>The 33–40% disagreement rate is operationally important: even where macro averages shift modestly, one in three predictions flips, motivating selective abstention on low confidence.</w:t>
      </w:r>
    </w:p>
    <w:p>
      <w:pPr>
        <w:pStyle w:val="Heading2"/>
      </w:pPr>
      <w:r>
        <w:rPr>
          <w:rFonts w:ascii="Times New Roman" w:hAnsi="Times New Roman"/>
          <w:b/>
          <w:i/>
          <w:sz w:val="19"/>
        </w:rPr>
        <w:t>E.  Signal Quality Gate</w:t>
      </w:r>
    </w:p>
    <w:p>
      <w:pPr>
        <w:spacing w:before="60" w:after="20"/>
        <w:jc w:val="center"/>
      </w:pPr>
      <w:r>
        <w:drawing>
          <wp:inline xmlns:a="http://schemas.openxmlformats.org/drawingml/2006/main" xmlns:pic="http://schemas.openxmlformats.org/drawingml/2006/picture">
            <wp:extent cx="2834640" cy="2167666"/>
            <wp:docPr id="5" name="Picture 5"/>
            <wp:cNvGraphicFramePr>
              <a:graphicFrameLocks noChangeAspect="1"/>
            </wp:cNvGraphicFramePr>
            <a:graphic>
              <a:graphicData uri="http://schemas.openxmlformats.org/drawingml/2006/picture">
                <pic:pic>
                  <pic:nvPicPr>
                    <pic:cNvPr id="0" name="fig_sqi.png"/>
                    <pic:cNvPicPr/>
                  </pic:nvPicPr>
                  <pic:blipFill>
                    <a:blip r:embed="rId13"/>
                    <a:stretch>
                      <a:fillRect/>
                    </a:stretch>
                  </pic:blipFill>
                  <pic:spPr>
                    <a:xfrm>
                      <a:off x="0" y="0"/>
                      <a:ext cx="2834640" cy="2167666"/>
                    </a:xfrm>
                    <a:prstGeom prst="rect"/>
                  </pic:spPr>
                </pic:pic>
              </a:graphicData>
            </a:graphic>
          </wp:inline>
        </w:drawing>
      </w:r>
    </w:p>
    <w:p>
      <w:pPr>
        <w:pStyle w:val="Caption"/>
        <w:spacing w:after="80"/>
        <w:jc w:val="center"/>
      </w:pPr>
      <w:r>
        <w:rPr>
          <w:rFonts w:ascii="Times New Roman" w:hAnsi="Times New Roman"/>
          <w:sz w:val="16"/>
        </w:rPr>
        <w:t>Fig. 5. SQI gate: clean false-reject 62.6% at 0.35, corrupted reject 27.9%, downstream macro 0.727→0.643—gate as tuned is not deployable.</w:t>
      </w:r>
    </w:p>
    <w:p>
      <w:pPr>
        <w:spacing w:after="60" w:line="259" w:lineRule="auto"/>
        <w:ind w:firstLine="202"/>
        <w:jc w:val="both"/>
      </w:pPr>
      <w:r>
        <w:rPr>
          <w:rFonts w:ascii="Times New Roman" w:hAnsi="Times New Roman"/>
          <w:sz w:val="20"/>
        </w:rPr>
        <w:t xml:space="preserve">Fig. 5 sweeps the SQI threshold. At 0.35 the gate rejects 62.6% of clean windows while only 27.9% of corrupted ones, and downstream macro on kept windows drops 0.727→0.643. </w:t>
      </w:r>
      <w:r>
        <w:rPr>
          <w:rFonts w:ascii="Times New Roman" w:hAnsi="Times New Roman"/>
          <w:sz w:val="20"/>
        </w:rPr>
        <w:t xml:space="preserve">As tuned, the gate is not deployable; it needs retuning or removal. This finding is honest and conservative: a gate that blocks two-thirds of clean signal would be disabled in firmware. </w:t>
      </w:r>
      <w:r>
        <w:rPr>
          <w:rFonts w:ascii="Times New Roman" w:hAnsi="Times New Roman"/>
          <w:sz w:val="20"/>
        </w:rPr>
        <w:t>A lower threshold (e.g., 0.15) retains &gt;85% clean at the cost of passing more corruption; the sweep shows no operating point that simultaneously keeps &gt;90% clean and rejects &gt;50% corrupted, so future work should replace the handcrafted ratio with a learned SQI trained on the same artifact corpus used in E2.</w:t>
      </w:r>
    </w:p>
    <w:p>
      <w:pPr>
        <w:pStyle w:val="Heading2"/>
      </w:pPr>
      <w:r>
        <w:rPr>
          <w:rFonts w:ascii="Times New Roman" w:hAnsi="Times New Roman"/>
          <w:b/>
          <w:i/>
          <w:sz w:val="19"/>
        </w:rPr>
        <w:t>F.  On-Device Feasibility on ESP32-S3</w:t>
      </w:r>
    </w:p>
    <w:p>
      <w:pPr>
        <w:pStyle w:val="Caption"/>
        <w:spacing w:before="80" w:after="20"/>
        <w:jc w:val="center"/>
      </w:pPr>
      <w:r>
        <w:rPr>
          <w:rFonts w:ascii="Times New Roman" w:hAnsi="Times New Roman"/>
          <w:b/>
          <w:smallCaps/>
          <w:sz w:val="16"/>
        </w:rPr>
        <w:t>TABLE VII: Deployment master on ESP-NN-optimized kernels: grouped-CV macro (n=10 folds; distinct from the single-split 0.588 baseline cited in Table VI), flash size (KB; † = fused float32 TFLite, §II-C), measured per-window latency (ms, n=19 windows each, fixed-seed input, 3 runs, &lt;0.1% spread), RTF = per-window latency ÷ 500 ms hop (the streaming budget set by 50% overlap; window-based values: 0.50/0.61/2.58/2.18). CNN and TCN meet the hop budget only once the learned denoiser is replaced by the ~5 ms Butterworth (§III-F). Arena 300 KB internal SRAM (96 KB denoiser + 204 KB classifier), leaving ≈49 KB heap by budget.</w:t>
      </w:r>
    </w:p>
    <w:tbl>
      <w:tblPr>
        <w:tblStyle w:val="LightGrid-Accent1"/>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gridCol w:w="1728"/>
      </w:tblGrid>
      <w:tr>
        <w:tc>
          <w:tcPr>
            <w:tcW w:type="dxa" w:w="986"/>
            <w:shd w:fill="E8EDF3" w:val="clear"/>
            <w:vAlign w:val="center"/>
          </w:tcPr>
          <w:p>
            <w:pPr>
              <w:spacing w:before="20" w:after="20"/>
              <w:jc w:val="center"/>
            </w:pPr>
            <w:r/>
            <w:r>
              <w:rPr>
                <w:rFonts w:ascii="Times New Roman" w:hAnsi="Times New Roman"/>
                <w:b/>
                <w:sz w:val="15"/>
              </w:rPr>
              <w:t>Model</w:t>
            </w:r>
          </w:p>
        </w:tc>
        <w:tc>
          <w:tcPr>
            <w:tcW w:type="dxa" w:w="723"/>
            <w:shd w:fill="E8EDF3" w:val="clear"/>
            <w:vAlign w:val="center"/>
          </w:tcPr>
          <w:p>
            <w:pPr>
              <w:spacing w:before="20" w:after="20"/>
              <w:jc w:val="center"/>
            </w:pPr>
            <w:r/>
            <w:r>
              <w:rPr>
                <w:rFonts w:ascii="Times New Roman" w:hAnsi="Times New Roman"/>
                <w:b/>
                <w:sz w:val="15"/>
              </w:rPr>
              <w:t>Macro</w:t>
            </w:r>
          </w:p>
        </w:tc>
        <w:tc>
          <w:tcPr>
            <w:tcW w:type="dxa" w:w="723"/>
            <w:shd w:fill="E8EDF3" w:val="clear"/>
            <w:vAlign w:val="center"/>
          </w:tcPr>
          <w:p>
            <w:pPr>
              <w:spacing w:before="20" w:after="20"/>
              <w:jc w:val="center"/>
            </w:pPr>
            <w:r/>
            <w:r>
              <w:rPr>
                <w:rFonts w:ascii="Times New Roman" w:hAnsi="Times New Roman"/>
                <w:b/>
                <w:sz w:val="15"/>
              </w:rPr>
              <w:t>Size</w:t>
            </w:r>
          </w:p>
        </w:tc>
        <w:tc>
          <w:tcPr>
            <w:tcW w:type="dxa" w:w="946"/>
            <w:shd w:fill="E8EDF3" w:val="clear"/>
            <w:vAlign w:val="center"/>
          </w:tcPr>
          <w:p>
            <w:pPr>
              <w:spacing w:before="20" w:after="20"/>
              <w:jc w:val="center"/>
            </w:pPr>
            <w:r/>
            <w:r>
              <w:rPr>
                <w:rFonts w:ascii="Times New Roman" w:hAnsi="Times New Roman"/>
                <w:b/>
                <w:sz w:val="15"/>
              </w:rPr>
              <w:t>Latency (ms)</w:t>
            </w:r>
          </w:p>
        </w:tc>
        <w:tc>
          <w:tcPr>
            <w:tcW w:type="dxa" w:w="723"/>
            <w:shd w:fill="E8EDF3" w:val="clear"/>
            <w:vAlign w:val="center"/>
          </w:tcPr>
          <w:p>
            <w:pPr>
              <w:spacing w:before="20" w:after="20"/>
              <w:jc w:val="center"/>
            </w:pPr>
            <w:r/>
            <w:r>
              <w:rPr>
                <w:rFonts w:ascii="Times New Roman" w:hAnsi="Times New Roman"/>
                <w:b/>
                <w:sz w:val="15"/>
              </w:rPr>
              <w:t>RTF (×)</w:t>
            </w:r>
          </w:p>
        </w:tc>
        <w:tc>
          <w:tcPr>
            <w:tcW w:type="dxa" w:w="723"/>
            <w:shd w:fill="E8EDF3" w:val="clear"/>
            <w:vAlign w:val="center"/>
          </w:tcPr>
          <w:p>
            <w:pPr>
              <w:spacing w:before="20" w:after="20"/>
              <w:jc w:val="center"/>
            </w:pPr>
            <w:r/>
            <w:r>
              <w:rPr>
                <w:rFonts w:ascii="Times New Roman" w:hAnsi="Times New Roman"/>
                <w:b/>
                <w:sz w:val="15"/>
              </w:rPr>
              <w:t>ΔINT8</w:t>
            </w:r>
          </w:p>
        </w:tc>
      </w:tr>
      <w:tr>
        <w:tc>
          <w:tcPr>
            <w:tcW w:type="dxa" w:w="986"/>
            <w:vAlign w:val="center"/>
          </w:tcPr>
          <w:p>
            <w:pPr>
              <w:spacing w:before="20" w:after="20"/>
              <w:jc w:val="left"/>
            </w:pPr>
            <w:r/>
            <w:r>
              <w:rPr>
                <w:rFonts w:ascii="Times New Roman" w:hAnsi="Times New Roman"/>
                <w:sz w:val="15"/>
              </w:rPr>
              <w:t>CNN (int8)</w:t>
            </w:r>
          </w:p>
        </w:tc>
        <w:tc>
          <w:tcPr>
            <w:tcW w:type="dxa" w:w="723"/>
            <w:vAlign w:val="center"/>
          </w:tcPr>
          <w:p>
            <w:pPr>
              <w:spacing w:before="20" w:after="20"/>
              <w:jc w:val="center"/>
            </w:pPr>
            <w:r/>
            <w:r>
              <w:rPr>
                <w:rFonts w:ascii="Times New Roman" w:hAnsi="Times New Roman"/>
                <w:sz w:val="15"/>
              </w:rPr>
              <w:t>0.619</w:t>
            </w:r>
          </w:p>
        </w:tc>
        <w:tc>
          <w:tcPr>
            <w:tcW w:type="dxa" w:w="723"/>
            <w:vAlign w:val="center"/>
          </w:tcPr>
          <w:p>
            <w:pPr>
              <w:spacing w:before="20" w:after="20"/>
              <w:jc w:val="center"/>
            </w:pPr>
            <w:r/>
            <w:r>
              <w:rPr>
                <w:rFonts w:ascii="Times New Roman" w:hAnsi="Times New Roman"/>
                <w:sz w:val="15"/>
              </w:rPr>
              <w:t>77.9</w:t>
            </w:r>
          </w:p>
        </w:tc>
        <w:tc>
          <w:tcPr>
            <w:tcW w:type="dxa" w:w="946"/>
            <w:vAlign w:val="center"/>
          </w:tcPr>
          <w:p>
            <w:pPr>
              <w:spacing w:before="20" w:after="20"/>
              <w:jc w:val="center"/>
            </w:pPr>
            <w:r/>
            <w:r>
              <w:rPr>
                <w:rFonts w:ascii="Times New Roman" w:hAnsi="Times New Roman"/>
                <w:sz w:val="15"/>
              </w:rPr>
              <w:t>500</w:t>
            </w:r>
          </w:p>
        </w:tc>
        <w:tc>
          <w:tcPr>
            <w:tcW w:type="dxa" w:w="723"/>
            <w:vAlign w:val="center"/>
          </w:tcPr>
          <w:p>
            <w:pPr>
              <w:spacing w:before="20" w:after="20"/>
              <w:jc w:val="center"/>
            </w:pPr>
            <w:r/>
            <w:r>
              <w:rPr>
                <w:rFonts w:ascii="Times New Roman" w:hAnsi="Times New Roman"/>
                <w:sz w:val="15"/>
              </w:rPr>
              <w:t>1.00</w:t>
            </w:r>
          </w:p>
        </w:tc>
        <w:tc>
          <w:tcPr>
            <w:tcW w:type="dxa" w:w="723"/>
            <w:vAlign w:val="center"/>
          </w:tcPr>
          <w:p>
            <w:pPr>
              <w:spacing w:before="20" w:after="20"/>
              <w:jc w:val="center"/>
            </w:pPr>
            <w:r/>
            <w:r>
              <w:rPr>
                <w:rFonts w:ascii="Times New Roman" w:hAnsi="Times New Roman"/>
                <w:sz w:val="15"/>
              </w:rPr>
              <w:t>−0.210</w:t>
            </w:r>
          </w:p>
        </w:tc>
      </w:tr>
      <w:tr>
        <w:tc>
          <w:tcPr>
            <w:tcW w:type="dxa" w:w="986"/>
            <w:shd w:fill="F6F7F9" w:val="clear"/>
            <w:vAlign w:val="center"/>
          </w:tcPr>
          <w:p>
            <w:pPr>
              <w:spacing w:before="20" w:after="20"/>
              <w:jc w:val="left"/>
            </w:pPr>
            <w:r/>
            <w:r>
              <w:rPr>
                <w:rFonts w:ascii="Times New Roman" w:hAnsi="Times New Roman"/>
                <w:sz w:val="15"/>
              </w:rPr>
              <w:t>TCN (int8)</w:t>
            </w:r>
          </w:p>
        </w:tc>
        <w:tc>
          <w:tcPr>
            <w:tcW w:type="dxa" w:w="723"/>
            <w:shd w:fill="F6F7F9" w:val="clear"/>
            <w:vAlign w:val="center"/>
          </w:tcPr>
          <w:p>
            <w:pPr>
              <w:spacing w:before="20" w:after="20"/>
              <w:jc w:val="center"/>
            </w:pPr>
            <w:r/>
            <w:r>
              <w:rPr>
                <w:rFonts w:ascii="Times New Roman" w:hAnsi="Times New Roman"/>
                <w:sz w:val="15"/>
              </w:rPr>
              <w:t>0.615</w:t>
            </w:r>
          </w:p>
        </w:tc>
        <w:tc>
          <w:tcPr>
            <w:tcW w:type="dxa" w:w="723"/>
            <w:shd w:fill="F6F7F9" w:val="clear"/>
            <w:vAlign w:val="center"/>
          </w:tcPr>
          <w:p>
            <w:pPr>
              <w:spacing w:before="20" w:after="20"/>
              <w:jc w:val="center"/>
            </w:pPr>
            <w:r/>
            <w:r>
              <w:rPr>
                <w:rFonts w:ascii="Times New Roman" w:hAnsi="Times New Roman"/>
                <w:sz w:val="15"/>
              </w:rPr>
              <w:t>70.1</w:t>
            </w:r>
          </w:p>
        </w:tc>
        <w:tc>
          <w:tcPr>
            <w:tcW w:type="dxa" w:w="946"/>
            <w:shd w:fill="F6F7F9" w:val="clear"/>
            <w:vAlign w:val="center"/>
          </w:tcPr>
          <w:p>
            <w:pPr>
              <w:spacing w:before="20" w:after="20"/>
              <w:jc w:val="center"/>
            </w:pPr>
            <w:r/>
            <w:r>
              <w:rPr>
                <w:rFonts w:ascii="Times New Roman" w:hAnsi="Times New Roman"/>
                <w:sz w:val="15"/>
              </w:rPr>
              <w:t>609</w:t>
            </w:r>
          </w:p>
        </w:tc>
        <w:tc>
          <w:tcPr>
            <w:tcW w:type="dxa" w:w="723"/>
            <w:shd w:fill="F6F7F9" w:val="clear"/>
            <w:vAlign w:val="center"/>
          </w:tcPr>
          <w:p>
            <w:pPr>
              <w:spacing w:before="20" w:after="20"/>
              <w:jc w:val="center"/>
            </w:pPr>
            <w:r/>
            <w:r>
              <w:rPr>
                <w:rFonts w:ascii="Times New Roman" w:hAnsi="Times New Roman"/>
                <w:sz w:val="15"/>
              </w:rPr>
              <w:t>1.22</w:t>
            </w:r>
          </w:p>
        </w:tc>
        <w:tc>
          <w:tcPr>
            <w:tcW w:type="dxa" w:w="723"/>
            <w:shd w:fill="F6F7F9" w:val="clear"/>
            <w:vAlign w:val="center"/>
          </w:tcPr>
          <w:p>
            <w:pPr>
              <w:spacing w:before="20" w:after="20"/>
              <w:jc w:val="center"/>
            </w:pPr>
            <w:r/>
            <w:r>
              <w:rPr>
                <w:rFonts w:ascii="Times New Roman" w:hAnsi="Times New Roman"/>
                <w:sz w:val="15"/>
              </w:rPr>
              <w:t>−0.238</w:t>
            </w:r>
          </w:p>
        </w:tc>
      </w:tr>
      <w:tr>
        <w:tc>
          <w:tcPr>
            <w:tcW w:type="dxa" w:w="986"/>
            <w:vAlign w:val="center"/>
          </w:tcPr>
          <w:p>
            <w:pPr>
              <w:spacing w:before="20" w:after="20"/>
              <w:jc w:val="left"/>
            </w:pPr>
            <w:r/>
            <w:r>
              <w:rPr>
                <w:rFonts w:ascii="Times New Roman" w:hAnsi="Times New Roman"/>
                <w:sz w:val="15"/>
              </w:rPr>
              <w:t>LSTM (fp32†)</w:t>
            </w:r>
          </w:p>
        </w:tc>
        <w:tc>
          <w:tcPr>
            <w:tcW w:type="dxa" w:w="723"/>
            <w:vAlign w:val="center"/>
          </w:tcPr>
          <w:p>
            <w:pPr>
              <w:spacing w:before="20" w:after="20"/>
              <w:jc w:val="center"/>
            </w:pPr>
            <w:r/>
            <w:r>
              <w:rPr>
                <w:rFonts w:ascii="Times New Roman" w:hAnsi="Times New Roman"/>
                <w:sz w:val="15"/>
              </w:rPr>
              <w:t>0.582</w:t>
            </w:r>
          </w:p>
        </w:tc>
        <w:tc>
          <w:tcPr>
            <w:tcW w:type="dxa" w:w="723"/>
            <w:vAlign w:val="center"/>
          </w:tcPr>
          <w:p>
            <w:pPr>
              <w:spacing w:before="20" w:after="20"/>
              <w:jc w:val="center"/>
            </w:pPr>
            <w:r/>
            <w:r>
              <w:rPr>
                <w:rFonts w:ascii="Times New Roman" w:hAnsi="Times New Roman"/>
                <w:sz w:val="15"/>
              </w:rPr>
              <w:t>126.5</w:t>
            </w:r>
          </w:p>
        </w:tc>
        <w:tc>
          <w:tcPr>
            <w:tcW w:type="dxa" w:w="946"/>
            <w:vAlign w:val="center"/>
          </w:tcPr>
          <w:p>
            <w:pPr>
              <w:spacing w:before="20" w:after="20"/>
              <w:jc w:val="center"/>
            </w:pPr>
            <w:r/>
            <w:r>
              <w:rPr>
                <w:rFonts w:ascii="Times New Roman" w:hAnsi="Times New Roman"/>
                <w:sz w:val="15"/>
              </w:rPr>
              <w:t>1290</w:t>
            </w:r>
          </w:p>
        </w:tc>
        <w:tc>
          <w:tcPr>
            <w:tcW w:type="dxa" w:w="723"/>
            <w:vAlign w:val="center"/>
          </w:tcPr>
          <w:p>
            <w:pPr>
              <w:spacing w:before="20" w:after="20"/>
              <w:jc w:val="center"/>
            </w:pPr>
            <w:r/>
            <w:r>
              <w:rPr>
                <w:rFonts w:ascii="Times New Roman" w:hAnsi="Times New Roman"/>
                <w:sz w:val="15"/>
              </w:rPr>
              <w:t>2.58</w:t>
            </w:r>
          </w:p>
        </w:tc>
        <w:tc>
          <w:tcPr>
            <w:tcW w:type="dxa" w:w="723"/>
            <w:vAlign w:val="center"/>
          </w:tcPr>
          <w:p>
            <w:pPr>
              <w:spacing w:before="20" w:after="20"/>
              <w:jc w:val="center"/>
            </w:pPr>
            <w:r/>
            <w:r>
              <w:rPr>
                <w:rFonts w:ascii="Times New Roman" w:hAnsi="Times New Roman"/>
                <w:sz w:val="15"/>
              </w:rPr>
              <w:t>—</w:t>
            </w:r>
          </w:p>
        </w:tc>
      </w:tr>
      <w:tr>
        <w:tc>
          <w:tcPr>
            <w:tcW w:type="dxa" w:w="986"/>
            <w:shd w:fill="F6F7F9" w:val="clear"/>
            <w:vAlign w:val="center"/>
          </w:tcPr>
          <w:p>
            <w:pPr>
              <w:spacing w:before="20" w:after="20"/>
              <w:jc w:val="left"/>
            </w:pPr>
            <w:r/>
            <w:r>
              <w:rPr>
                <w:rFonts w:ascii="Times New Roman" w:hAnsi="Times New Roman"/>
                <w:sz w:val="15"/>
              </w:rPr>
              <w:t>GRU (fp32†)</w:t>
            </w:r>
          </w:p>
        </w:tc>
        <w:tc>
          <w:tcPr>
            <w:tcW w:type="dxa" w:w="723"/>
            <w:shd w:fill="F6F7F9" w:val="clear"/>
            <w:vAlign w:val="center"/>
          </w:tcPr>
          <w:p>
            <w:pPr>
              <w:spacing w:before="20" w:after="20"/>
              <w:jc w:val="center"/>
            </w:pPr>
            <w:r/>
            <w:r>
              <w:rPr>
                <w:rFonts w:ascii="Times New Roman" w:hAnsi="Times New Roman"/>
                <w:sz w:val="15"/>
              </w:rPr>
              <w:t>0.526</w:t>
            </w:r>
          </w:p>
        </w:tc>
        <w:tc>
          <w:tcPr>
            <w:tcW w:type="dxa" w:w="723"/>
            <w:shd w:fill="F6F7F9" w:val="clear"/>
            <w:vAlign w:val="center"/>
          </w:tcPr>
          <w:p>
            <w:pPr>
              <w:spacing w:before="20" w:after="20"/>
              <w:jc w:val="center"/>
            </w:pPr>
            <w:r/>
            <w:r>
              <w:rPr>
                <w:rFonts w:ascii="Times New Roman" w:hAnsi="Times New Roman"/>
                <w:sz w:val="15"/>
              </w:rPr>
              <w:t>103.7</w:t>
            </w:r>
          </w:p>
        </w:tc>
        <w:tc>
          <w:tcPr>
            <w:tcW w:type="dxa" w:w="946"/>
            <w:shd w:fill="F6F7F9" w:val="clear"/>
            <w:vAlign w:val="center"/>
          </w:tcPr>
          <w:p>
            <w:pPr>
              <w:spacing w:before="20" w:after="20"/>
              <w:jc w:val="center"/>
            </w:pPr>
            <w:r/>
            <w:r>
              <w:rPr>
                <w:rFonts w:ascii="Times New Roman" w:hAnsi="Times New Roman"/>
                <w:sz w:val="15"/>
              </w:rPr>
              <w:t>1091</w:t>
            </w:r>
          </w:p>
        </w:tc>
        <w:tc>
          <w:tcPr>
            <w:tcW w:type="dxa" w:w="723"/>
            <w:shd w:fill="F6F7F9" w:val="clear"/>
            <w:vAlign w:val="center"/>
          </w:tcPr>
          <w:p>
            <w:pPr>
              <w:spacing w:before="20" w:after="20"/>
              <w:jc w:val="center"/>
            </w:pPr>
            <w:r/>
            <w:r>
              <w:rPr>
                <w:rFonts w:ascii="Times New Roman" w:hAnsi="Times New Roman"/>
                <w:sz w:val="15"/>
              </w:rPr>
              <w:t>2.18</w:t>
            </w:r>
          </w:p>
        </w:tc>
        <w:tc>
          <w:tcPr>
            <w:tcW w:type="dxa" w:w="723"/>
            <w:shd w:fill="F6F7F9" w:val="clear"/>
            <w:vAlign w:val="center"/>
          </w:tcPr>
          <w:p>
            <w:pPr>
              <w:spacing w:before="20" w:after="20"/>
              <w:jc w:val="center"/>
            </w:pPr>
            <w:r/>
            <w:r>
              <w:rPr>
                <w:rFonts w:ascii="Times New Roman" w:hAnsi="Times New Roman"/>
                <w:sz w:val="15"/>
              </w:rPr>
              <w:t>—</w:t>
            </w:r>
          </w:p>
        </w:tc>
      </w:tr>
    </w:tbl>
    <w:p>
      <w:pPr>
        <w:spacing w:after="40"/>
      </w:pPr>
    </w:p>
    <w:p>
      <w:pPr>
        <w:spacing w:after="60" w:line="259" w:lineRule="auto"/>
        <w:ind w:firstLine="202"/>
        <w:jc w:val="both"/>
      </w:pPr>
      <w:r>
        <w:rPr>
          <w:rFonts w:ascii="Times New Roman" w:hAnsi="Times New Roman"/>
          <w:sz w:val="20"/>
        </w:rPr>
        <w:t xml:space="preserve">The quantized CNN/TCN occupy 77.9 / 70.1 KB plus 19 KB denoiser in flash; the float32 LSTM/GRU occupy 126.5 / 103.7 KB. The tensor arena is 300 KB internal SRAM, split 96 KB denoiser / 204 KB classifier to accommodate ESP-NN scratch; free heap is ≈49 KB at boot (Table VII). </w:t>
      </w:r>
      <w:r>
        <w:rPr>
          <w:rFonts w:ascii="Times New Roman" w:hAnsi="Times New Roman"/>
          <w:sz w:val="20"/>
        </w:rPr>
        <w:t>A synthetic signal completes 19 sliding windows end-to-end (valid=1), verifying execution of every architecture.</w:t>
      </w:r>
    </w:p>
    <w:p>
      <w:pPr>
        <w:spacing w:after="60" w:line="259" w:lineRule="auto"/>
        <w:ind w:firstLine="202"/>
        <w:jc w:val="both"/>
      </w:pPr>
      <w:r>
        <w:rPr>
          <w:rFonts w:ascii="Times New Roman" w:hAnsi="Times New Roman"/>
          <w:sz w:val="20"/>
        </w:rPr>
        <w:t xml:space="preserve">Measured per-window latency on </w:t>
      </w:r>
      <w:r>
        <w:rPr>
          <w:rFonts w:ascii="Times New Roman" w:hAnsi="Times New Roman"/>
          <w:b/>
          <w:sz w:val="20"/>
        </w:rPr>
        <w:t>ESP-NN-optimized kernels</w:t>
      </w:r>
      <w:r>
        <w:rPr>
          <w:rFonts w:ascii="Times New Roman" w:hAnsi="Times New Roman"/>
          <w:sz w:val="20"/>
        </w:rPr>
        <w:t xml:space="preserve"> (n=19 windows, fixed-seed input, three runs each, variation &lt;0.1%): CNN 500 ms (315 denoise + 184 classify), TCN 609 ms, LSTM 1290 ms, GRU 1091 ms. Against the streaming budget set by the 0.5-s hop, the denoiser-in-loop pipeline is marginal: CNN sits exactly at RTF 1.00 and TCN exceeds it (1.22), and the batch firmware would occupy 95% duty cycle per 10-s buffer. Replacing the learned denoiser with the ~5 ms Butterworth—already favored on cost–benefit grounds—resolves this decisively: classify-only latency falls to 189/298 ms (hop-based RTF 0.38/0.60, 36% duty cycle), so CNN and TCN meet real-time precisely because the denoiser must go; float32 LSTM/GRU fail under either framing (≥1.55). Outputs were verified bit-exact against PC reference kernels, whereas TFL-Micro's portable reference kernels had run the conv stacks 7.6×/5.9× slower—inverting the ranking. Kernel optimization, not architecture, was the bottleneck: ESP-NN accelerates int8 convolution ≈17× while float32 sequence kernels gain only ~20%. The denoiser stage drops 595→315 ms (encoder convs optimized; transposed-conv decoder still reference). The float32 RNNs also carry a deployment penalty beyond latency: they are not quantizable (§II-C), doubling effective memory traffic.</w:t>
      </w:r>
    </w:p>
    <w:p>
      <w:pPr>
        <w:spacing w:after="60" w:line="259" w:lineRule="auto"/>
        <w:ind w:firstLine="202"/>
        <w:jc w:val="both"/>
      </w:pPr>
      <w:r>
        <w:rPr>
          <w:rFonts w:ascii="Times New Roman" w:hAnsi="Times New Roman"/>
          <w:b/>
          <w:i/>
          <w:sz w:val="20"/>
        </w:rPr>
        <w:t xml:space="preserve">Overall trade-off. </w:t>
      </w:r>
      <w:r>
        <w:rPr>
          <w:rFonts w:ascii="Times New Roman" w:hAnsi="Times New Roman"/>
          <w:sz w:val="20"/>
        </w:rPr>
        <w:t>CNN and TCN dominate macro and meet the 0.5-s hop budget once the denoiser is dropped (hop-based RTF 0.38/0.60); with the denoiser in-loop they are marginal (1.00/1.22), and float32 LSTM/GRU fail regardless (≥1.55). Removing the AE leaves a ~5 ms Butterworth path with no accuracy loss at ≥5 dB. Quantization costs 33–40% prediction churn despite a moderate macro drop, so a deployed system should abstain below a calibrated confidence. SQI cost is unacceptable at the current threshold. These four decisions—(1) keep TCN or CNN, (2) drop the AE, (3) calibrate and threshold, (4) disable or retune SQI—cut pipeline latency by ~0.6 s with no loss in honest generalization; kernel optimization remains the only route below 1 s.</w:t>
      </w:r>
    </w:p>
    <w:p>
      <w:pPr>
        <w:spacing w:after="60" w:line="259" w:lineRule="auto"/>
        <w:jc w:val="both"/>
      </w:pPr>
      <w:r>
        <w:rPr>
          <w:rFonts w:ascii="Times New Roman" w:hAnsi="Times New Roman"/>
          <w:sz w:val="20"/>
        </w:rPr>
        <w:t>All F1 metrics follow the standard definition, with macro as the unweighted mean:</w:t>
      </w:r>
    </w:p>
    <w:p>
      <w:pPr>
        <w:spacing w:before="60" w:after="60"/>
        <w:jc w:val="center"/>
      </w:pPr>
      <w:r>
        <w:rPr>
          <w:rFonts w:ascii="Cambria Math" w:hAnsi="Cambria Math"/>
          <w:i/>
          <w:sz w:val="18"/>
        </w:rPr>
        <w:t>F1c = 2·TPc / (2·TPc+FPc+FNc),   Macro-F1 = (1/C) Σ F1c</w:t>
      </w:r>
      <w:r>
        <w:rPr>
          <w:rFonts w:ascii="Times New Roman" w:hAnsi="Times New Roman"/>
          <w:sz w:val="16"/>
        </w:rPr>
        <w:t xml:space="preserve">    (8)</w:t>
      </w:r>
    </w:p>
    <w:p>
      <w:pPr>
        <w:pStyle w:val="Heading1"/>
        <w:spacing w:before="120" w:after="60"/>
        <w:pBdr>
          <w:bottom w:val="single" w:sz="4" w:space="1" w:color="DCE6F0"/>
        </w:pBdr>
      </w:pPr>
      <w:r>
        <w:rPr>
          <w:rFonts w:ascii="Times New Roman" w:hAnsi="Times New Roman"/>
          <w:b/>
          <w:color w:val="0F1E3A"/>
          <w:sz w:val="20"/>
        </w:rPr>
        <w:t>IV.    CONCLUSION</w:t>
      </w:r>
    </w:p>
    <w:p>
      <w:pPr>
        <w:spacing w:after="60" w:line="259" w:lineRule="auto"/>
        <w:ind w:firstLine="202"/>
        <w:jc w:val="both"/>
      </w:pPr>
      <w:r>
        <w:rPr>
          <w:rFonts w:ascii="Times New Roman" w:hAnsi="Times New Roman"/>
          <w:sz w:val="20"/>
        </w:rPr>
        <w:t xml:space="preserve">We presented a controlled, patient-independent comparison of CNN, LSTM, GRU, and TCN for edge ECG screening on one MIT-BIH pipeline, with grouped CV (5×2), noise-robustness (5×3×7), external SVDB validation, paired INT8 quantization with calibration, and measured ESP32-S3 deployment. </w:t>
      </w:r>
      <w:r>
        <w:rPr>
          <w:rFonts w:ascii="Times New Roman" w:hAnsi="Times New Roman"/>
          <w:sz w:val="20"/>
        </w:rPr>
        <w:t xml:space="preserve">CNN and TCN tie for best generalization (0.619 / 0.615 macro); APB is the bottleneck and weighting lifts single-split CNN APB to 0.73, while recurrent models lag even with mitigation. </w:t>
      </w:r>
      <w:r>
        <w:rPr>
          <w:rFonts w:ascii="Times New Roman" w:hAnsi="Times New Roman"/>
          <w:sz w:val="20"/>
        </w:rPr>
        <w:t xml:space="preserve">Butterworth filtering dominates the learned denoiser on cost–benefit (0 KB vs 19 KB, ~5 ms vs 315 ms); INT8 degrades paired macro by ~0.22 with 33–40% disagreement; and the SQI gate as tuned is not deployable. </w:t>
      </w:r>
      <w:r>
        <w:rPr>
          <w:rFonts w:ascii="Times New Roman" w:hAnsi="Times New Roman"/>
          <w:sz w:val="20"/>
        </w:rPr>
        <w:t>On-device with ESP-NN-optimized kernels, CNN and TCN meet the streaming real-time budget (hop-based RTF 0.38/0.60 against the 0.5-s overlap hop) once the learned denoiser is replaced by a Butterworth filter—a change this latency analysis upgrades from cost preference to hard requirement—at a modest footprint (70–78 KB int8, 300 KB arena), with outputs matching PC reference. Float32 LSTM/GRU exceed budget under either framing (≥1.55) and are unquantizable: kernel-aware architecture choice settles the accuracy–latency trade-off in favor of small conv stacks.</w:t>
      </w:r>
    </w:p>
    <w:p>
      <w:pPr>
        <w:spacing w:after="60" w:line="259" w:lineRule="auto"/>
        <w:jc w:val="both"/>
      </w:pPr>
      <w:r>
        <w:rPr>
          <w:rFonts w:ascii="Times New Roman" w:hAnsi="Times New Roman"/>
          <w:b/>
          <w:sz w:val="20"/>
        </w:rPr>
        <w:t xml:space="preserve">Reproducibility: </w:t>
      </w:r>
      <w:r>
        <w:rPr>
          <w:rFonts w:ascii="Times New Roman" w:hAnsi="Times New Roman"/>
          <w:sz w:val="20"/>
        </w:rPr>
        <w:t>PhysioNet pull [1,19], frozen 5×2 folds, 40 per-fold checkpoints, 16-way APB ablation, 40 paired quant checkpoints, seeds documented; TensorFlow 2.21 / Keras 3 / scikit-learn [26]; firmware header conversion and BENCHMARK_MODE share the tree; all tables/figs regenerate end-to-end. On-device figures use an ESP-NN-optimized kernel build (upstream master); LSTM/GRU timings use fused float32 sequence-kernel exports (weights unchanged).</w:t>
      </w:r>
    </w:p>
    <w:p>
      <w:pPr>
        <w:pStyle w:val="Heading2"/>
      </w:pPr>
      <w:r>
        <w:rPr>
          <w:rFonts w:ascii="Times New Roman" w:hAnsi="Times New Roman"/>
          <w:b/>
          <w:i/>
          <w:sz w:val="19"/>
        </w:rPr>
        <w:t>A.  Limitations</w:t>
      </w:r>
    </w:p>
    <w:p>
      <w:pPr>
        <w:spacing w:after="60" w:line="259" w:lineRule="auto"/>
        <w:ind w:firstLine="202"/>
        <w:jc w:val="both"/>
      </w:pPr>
      <w:r>
        <w:rPr>
          <w:rFonts w:ascii="Times New Roman" w:hAnsi="Times New Roman"/>
          <w:sz w:val="20"/>
        </w:rPr>
        <w:t xml:space="preserve">Single-lead limits scope (no ST localization/axis); APB is beat-level, not AF (rhythm-level, out of scope). </w:t>
      </w:r>
      <w:r>
        <w:rPr>
          <w:rFonts w:ascii="Times New Roman" w:hAnsi="Times New Roman"/>
          <w:sz w:val="20"/>
        </w:rPr>
        <w:t xml:space="preserve">We report a functional smoke test (19 windows) and measured latency—systematic DAC→ADC hardware-domain ΔF1 is not possible on S3 (no DAC, SOC_DAC_SUPPORTED=0) and requires ESP32-classic or external MCP4725. </w:t>
      </w:r>
      <w:r>
        <w:rPr>
          <w:rFonts w:ascii="Times New Roman" w:hAnsi="Times New Roman"/>
          <w:sz w:val="20"/>
        </w:rPr>
        <w:t>S3 ADC linearity is unpublished; real AD8232 acquisition and battery life require hardware/ethics evaluation.</w:t>
      </w:r>
    </w:p>
    <w:p>
      <w:pPr>
        <w:pStyle w:val="Heading1"/>
        <w:spacing w:before="120" w:after="60"/>
      </w:pPr>
      <w:r>
        <w:rPr>
          <w:rFonts w:ascii="Times New Roman" w:hAnsi="Times New Roman"/>
          <w:b/>
          <w:color w:val="0F1E3A"/>
          <w:sz w:val="20"/>
        </w:rPr>
        <w:t>USE OF A LARGE LANGUAGE MODEL (LLM) IN THE MANUSCRIPT</w:t>
      </w:r>
    </w:p>
    <w:p>
      <w:pPr>
        <w:spacing w:after="60" w:line="259" w:lineRule="auto"/>
        <w:ind w:firstLine="202"/>
        <w:jc w:val="both"/>
      </w:pPr>
      <w:r>
        <w:rPr>
          <w:rFonts w:ascii="Times New Roman" w:hAnsi="Times New Roman"/>
          <w:sz w:val="20"/>
        </w:rPr>
        <w:t>The authors hereby declare that the use of ChatGPT or any LLM in the preparation of this research paper is either not applicable, or if utilized, has been duly acknowledged within the paper (preferably in the 'ACKNOWLEDGEMENT' Section), where it is explicitly stated that such models were employed solely for non-intellectual purposes. The authors confirm that the output generated by ChatGPT or any LLM has been carefully reviewed and approved by them. The responsibility for the content and accuracy of the information rests solely with the authors.</w:t>
      </w:r>
    </w:p>
    <w:p>
      <w:pPr>
        <w:pStyle w:val="Heading1"/>
        <w:spacing w:before="120" w:after="60"/>
        <w:pBdr>
          <w:bottom w:val="single" w:sz="4" w:space="1" w:color="DCE6F0"/>
        </w:pBdr>
      </w:pPr>
      <w:r>
        <w:rPr>
          <w:rFonts w:ascii="Times New Roman" w:hAnsi="Times New Roman"/>
          <w:b/>
          <w:color w:val="0F1E3A"/>
          <w:sz w:val="20"/>
        </w:rPr>
        <w:t>V.    REFERENCES</w:t>
      </w:r>
    </w:p>
    <w:p>
      <w:pPr>
        <w:spacing w:before="0" w:after="20" w:line="240" w:lineRule="auto"/>
        <w:ind w:left="259" w:hanging="259"/>
        <w:jc w:val="both"/>
      </w:pPr>
      <w:r>
        <w:rPr>
          <w:rFonts w:ascii="Times New Roman" w:hAnsi="Times New Roman"/>
          <w:b/>
          <w:sz w:val="15"/>
        </w:rPr>
        <w:t xml:space="preserve">[1]  </w:t>
      </w:r>
      <w:r>
        <w:rPr>
          <w:rFonts w:ascii="Times New Roman" w:hAnsi="Times New Roman"/>
          <w:sz w:val="15"/>
        </w:rPr>
        <w:t>G. B. Moody and R. G. Mark, “The impact of the MIT-BIH Arrhythmia Database,” IEEE Eng. Med. Biol. Mag., vol. 20, no. 3, pp. 45–50, 2001.</w:t>
      </w:r>
    </w:p>
    <w:p>
      <w:pPr>
        <w:spacing w:before="0" w:after="20" w:line="240" w:lineRule="auto"/>
        <w:ind w:left="259" w:hanging="259"/>
        <w:jc w:val="both"/>
      </w:pPr>
      <w:r>
        <w:rPr>
          <w:rFonts w:ascii="Times New Roman" w:hAnsi="Times New Roman"/>
          <w:b/>
          <w:sz w:val="15"/>
        </w:rPr>
        <w:t xml:space="preserve">[2]  </w:t>
      </w:r>
      <w:r>
        <w:rPr>
          <w:rFonts w:ascii="Times New Roman" w:hAnsi="Times New Roman"/>
          <w:sz w:val="15"/>
        </w:rPr>
        <w:t>S. Kiranyaz, T. Ince, and M. Gabbouj, “Real-time patient-specific ECG classification by 1-D convolutional neural networks,” IEEE Trans. Biomed. Eng., vol. 63, no. 3, pp. 664–675, 2016.</w:t>
      </w:r>
    </w:p>
    <w:p>
      <w:pPr>
        <w:spacing w:before="0" w:after="20" w:line="240" w:lineRule="auto"/>
        <w:ind w:left="259" w:hanging="259"/>
        <w:jc w:val="both"/>
      </w:pPr>
      <w:r>
        <w:rPr>
          <w:rFonts w:ascii="Times New Roman" w:hAnsi="Times New Roman"/>
          <w:b/>
          <w:sz w:val="15"/>
        </w:rPr>
        <w:t xml:space="preserve">[3]  </w:t>
      </w:r>
      <w:r>
        <w:rPr>
          <w:rFonts w:ascii="Times New Roman" w:hAnsi="Times New Roman"/>
          <w:sz w:val="15"/>
        </w:rPr>
        <w:t>P. de Chazal, M. O’Dwyer, and R. B. Reilly, “Automatic classification of heartbeats using ECG morphology and heartbeat interval features,” IEEE Trans. Biomed. Eng., vol. 51, no. 7, pp. 1196–1206, 2004.</w:t>
      </w:r>
    </w:p>
    <w:p>
      <w:pPr>
        <w:spacing w:before="0" w:after="20" w:line="240" w:lineRule="auto"/>
        <w:ind w:left="259" w:hanging="259"/>
        <w:jc w:val="both"/>
      </w:pPr>
      <w:r>
        <w:rPr>
          <w:rFonts w:ascii="Times New Roman" w:hAnsi="Times New Roman"/>
          <w:b/>
          <w:sz w:val="15"/>
        </w:rPr>
        <w:t xml:space="preserve">[4]  </w:t>
      </w:r>
      <w:r>
        <w:rPr>
          <w:rFonts w:ascii="Times New Roman" w:hAnsi="Times New Roman"/>
          <w:sz w:val="15"/>
        </w:rPr>
        <w:t>A. Y. Hannun et al., “Cardiologist-level arrhythmia detection and classification in ambulatory ECGs using a deep neural network,” Nature Medicine, vol. 25, pp. 65–69, 2019.</w:t>
      </w:r>
    </w:p>
    <w:p>
      <w:pPr>
        <w:spacing w:before="0" w:after="20" w:line="240" w:lineRule="auto"/>
        <w:ind w:left="259" w:hanging="259"/>
        <w:jc w:val="both"/>
      </w:pPr>
      <w:r>
        <w:rPr>
          <w:rFonts w:ascii="Times New Roman" w:hAnsi="Times New Roman"/>
          <w:b/>
          <w:sz w:val="15"/>
        </w:rPr>
        <w:t xml:space="preserve">[5]  </w:t>
      </w:r>
      <w:r>
        <w:rPr>
          <w:rFonts w:ascii="Times New Roman" w:hAnsi="Times New Roman"/>
          <w:sz w:val="15"/>
        </w:rPr>
        <w:t>P. Rajpurkar et al., “Cardiologist-level arrhythmia detection with convolutional neural networks,” arXiv:1707.01836, 2017.</w:t>
      </w:r>
    </w:p>
    <w:p>
      <w:pPr>
        <w:spacing w:before="0" w:after="20" w:line="240" w:lineRule="auto"/>
        <w:ind w:left="259" w:hanging="259"/>
        <w:jc w:val="both"/>
      </w:pPr>
      <w:r>
        <w:rPr>
          <w:rFonts w:ascii="Times New Roman" w:hAnsi="Times New Roman"/>
          <w:b/>
          <w:sz w:val="15"/>
        </w:rPr>
        <w:t xml:space="preserve">[6]  </w:t>
      </w:r>
      <w:r>
        <w:rPr>
          <w:rFonts w:ascii="Times New Roman" w:hAnsi="Times New Roman"/>
          <w:sz w:val="15"/>
        </w:rPr>
        <w:t>A. H. Ribeiro et al., “Automatic diagnosis of the 12-lead ECG using a deep neural network,” Nature Communications, vol. 11, p. 1760, 2020.</w:t>
      </w:r>
    </w:p>
    <w:p>
      <w:pPr>
        <w:spacing w:before="0" w:after="20" w:line="240" w:lineRule="auto"/>
        <w:ind w:left="259" w:hanging="259"/>
        <w:jc w:val="both"/>
      </w:pPr>
      <w:r>
        <w:rPr>
          <w:rFonts w:ascii="Times New Roman" w:hAnsi="Times New Roman"/>
          <w:b/>
          <w:sz w:val="15"/>
        </w:rPr>
        <w:t xml:space="preserve">[7]  </w:t>
      </w:r>
      <w:r>
        <w:rPr>
          <w:rFonts w:ascii="Times New Roman" w:hAnsi="Times New Roman"/>
          <w:sz w:val="15"/>
        </w:rPr>
        <w:t>E. J. da S. Luz et al., “ECG-based heartbeat classification for arrhythmia detection: A survey,” Comput. Methods Programs Biomed., vol. 127, pp. 144–164, 2016.</w:t>
      </w:r>
    </w:p>
    <w:p>
      <w:pPr>
        <w:spacing w:before="0" w:after="20" w:line="240" w:lineRule="auto"/>
        <w:ind w:left="259" w:hanging="259"/>
        <w:jc w:val="both"/>
      </w:pPr>
      <w:r>
        <w:rPr>
          <w:rFonts w:ascii="Times New Roman" w:hAnsi="Times New Roman"/>
          <w:b/>
          <w:sz w:val="15"/>
        </w:rPr>
        <w:t xml:space="preserve">[8]  </w:t>
      </w:r>
      <w:r>
        <w:rPr>
          <w:rFonts w:ascii="Times New Roman" w:hAnsi="Times New Roman"/>
          <w:sz w:val="15"/>
        </w:rPr>
        <w:t>U. R. Acharya et al., “A deep convolutional neural network model to classify heartbeats,” Comput. Biol. Med., vol. 89, pp. 389–396, 2017.</w:t>
      </w:r>
    </w:p>
    <w:p>
      <w:pPr>
        <w:spacing w:before="0" w:after="20" w:line="240" w:lineRule="auto"/>
        <w:ind w:left="259" w:hanging="259"/>
        <w:jc w:val="both"/>
      </w:pPr>
      <w:r>
        <w:rPr>
          <w:rFonts w:ascii="Times New Roman" w:hAnsi="Times New Roman"/>
          <w:b/>
          <w:sz w:val="15"/>
        </w:rPr>
        <w:t xml:space="preserve">[9]  </w:t>
      </w:r>
      <w:r>
        <w:rPr>
          <w:rFonts w:ascii="Times New Roman" w:hAnsi="Times New Roman"/>
          <w:sz w:val="15"/>
        </w:rPr>
        <w:t>M. A. Serhani et al., “ECG monitoring systems: review, architecture, process, and key challenges,” Sensors, vol. 20, no. 6, p. 1796, 2020.</w:t>
      </w:r>
    </w:p>
    <w:p>
      <w:pPr>
        <w:spacing w:before="0" w:after="20" w:line="240" w:lineRule="auto"/>
        <w:ind w:left="259" w:hanging="259"/>
        <w:jc w:val="both"/>
      </w:pPr>
      <w:r>
        <w:rPr>
          <w:rFonts w:ascii="Times New Roman" w:hAnsi="Times New Roman"/>
          <w:b/>
          <w:sz w:val="15"/>
        </w:rPr>
        <w:t xml:space="preserve">[10]  </w:t>
      </w:r>
      <w:r>
        <w:rPr>
          <w:rFonts w:ascii="Times New Roman" w:hAnsi="Times New Roman"/>
          <w:sz w:val="15"/>
        </w:rPr>
        <w:t>B. Jacob et al., “Quantization and training of neural networks for efficient integer-arithmetic-only inference,” in Proc. CVPR, 2018, pp. 2704–2713.</w:t>
      </w:r>
    </w:p>
    <w:p>
      <w:pPr>
        <w:spacing w:before="0" w:after="20" w:line="240" w:lineRule="auto"/>
        <w:ind w:left="259" w:hanging="259"/>
        <w:jc w:val="both"/>
      </w:pPr>
      <w:r>
        <w:rPr>
          <w:rFonts w:ascii="Times New Roman" w:hAnsi="Times New Roman"/>
          <w:b/>
          <w:sz w:val="15"/>
        </w:rPr>
        <w:t xml:space="preserve">[11]  </w:t>
      </w:r>
      <w:r>
        <w:rPr>
          <w:rFonts w:ascii="Times New Roman" w:hAnsi="Times New Roman"/>
          <w:sz w:val="15"/>
        </w:rPr>
        <w:t>R. Krishnamoorthi, “Quantizing deep convolutional networks for efficient inference,” arXiv:1806.08342, 2018.</w:t>
      </w:r>
    </w:p>
    <w:p>
      <w:pPr>
        <w:spacing w:before="0" w:after="20" w:line="240" w:lineRule="auto"/>
        <w:ind w:left="259" w:hanging="259"/>
        <w:jc w:val="both"/>
      </w:pPr>
      <w:r>
        <w:rPr>
          <w:rFonts w:ascii="Times New Roman" w:hAnsi="Times New Roman"/>
          <w:b/>
          <w:sz w:val="15"/>
        </w:rPr>
        <w:t xml:space="preserve">[12]  </w:t>
      </w:r>
      <w:r>
        <w:rPr>
          <w:rFonts w:ascii="Times New Roman" w:hAnsi="Times New Roman"/>
          <w:sz w:val="15"/>
        </w:rPr>
        <w:t>R. David et al., “TensorFlow Lite Micro: Embedded ML for TinyML systems,” Proc. MLSys, vol. 3, pp. 800–811, 2021.</w:t>
      </w:r>
    </w:p>
    <w:p>
      <w:pPr>
        <w:spacing w:before="0" w:after="20" w:line="240" w:lineRule="auto"/>
        <w:ind w:left="259" w:hanging="259"/>
        <w:jc w:val="both"/>
      </w:pPr>
      <w:r>
        <w:rPr>
          <w:rFonts w:ascii="Times New Roman" w:hAnsi="Times New Roman"/>
          <w:b/>
          <w:sz w:val="15"/>
        </w:rPr>
        <w:t xml:space="preserve">[13]  </w:t>
      </w:r>
      <w:r>
        <w:rPr>
          <w:rFonts w:ascii="Times New Roman" w:hAnsi="Times New Roman"/>
          <w:sz w:val="15"/>
        </w:rPr>
        <w:t>P. Warden and D. Situnayake, TinyML. O’Reilly, 2020.</w:t>
      </w:r>
    </w:p>
    <w:p>
      <w:pPr>
        <w:spacing w:before="0" w:after="20" w:line="240" w:lineRule="auto"/>
        <w:ind w:left="259" w:hanging="259"/>
        <w:jc w:val="both"/>
      </w:pPr>
      <w:r>
        <w:rPr>
          <w:rFonts w:ascii="Times New Roman" w:hAnsi="Times New Roman"/>
          <w:b/>
          <w:sz w:val="15"/>
        </w:rPr>
        <w:t xml:space="preserve">[14]  </w:t>
      </w:r>
      <w:r>
        <w:rPr>
          <w:rFonts w:ascii="Times New Roman" w:hAnsi="Times New Roman"/>
          <w:sz w:val="15"/>
        </w:rPr>
        <w:t>C. Guo et al., “On calibration of modern neural networks,” in Proc. ICML, 2017, pp. 1321–1330.</w:t>
      </w:r>
    </w:p>
    <w:p>
      <w:pPr>
        <w:spacing w:before="0" w:after="20" w:line="240" w:lineRule="auto"/>
        <w:ind w:left="259" w:hanging="259"/>
        <w:jc w:val="both"/>
      </w:pPr>
      <w:r>
        <w:rPr>
          <w:rFonts w:ascii="Times New Roman" w:hAnsi="Times New Roman"/>
          <w:b/>
          <w:sz w:val="15"/>
        </w:rPr>
        <w:t xml:space="preserve">[15]  </w:t>
      </w:r>
      <w:r>
        <w:rPr>
          <w:rFonts w:ascii="Times New Roman" w:hAnsi="Times New Roman"/>
          <w:sz w:val="15"/>
        </w:rPr>
        <w:t>M. P. Naeini et al., “Obtaining well calibrated probabilities using Bayesian binning,” in Proc. AAAI, 2015, pp. 2901–2907.</w:t>
      </w:r>
    </w:p>
    <w:p>
      <w:pPr>
        <w:spacing w:before="0" w:after="20" w:line="240" w:lineRule="auto"/>
        <w:ind w:left="259" w:hanging="259"/>
        <w:jc w:val="both"/>
      </w:pPr>
      <w:r>
        <w:rPr>
          <w:rFonts w:ascii="Times New Roman" w:hAnsi="Times New Roman"/>
          <w:b/>
          <w:sz w:val="15"/>
        </w:rPr>
        <w:t xml:space="preserve">[16]  </w:t>
      </w:r>
      <w:r>
        <w:rPr>
          <w:rFonts w:ascii="Times New Roman" w:hAnsi="Times New Roman"/>
          <w:sz w:val="15"/>
        </w:rPr>
        <w:t>F. Guede-Fernandez et al., “Classification algorithms for ECG signals on microcontrollers,” in Proc. EHB, 2019, pp. 1–4.</w:t>
      </w:r>
    </w:p>
    <w:p>
      <w:pPr>
        <w:spacing w:before="0" w:after="20" w:line="240" w:lineRule="auto"/>
        <w:ind w:left="259" w:hanging="259"/>
        <w:jc w:val="both"/>
      </w:pPr>
      <w:r>
        <w:rPr>
          <w:rFonts w:ascii="Times New Roman" w:hAnsi="Times New Roman"/>
          <w:b/>
          <w:sz w:val="15"/>
        </w:rPr>
        <w:t xml:space="preserve">[17]  </w:t>
      </w:r>
      <w:r>
        <w:rPr>
          <w:rFonts w:ascii="Times New Roman" w:hAnsi="Times New Roman"/>
          <w:sz w:val="15"/>
        </w:rPr>
        <w:t>G. B. Moody and R. G. Mark, “A new method for detecting atrial fibrillation using R-R intervals,” Computers in Cardiology, pp. 227–230, 1983.</w:t>
      </w:r>
    </w:p>
    <w:p>
      <w:pPr>
        <w:spacing w:before="0" w:after="20" w:line="240" w:lineRule="auto"/>
        <w:ind w:left="259" w:hanging="259"/>
        <w:jc w:val="both"/>
      </w:pPr>
      <w:r>
        <w:rPr>
          <w:rFonts w:ascii="Times New Roman" w:hAnsi="Times New Roman"/>
          <w:b/>
          <w:sz w:val="15"/>
        </w:rPr>
        <w:t xml:space="preserve">[18]  </w:t>
      </w:r>
      <w:r>
        <w:rPr>
          <w:rFonts w:ascii="Times New Roman" w:hAnsi="Times New Roman"/>
          <w:sz w:val="15"/>
        </w:rPr>
        <w:t>G. B. Moody and R. G. Mark, “The MIT-BIH Arrhythmia Database on CD-ROM and software,” Computers in Cardiology, pp. 185–188, 1990.</w:t>
      </w:r>
    </w:p>
    <w:p>
      <w:pPr>
        <w:spacing w:before="0" w:after="20" w:line="240" w:lineRule="auto"/>
        <w:ind w:left="259" w:hanging="259"/>
        <w:jc w:val="both"/>
      </w:pPr>
      <w:r>
        <w:rPr>
          <w:rFonts w:ascii="Times New Roman" w:hAnsi="Times New Roman"/>
          <w:b/>
          <w:sz w:val="15"/>
        </w:rPr>
        <w:t xml:space="preserve">[19]  </w:t>
      </w:r>
      <w:r>
        <w:rPr>
          <w:rFonts w:ascii="Times New Roman" w:hAnsi="Times New Roman"/>
          <w:sz w:val="15"/>
        </w:rPr>
        <w:t>A. L. Goldberger et al., “PhysioBank, PhysioToolkit, and PhysioNet,” Circulation, vol. 101, no. 23, pp. e215–e220, 2000.</w:t>
      </w:r>
    </w:p>
    <w:p>
      <w:pPr>
        <w:spacing w:before="0" w:after="20" w:line="240" w:lineRule="auto"/>
        <w:ind w:left="259" w:hanging="259"/>
        <w:jc w:val="both"/>
      </w:pPr>
      <w:r>
        <w:rPr>
          <w:rFonts w:ascii="Times New Roman" w:hAnsi="Times New Roman"/>
          <w:b/>
          <w:sz w:val="15"/>
        </w:rPr>
        <w:t xml:space="preserve">[20]  </w:t>
      </w:r>
      <w:r>
        <w:rPr>
          <w:rFonts w:ascii="Times New Roman" w:hAnsi="Times New Roman"/>
          <w:sz w:val="15"/>
        </w:rPr>
        <w:t>G. D. Clifford et al., Eds., Advanced Methods and Tools for ECG Data Analysis. Artech House, 2006.</w:t>
      </w:r>
    </w:p>
    <w:p>
      <w:pPr>
        <w:spacing w:before="0" w:after="20" w:line="240" w:lineRule="auto"/>
        <w:ind w:left="259" w:hanging="259"/>
        <w:jc w:val="both"/>
      </w:pPr>
      <w:r>
        <w:rPr>
          <w:rFonts w:ascii="Times New Roman" w:hAnsi="Times New Roman"/>
          <w:b/>
          <w:sz w:val="15"/>
        </w:rPr>
        <w:t xml:space="preserve">[21]  </w:t>
      </w:r>
      <w:r>
        <w:rPr>
          <w:rFonts w:ascii="Times New Roman" w:hAnsi="Times New Roman"/>
          <w:sz w:val="15"/>
        </w:rPr>
        <w:t>D. P. Kingma and J. Ba, “Adam: A method for stochastic optimization,” arXiv:1412.6980, 2015.</w:t>
      </w:r>
    </w:p>
    <w:p>
      <w:pPr>
        <w:spacing w:before="0" w:after="20" w:line="240" w:lineRule="auto"/>
        <w:ind w:left="259" w:hanging="259"/>
        <w:jc w:val="both"/>
      </w:pPr>
      <w:r>
        <w:rPr>
          <w:rFonts w:ascii="Times New Roman" w:hAnsi="Times New Roman"/>
          <w:b/>
          <w:sz w:val="15"/>
        </w:rPr>
        <w:t xml:space="preserve">[22]  </w:t>
      </w:r>
      <w:r>
        <w:rPr>
          <w:rFonts w:ascii="Times New Roman" w:hAnsi="Times New Roman"/>
          <w:sz w:val="15"/>
        </w:rPr>
        <w:t>S. Ioffe and C. Szegedy, “Batch normalization,” arXiv:1502.03167, 2015.</w:t>
      </w:r>
    </w:p>
    <w:p>
      <w:pPr>
        <w:spacing w:before="0" w:after="20" w:line="240" w:lineRule="auto"/>
        <w:ind w:left="259" w:hanging="259"/>
        <w:jc w:val="both"/>
      </w:pPr>
      <w:r>
        <w:rPr>
          <w:rFonts w:ascii="Times New Roman" w:hAnsi="Times New Roman"/>
          <w:b/>
          <w:sz w:val="15"/>
        </w:rPr>
        <w:t xml:space="preserve">[23]  </w:t>
      </w:r>
      <w:r>
        <w:rPr>
          <w:rFonts w:ascii="Times New Roman" w:hAnsi="Times New Roman"/>
          <w:sz w:val="15"/>
        </w:rPr>
        <w:t>S. Hochreiter and J. Schmidhuber, “Long short-term memory,” Neural Computation, vol. 9, no. 8, pp. 1735–1780, 1997.</w:t>
      </w:r>
    </w:p>
    <w:p>
      <w:pPr>
        <w:spacing w:before="0" w:after="20" w:line="240" w:lineRule="auto"/>
        <w:ind w:left="259" w:hanging="259"/>
        <w:jc w:val="both"/>
      </w:pPr>
      <w:r>
        <w:rPr>
          <w:rFonts w:ascii="Times New Roman" w:hAnsi="Times New Roman"/>
          <w:b/>
          <w:sz w:val="15"/>
        </w:rPr>
        <w:t xml:space="preserve">[24]  </w:t>
      </w:r>
      <w:r>
        <w:rPr>
          <w:rFonts w:ascii="Times New Roman" w:hAnsi="Times New Roman"/>
          <w:sz w:val="15"/>
        </w:rPr>
        <w:t>S. Bai et al., “An empirical evaluation of generic convolutional and recurrent networks for sequence modeling,” arXiv:1803.01271, 2018.</w:t>
      </w:r>
    </w:p>
    <w:p>
      <w:pPr>
        <w:spacing w:before="0" w:after="20" w:line="240" w:lineRule="auto"/>
        <w:ind w:left="259" w:hanging="259"/>
        <w:jc w:val="both"/>
      </w:pPr>
      <w:r>
        <w:rPr>
          <w:rFonts w:ascii="Times New Roman" w:hAnsi="Times New Roman"/>
          <w:b/>
          <w:sz w:val="15"/>
        </w:rPr>
        <w:t xml:space="preserve">[25]  </w:t>
      </w:r>
      <w:r>
        <w:rPr>
          <w:rFonts w:ascii="Times New Roman" w:hAnsi="Times New Roman"/>
          <w:sz w:val="15"/>
        </w:rPr>
        <w:t>A. L. Goldberger et al., “MIT-BIH Supraventricular Arrhythmia Database (SVDB),” PhysioNet, 2010. [Online]. Available: https://physionet.org/content/svdb/</w:t>
      </w:r>
    </w:p>
    <w:p>
      <w:pPr>
        <w:spacing w:before="0" w:after="20" w:line="240" w:lineRule="auto"/>
        <w:ind w:left="259" w:hanging="259"/>
        <w:jc w:val="both"/>
      </w:pPr>
      <w:r>
        <w:rPr>
          <w:rFonts w:ascii="Times New Roman" w:hAnsi="Times New Roman"/>
          <w:b/>
          <w:sz w:val="15"/>
        </w:rPr>
        <w:t xml:space="preserve">[26]  </w:t>
      </w:r>
      <w:r>
        <w:rPr>
          <w:rFonts w:ascii="Times New Roman" w:hAnsi="Times New Roman"/>
          <w:sz w:val="15"/>
        </w:rPr>
        <w:t>F. Pedregosa et al., “Scikit-learn: Machine learning in Python,” J. Mach. Learn. Res., vol. 12, pp. 2825–2830, 2011.</w:t>
      </w:r>
    </w:p>
    <w:p>
      <w:pPr>
        <w:spacing w:before="0" w:after="20" w:line="240" w:lineRule="auto"/>
        <w:ind w:left="259" w:hanging="259"/>
        <w:jc w:val="both"/>
      </w:pPr>
      <w:r>
        <w:rPr>
          <w:rFonts w:ascii="Times New Roman" w:hAnsi="Times New Roman"/>
          <w:b/>
          <w:sz w:val="15"/>
        </w:rPr>
        <w:t xml:space="preserve">[27]  </w:t>
      </w:r>
      <w:r>
        <w:rPr>
          <w:rFonts w:ascii="Times New Roman" w:hAnsi="Times New Roman"/>
          <w:sz w:val="15"/>
        </w:rPr>
        <w:t>Espressif Systems, ESP32-S3 Technical Reference Manual, 2023.</w:t>
      </w:r>
    </w:p>
    <w:sectPr w:rsidR="00FC693F" w:rsidRPr="0006063C" w:rsidSect="00034616">
      <w:footerReference w:type="default" r:id="rId14"/>
      <w:type w:val="continuous"/>
      <w:pgSz w:w="12240" w:h="15840"/>
      <w:pgMar w:top="1008" w:right="936" w:bottom="1008" w:left="936" w:header="432" w:footer="432" w:gutter="0"/>
      <w:cols w:space="345"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777777"/>
        <w:sz w:val="13"/>
      </w:rPr>
      <w:t>© 2026 IEEE — 6-page conference format • Two-column • Single-column figures/tables • HeartLens TinyML ECG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20" w:after="60" w:line="259" w:lineRule="auto"/>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jc w:val="left"/>
      <w:outlineLvl w:val="0"/>
    </w:pPr>
    <w:rPr>
      <w:rFonts w:asciiTheme="majorHAnsi" w:eastAsiaTheme="majorEastAsia" w:hAnsiTheme="majorHAnsi" w:cstheme="majorBidi" w:ascii="Times New Roman" w:hAnsi="Times New Roman"/>
      <w:b/>
      <w:bCs/>
      <w:smallCaps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Times New Roman" w:hAnsi="Times New Roman"/>
      <w:b/>
      <w:bCs/>
      <w:i/>
      <w:color w:val="000000"/>
      <w:sz w:val="19"/>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Times New Roman" w:hAnsi="Times New Roman"/>
      <w:b w:val="0"/>
      <w:bCs/>
      <w:i/>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0" w:after="80"/>
      <w:jc w:val="center"/>
    </w:pPr>
    <w:rPr>
      <w:rFonts w:ascii="Times New Roman" w:hAnsi="Times New Roman"/>
      <w:b/>
      <w:bCs/>
      <w:i w:val="0"/>
      <w:color w:val="33333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