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b/>
          <w:i w:val="0"/>
          <w:sz w:val="36"/>
        </w:rPr>
        <w:t>Photovoltaic Performance Analysis of RbGeI</w:t>
      </w:r>
      <w:r>
        <w:rPr>
          <w:rFonts w:ascii="Times New Roman" w:hAnsi="Times New Roman"/>
          <w:b/>
          <w:i w:val="0"/>
          <w:sz w:val="36"/>
          <w:vertAlign w:val="subscript"/>
        </w:rPr>
        <w:t>3</w:t>
      </w:r>
      <w:r>
        <w:rPr>
          <w:rFonts w:ascii="Times New Roman" w:hAnsi="Times New Roman"/>
          <w:b/>
          <w:i w:val="0"/>
          <w:sz w:val="36"/>
        </w:rPr>
        <w:t xml:space="preserve"> Absorber Based Perovskite Solar Cell using SCAPS-1D Simulation</w:t>
      </w:r>
    </w:p>
    <w:p>
      <w:pPr>
        <w:spacing w:line="360" w:lineRule="auto" w:before="0" w:after="480"/>
        <w:jc w:val="center"/>
      </w:pPr>
      <w:r>
        <w:rPr>
          <w:rFonts w:ascii="Times New Roman" w:hAnsi="Times New Roman" w:cs="Times New Roman"/>
          <w:b w:val="0"/>
          <w:i/>
          <w:color w:val="555555"/>
          <w:sz w:val="24"/>
        </w:rPr>
        <w:t>Numerical Optimization of a Lead-Free Planar Heterojunction Device</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b w:val="0"/>
          <w:i w:val="0"/>
          <w:sz w:val="22"/>
        </w:rPr>
        <w:t xml:space="preserve">The rapid rise of lead-halide perovskite solar cells has been tempered by the toxicity and environmental persistence of lead, motivating a sustained search for lead-free absorbers that retain favorable optoelectronic properties. Rubidium germanium iodide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 has a direct, tunable bandgap, strong optical absorption, and improved environmental compatibility. In this work, we report a numerical optimization of an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-based perovskite solar cell using the one-dimensional Solar Cell Capacitance Simulator (SCAPS-1D, version 3.3.10). Eight planar heterojunction configurations were first screened by combining two electron transport layers (</w:t>
      </w:r>
      <w:r>
        <w:rPr>
          <w:rFonts w:ascii="Times New Roman" w:hAnsi="Times New Roman"/>
          <w:b w:val="0"/>
          <w:i w:val="0"/>
          <w:sz w:val="22"/>
        </w:rPr>
        <w:t xml:space="preserve">TiO</w:t>
      </w:r>
      <w:r>
        <w:rPr>
          <w:rFonts w:ascii="Times New Roman" w:hAnsi="Times New Roman"/>
          <w:b w:val="0"/>
          <w:i w:val="0"/>
          <w:sz w:val="22"/>
          <w:vertAlign w:val="subscript"/>
        </w:rPr>
        <w:t xml:space="preserve">2</w:t>
      </w:r>
      <w:r>
        <w:rPr>
          <w:rFonts w:ascii="Times New Roman" w:hAnsi="Times New Roman"/>
          <w:b w:val="0"/>
          <w:i w:val="0"/>
          <w:sz w:val="22"/>
        </w:rPr>
        <w:t xml:space="preserve"> and PCBM) with four hole transport layers (NiO, CuI, CBTS, and Spiro-OMeTAD), all sharing the same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 absorber. The FTO/</w:t>
      </w:r>
      <w:r>
        <w:rPr>
          <w:rFonts w:ascii="Times New Roman" w:hAnsi="Times New Roman"/>
          <w:b w:val="0"/>
          <w:i w:val="0"/>
          <w:sz w:val="22"/>
        </w:rPr>
        <w:t xml:space="preserve">TiO</w:t>
      </w:r>
      <w:r>
        <w:rPr>
          <w:rFonts w:ascii="Times New Roman" w:hAnsi="Times New Roman"/>
          <w:b w:val="0"/>
          <w:i w:val="0"/>
          <w:sz w:val="22"/>
          <w:vertAlign w:val="subscript"/>
        </w:rPr>
        <w:t xml:space="preserve">2</w:t>
      </w:r>
      <w:r>
        <w:rPr>
          <w:rFonts w:ascii="Times New Roman" w:hAnsi="Times New Roman"/>
          <w:b w:val="0"/>
          <w:i w:val="0"/>
          <w:sz w:val="22"/>
        </w:rPr>
        <w:t xml:space="preserve">/</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/CuI/Au architecture was selected for further optimization on the grounds of long-term stability and cost.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26.80%, with an open-circuit voltage (</w:t>
      </w:r>
      <w:r>
        <w:rPr>
          <w:rFonts w:ascii="Times New Roman" w:hAnsi="Times New Roman"/>
          <w:b w:val="0"/>
          <w:i w:val="0"/>
          <w:sz w:val="22"/>
        </w:rPr>
        <w:t xml:space="preserve">V</w:t>
      </w:r>
      <w:r>
        <w:rPr>
          <w:rFonts w:ascii="Times New Roman" w:hAnsi="Times New Roman"/>
          <w:b w:val="0"/>
          <w:i w:val="0"/>
          <w:sz w:val="22"/>
          <w:vertAlign w:val="subscript"/>
        </w:rPr>
        <w:t xml:space="preserve">OC</w:t>
      </w:r>
      <w:r>
        <w:rPr>
          <w:rFonts w:ascii="Times New Roman" w:hAnsi="Times New Roman"/>
          <w:b w:val="0"/>
          <w:i w:val="0"/>
          <w:sz w:val="22"/>
        </w:rPr>
        <w:t xml:space="preserve">) of 1.12 V, a short-circuit current density (</w:t>
      </w:r>
      <w:r>
        <w:rPr>
          <w:rFonts w:ascii="Times New Roman" w:hAnsi="Times New Roman"/>
          <w:b w:val="0"/>
          <w:i w:val="0"/>
          <w:sz w:val="22"/>
        </w:rPr>
        <w:t xml:space="preserve">J</w:t>
      </w:r>
      <w:r>
        <w:rPr>
          <w:rFonts w:ascii="Times New Roman" w:hAnsi="Times New Roman"/>
          <w:b w:val="0"/>
          <w:i w:val="0"/>
          <w:sz w:val="22"/>
          <w:vertAlign w:val="subscript"/>
        </w:rPr>
        <w:t xml:space="preserve">SC</w:t>
      </w:r>
      <w:r>
        <w:rPr>
          <w:rFonts w:ascii="Times New Roman" w:hAnsi="Times New Roman"/>
          <w:b w:val="0"/>
          <w:i w:val="0"/>
          <w:sz w:val="22"/>
        </w:rPr>
        <w:t xml:space="preserve">) of 30.32 mA/cm², and a fill factor (FF) of 78.92%. The optimized parameter set comprises a 700 nm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 absorber (Eg = 1.4 eV, χ = 3.9 eV, εr = 15, NC = NV = 1×10¹⁷ cm⁻³), a 10 nm </w:t>
      </w:r>
      <w:r>
        <w:rPr>
          <w:rFonts w:ascii="Times New Roman" w:hAnsi="Times New Roman"/>
          <w:b w:val="0"/>
          <w:i w:val="0"/>
          <w:sz w:val="22"/>
        </w:rPr>
        <w:t xml:space="preserve">TiO</w:t>
      </w:r>
      <w:r>
        <w:rPr>
          <w:rFonts w:ascii="Times New Roman" w:hAnsi="Times New Roman"/>
          <w:b w:val="0"/>
          <w:i w:val="0"/>
          <w:sz w:val="22"/>
          <w:vertAlign w:val="subscript"/>
        </w:rPr>
        <w:t xml:space="preserve">2</w:t>
      </w:r>
      <w:r>
        <w:rPr>
          <w:rFonts w:ascii="Times New Roman" w:hAnsi="Times New Roman"/>
          <w:b w:val="0"/>
          <w:i w:val="0"/>
          <w:sz w:val="22"/>
        </w:rPr>
        <w:t xml:space="preserve"> ETL, a 100 nm CuI HTL, and interfacial defect densities of 1×10¹⁴ cm⁻² at both heterojunctions. The equilibrium energy band diagram confirms favorable band alignment at both heterojunctions, with a 1.8 eV conduction-band offset at CuI/</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 that blocks electron back-transfer and a 0.10 eV conduction-band step at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w:t>
      </w:r>
      <w:r>
        <w:rPr>
          <w:rFonts w:ascii="Times New Roman" w:hAnsi="Times New Roman"/>
          <w:b w:val="0"/>
          <w:i w:val="0"/>
          <w:sz w:val="22"/>
        </w:rPr>
        <w:t xml:space="preserve">TiO</w:t>
      </w:r>
      <w:r>
        <w:rPr>
          <w:rFonts w:ascii="Times New Roman" w:hAnsi="Times New Roman"/>
          <w:b w:val="0"/>
          <w:i w:val="0"/>
          <w:sz w:val="22"/>
          <w:vertAlign w:val="subscript"/>
        </w:rPr>
        <w:t xml:space="preserve">2</w:t>
      </w:r>
      <w:r>
        <w:rPr>
          <w:rFonts w:ascii="Times New Roman" w:hAnsi="Times New Roman"/>
          <w:b w:val="0"/>
          <w:i w:val="0"/>
          <w:sz w:val="22"/>
        </w:rPr>
        <w:t xml:space="preserve"> that supports efficient electron extraction. The results identify the </w:t>
      </w:r>
      <w:r>
        <w:rPr>
          <w:rFonts w:ascii="Times New Roman" w:hAnsi="Times New Roman"/>
          <w:b w:val="0"/>
          <w:i w:val="0"/>
          <w:sz w:val="22"/>
        </w:rPr>
        <w:t xml:space="preserve">TiO</w:t>
      </w:r>
      <w:r>
        <w:rPr>
          <w:rFonts w:ascii="Times New Roman" w:hAnsi="Times New Roman"/>
          <w:b w:val="0"/>
          <w:i w:val="0"/>
          <w:sz w:val="22"/>
          <w:vertAlign w:val="subscript"/>
        </w:rPr>
        <w:t xml:space="preserve">2</w:t>
      </w:r>
      <w:r>
        <w:rPr>
          <w:rFonts w:ascii="Times New Roman" w:hAnsi="Times New Roman"/>
          <w:b w:val="0"/>
          <w:i w:val="0"/>
          <w:sz w:val="22"/>
        </w:rPr>
        <w:t xml:space="preserve">/CuI transport-layer pair as an efficient combination for environmentally benign </w:t>
      </w:r>
      <w:r>
        <w:rPr>
          <w:rFonts w:ascii="Times New Roman" w:hAnsi="Times New Roman"/>
          <w:b w:val="0"/>
          <w:i w:val="0"/>
          <w:sz w:val="22"/>
        </w:rPr>
        <w:t xml:space="preserve">RbGeI</w:t>
      </w:r>
      <w:r>
        <w:rPr>
          <w:rFonts w:ascii="Times New Roman" w:hAnsi="Times New Roman"/>
          <w:b w:val="0"/>
          <w:i w:val="0"/>
          <w:sz w:val="22"/>
          <w:vertAlign w:val="subscript"/>
        </w:rPr>
        <w:t xml:space="preserve">3</w:t>
      </w:r>
      <w:r>
        <w:rPr>
          <w:rFonts w:ascii="Times New Roman" w:hAnsi="Times New Roman"/>
          <w:b w:val="0"/>
          <w:i w:val="0"/>
          <w:sz w:val="22"/>
        </w:rPr>
        <w:t xml:space="preserve"> photovoltaics and provide quantitative design guidelines for future experimental realization.</w:t>
      </w:r>
    </w:p>
    <w:p>
      <w:pPr>
        <w:spacing w:line="360" w:lineRule="auto" w:before="0" w:after="240"/>
        <w:jc w:val="both"/>
      </w:pPr>
      <w:r>
        <w:rPr>
          <w:rFonts w:ascii="Times New Roman" w:hAnsi="Times New Roman"/>
          <w:b w:val="0"/>
          <w:i/>
          <w:sz w:val="22"/>
        </w:rPr>
        <w:t>Keywords: lead-free perovskite; RbGeI</w:t>
      </w:r>
      <w:r>
        <w:rPr>
          <w:rFonts w:ascii="Times New Roman" w:hAnsi="Times New Roman"/>
          <w:b w:val="0"/>
          <w:i/>
          <w:sz w:val="22"/>
          <w:vertAlign w:val="subscript"/>
        </w:rPr>
        <w:t>3</w:t>
      </w:r>
      <w:r>
        <w:rPr>
          <w:rFonts w:ascii="Times New Roman" w:hAnsi="Times New Roman"/>
          <w:b w:val="0"/>
          <w:i/>
          <w:sz w:val="22"/>
        </w:rPr>
        <w:t>; SCAPS-1D; numerical simulation; CuI hole transport layer; TiO</w:t>
      </w:r>
      <w:r>
        <w:rPr>
          <w:rFonts w:ascii="Times New Roman" w:hAnsi="Times New Roman"/>
          <w:b w:val="0"/>
          <w:i/>
          <w:sz w:val="22"/>
          <w:vertAlign w:val="subscript"/>
        </w:rPr>
        <w:t>2</w:t>
      </w:r>
      <w:r>
        <w:rPr>
          <w:rFonts w:ascii="Times New Roman" w:hAnsi="Times New Roman"/>
          <w:b w:val="0"/>
          <w:i/>
          <w:sz w:val="22"/>
        </w:rPr>
        <w:t xml:space="preserve">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120" w:after="4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therefore matters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are modest and some rely on scarce or toxic elements. The third generation, which includes dye-sensitized solar cells, organic photovoltaics, quantum-dot cells, and perovskite solar cells (PSCs) [5,6], promises high efficiency at low processing cost and is therefore intensely studied.</w:t>
      </w:r>
    </w:p>
    <w:p>
      <w:pPr>
        <w:pStyle w:val="Heading2"/>
        <w:keepNext/>
        <w:spacing w:before="120" w:after="4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b w:val="0"/>
          <w:i w:val="0"/>
          <w:sz w:val="24"/>
        </w:rPr>
        <w:t>Halide perovskites adopt an ABX</w:t>
      </w:r>
      <w:r>
        <w:rPr>
          <w:rFonts w:ascii="Times New Roman" w:hAnsi="Times New Roman"/>
          <w:b w:val="0"/>
          <w:i w:val="0"/>
          <w:sz w:val="24"/>
          <w:vertAlign w:val="subscript"/>
        </w:rPr>
        <w:t>3</w:t>
      </w:r>
      <w:r>
        <w:rPr>
          <w:rFonts w:ascii="Times New Roman" w:hAnsi="Times New Roman"/>
          <w:b w:val="0"/>
          <w:i w:val="0"/>
          <w:sz w:val="24"/>
        </w:rPr>
        <w:t xml:space="preserve">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w:t>
      </w:r>
      <w:r>
        <w:rPr>
          <w:rFonts w:ascii="Times New Roman" w:hAnsi="Times New Roman"/>
          <w:b w:val="0"/>
          <w:i w:val="0"/>
          <w:sz w:val="24"/>
          <w:vertAlign w:val="subscript"/>
        </w:rPr>
        <w:t>3</w:t>
      </w:r>
      <w:r>
        <w:rPr>
          <w:rFonts w:ascii="Times New Roman" w:hAnsi="Times New Roman"/>
          <w:b w:val="0"/>
          <w:i w:val="0"/>
          <w:sz w:val="24"/>
        </w:rPr>
        <w:t>) and formamidinium lead iodide (FAPbI</w:t>
      </w:r>
      <w:r>
        <w:rPr>
          <w:rFonts w:ascii="Times New Roman" w:hAnsi="Times New Roman"/>
          <w:b w:val="0"/>
          <w:i w:val="0"/>
          <w:sz w:val="24"/>
          <w:vertAlign w:val="subscript"/>
        </w:rPr>
        <w:t>3</w:t>
      </w:r>
      <w:r>
        <w:rPr>
          <w:rFonts w:ascii="Times New Roman" w:hAnsi="Times New Roman"/>
          <w:b w:val="0"/>
          <w:i w:val="0"/>
          <w:sz w:val="24"/>
        </w:rPr>
        <w:t>), both of which contain lead. Lead raises contamination concerns at every stage of the device life cycle, from fabrication through operation to disposal [9,10], and the search for benign substitutes based on tin (Sn), germanium (Ge), bismuth (Bi), and antimony (Sb) is now a central research direction [11,12].</w:t>
      </w:r>
    </w:p>
    <w:p>
      <w:pPr>
        <w:spacing w:line="360" w:lineRule="auto" w:before="120" w:after="120"/>
        <w:ind w:firstLine="283"/>
        <w:jc w:val="both"/>
      </w:pPr>
      <w:r>
        <w:rPr>
          <w:rFonts w:ascii="Times New Roman" w:hAnsi="Times New Roman"/>
          <w:b w:val="0"/>
          <w:i w:val="0"/>
          <w:sz w:val="24"/>
        </w:rPr>
        <w:t xml:space="preserve">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germanium offers the same lone-pair electronic structure as lead, supports a direct and tunable bandgap, and is less toxic [13]. Among Ge-based absorbers, rubidium germanium iodide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stands out for its suitable bandgap (≈1.3–1.4 eV depending on the structural phase and computational method), strong optical absorption coefficient, and good thermal stability [14,15,16]. Recent density-functional-theory (DFT) calculations confirm a direct bandgap and a high optical absorption coefficient comparable to that of </w:t>
      </w:r>
      <w:r>
        <w:rPr>
          <w:rFonts w:ascii="Times New Roman" w:hAnsi="Times New Roman"/>
          <w:b w:val="0"/>
          <w:i w:val="0"/>
          <w:sz w:val="24"/>
        </w:rPr>
        <w:t xml:space="preserve">MAPbI</w:t>
      </w:r>
      <w:r>
        <w:rPr>
          <w:rFonts w:ascii="Times New Roman" w:hAnsi="Times New Roman"/>
          <w:b w:val="0"/>
          <w:i w:val="0"/>
          <w:sz w:val="24"/>
          <w:vertAlign w:val="subscript"/>
        </w:rPr>
        <w:t xml:space="preserve">3</w:t>
      </w:r>
      <w:r>
        <w:rPr>
          <w:rFonts w:ascii="Times New Roman" w:hAnsi="Times New Roman"/>
          <w:b w:val="0"/>
          <w:i w:val="0"/>
          <w:sz w:val="24"/>
        </w:rPr>
        <w:t xml:space="preserve"> [13,17,18]. The material is well suited to single-junction photovoltaics.</w:t>
      </w:r>
    </w:p>
    <w:p>
      <w:pPr>
        <w:pStyle w:val="Heading2"/>
        <w:keepNext/>
        <w:spacing w:before="120" w:after="4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the standard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makes it possible to disentangle their individual contributions to device performance. Figure 1 shows the graphical user interface of SCAPS-1D version 3.3.10 used in this study.</w:t>
      </w:r>
    </w:p>
    <w:p>
      <w:pPr>
        <w:keepNext/>
        <w:keepLines/>
        <w:spacing w:before="120" w:after="40"/>
        <w:jc w:val="center"/>
      </w:pPr>
      <w:r>
        <w:drawing>
          <wp:inline xmlns:a="http://schemas.openxmlformats.org/drawingml/2006/main" xmlns:pic="http://schemas.openxmlformats.org/drawingml/2006/picture">
            <wp:extent cx="5040000" cy="2255775"/>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b w:val="0"/>
          <w:i w:val="0"/>
          <w:sz w:val="24"/>
        </w:rPr>
        <w:t xml:space="preserve">Although several SCAPS-1D studies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devices have been reported, most have optimized only a limited subset of device parameters or investigated a single device configuration. The simulation baseline for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devices is still low: Pindolia et al. reported a PCE of 9.77% for the FTO/</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since raised the predicted PCE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devices to 27.21% (2024 [22]) and 26.47% (2026 [23]), although each of these works optimized only a limited subset of device parameters. The ETL–HTL combinations explored for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have also been narrow: most studies used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as the ETL and either Spiro-OMeTAD, NiO, or CBTS as the HTL, while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/CuI combination adopted in this work has received comparatively little attention despite the well-documented advantages of CuI as an HTL.</w:t>
      </w:r>
    </w:p>
    <w:p>
      <w:pPr>
        <w:pStyle w:val="Heading2"/>
        <w:keepNext/>
        <w:spacing w:before="120" w:after="4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b w:val="0"/>
          <w:i w:val="0"/>
          <w:sz w:val="24"/>
        </w:rPr>
        <w:t>The present work addresses this gap by performing a SCAPS-1D optimization of an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perovskite solar cell. We first screen eight ETL–HTL combinations to identify the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architecture as a promising candidate for inorganic-HTL optimization, and then run an eleven-step sequential optimization covering absorber thickness, absorber defect density, dielectric constant, electron affinity, bandgap, conduction- and valence-band effective density of states, ETL and HTL thicknesses, and the two interfacial defect densities. We also analyze the quantum-efficiency spectrum and the equilibrium energy-band diagram of the optimized device, and we benchmark it against recently reported RbGeI</w:t>
      </w:r>
      <w:r>
        <w:rPr>
          <w:rFonts w:ascii="Times New Roman" w:hAnsi="Times New Roman"/>
          <w:b w:val="0"/>
          <w:i w:val="0"/>
          <w:sz w:val="24"/>
          <w:vertAlign w:val="subscript"/>
        </w:rPr>
        <w:t>3</w:t>
      </w:r>
      <w:r>
        <w:rPr>
          <w:rFonts w:ascii="Times New Roman" w:hAnsi="Times New Roman"/>
          <w:b w:val="0"/>
          <w:i w:val="0"/>
          <w:sz w:val="24"/>
        </w:rPr>
        <w:t>-based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and discusses the results, Section VI compares with prior literature, and Sections VII and VIII cover limitations and conclusions.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cross-checked against the primary source literature; where a reported efficiency was inconsistent with the device’s published J–V metrics, the value implied by those metrics was adopted. In particular, the entries for Pindolia et al. (2022), Loumachi et al. (2024), and Pathak et al. (2026) are quoted verbatim from the corresponding primary sources.</w:t>
      </w:r>
    </w:p>
    <w:p>
      <w:pPr>
        <w:keepNext/>
        <w:spacing w:before="120" w:after="40"/>
        <w:jc w:val="center"/>
      </w:pPr>
      <w:r>
        <w:rPr>
          <w:rFonts w:ascii="Times New Roman" w:hAnsi="Times New Roman" w:cs="Times New Roman"/>
          <w:b/>
          <w:i w:val="0"/>
          <w:sz w:val="20"/>
        </w:rPr>
        <w:t>Table I. Summary of recent SCAPS-1D studies on lead-free Ge-based and Sn-based perovskite solar cells.</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2340"/>
        <w:gridCol w:w="2340"/>
        <w:gridCol w:w="2340"/>
        <w:gridCol w:w="2340"/>
      </w:tblGrid>
      <w:tr>
        <w:trPr>
          <w:tblHeader w:val="true"/>
          <w:cantSplit w:val="true"/>
        </w:trPr>
        <w:tc>
          <w:tcPr>
            <w:tcW w:type="dxa" w:w="204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Study (Year) [Ref.]</w:t>
            </w:r>
          </w:p>
        </w:tc>
        <w:tc>
          <w:tcPr>
            <w:tcW w:type="dxa" w:w="24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 Structure</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c>
          <w:tcPr>
            <w:tcW w:type="dxa" w:w="3969"/>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Key Limitation</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Pindolia et al. (2022) [14]</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/NiO/Ag</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9.77</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Saikia et al. (2022) [24]</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10.80</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No multi-HTL comparative analysis.</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Bouazizi et al. (2022) [15]</w:t>
            </w:r>
          </w:p>
        </w:tc>
        <w:tc>
          <w:tcPr>
            <w:tcW w:type="dxa" w:w="2494"/>
          </w:tcPr>
          <w:p>
            <w:pPr>
              <w:jc w:val="left"/>
            </w:pPr>
            <w:r>
              <w:rPr>
                <w:rFonts w:ascii="Times New Roman" w:hAnsi="Times New Roman" w:cs="Times New Roman"/>
                <w:sz w:val="18"/>
                <w:b w:val="0"/>
                <w:i w:val="0"/>
              </w:rPr>
              <w:t>FTO/PCBM/CsSn</w:t>
            </w:r>
            <w:r>
              <w:rPr>
                <w:rFonts w:ascii="Times New Roman" w:hAnsi="Times New Roman" w:cs="Times New Roman"/>
                <w:vertAlign w:val="subscript"/>
                <w:sz w:val="18"/>
                <w:b w:val="0"/>
                <w:i w:val="0"/>
              </w:rPr>
              <w:t>0</w:t>
            </w:r>
            <w:r>
              <w:rPr>
                <w:rFonts w:ascii="Times New Roman" w:hAnsi="Times New Roman" w:cs="Times New Roman"/>
                <w:sz w:val="18"/>
                <w:b w:val="0"/>
                <w:i w:val="0"/>
              </w:rPr>
              <w:t>.</w:t>
            </w:r>
            <w:r>
              <w:rPr>
                <w:rFonts w:ascii="Times New Roman" w:hAnsi="Times New Roman" w:cs="Times New Roman"/>
                <w:vertAlign w:val="subscript"/>
                <w:sz w:val="18"/>
                <w:b w:val="0"/>
                <w:i w:val="0"/>
              </w:rPr>
              <w:t>5</w:t>
            </w:r>
            <w:r>
              <w:rPr>
                <w:rFonts w:ascii="Times New Roman" w:hAnsi="Times New Roman" w:cs="Times New Roman"/>
                <w:sz w:val="18"/>
                <w:b w:val="0"/>
                <w:i w:val="0"/>
              </w:rPr>
              <w:t>Ge</w:t>
            </w:r>
            <w:r>
              <w:rPr>
                <w:rFonts w:ascii="Times New Roman" w:hAnsi="Times New Roman" w:cs="Times New Roman"/>
                <w:vertAlign w:val="subscript"/>
                <w:sz w:val="18"/>
                <w:b w:val="0"/>
                <w:i w:val="0"/>
              </w:rPr>
              <w:t>0</w:t>
            </w:r>
            <w:r>
              <w:rPr>
                <w:rFonts w:ascii="Times New Roman" w:hAnsi="Times New Roman" w:cs="Times New Roman"/>
                <w:sz w:val="18"/>
                <w:b w:val="0"/>
                <w:i w:val="0"/>
              </w:rPr>
              <w:t>.</w:t>
            </w:r>
            <w:r>
              <w:rPr>
                <w:rFonts w:ascii="Times New Roman" w:hAnsi="Times New Roman" w:cs="Times New Roman"/>
                <w:vertAlign w:val="subscript"/>
                <w:sz w:val="18"/>
                <w:b w:val="0"/>
                <w:i w:val="0"/>
              </w:rPr>
              <w:t>5</w:t>
            </w:r>
            <w:r>
              <w:rPr>
                <w:rFonts w:ascii="Times New Roman" w:hAnsi="Times New Roman" w:cs="Times New Roman"/>
                <w:sz w:val="18"/>
                <w:b w:val="0"/>
                <w:i w:val="0"/>
              </w:rPr>
              <w:t>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18.13</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Loumachi et al. (2024) [22]</w:t>
            </w:r>
          </w:p>
        </w:tc>
        <w:tc>
          <w:tcPr>
            <w:tcW w:type="dxa" w:w="2494"/>
          </w:tcPr>
          <w:p>
            <w:pPr>
              <w:jc w:val="center"/>
            </w:pPr>
            <w:r>
              <w:rPr>
                <w:rFonts w:ascii="Times New Roman" w:hAnsi="Times New Roman" w:cs="Times New Roman"/>
                <w:sz w:val="18"/>
                <w:b w:val="0"/>
                <w:i w:val="0"/>
              </w:rPr>
              <w:t>ITO/C</w:t>
            </w:r>
            <w:r>
              <w:rPr>
                <w:rFonts w:ascii="Times New Roman" w:hAnsi="Times New Roman" w:cs="Times New Roman"/>
                <w:vertAlign w:val="subscript"/>
                <w:sz w:val="18"/>
                <w:b w:val="0"/>
                <w:i w:val="0"/>
              </w:rPr>
              <w:t>60</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/CBTS/Ag</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27.21</w:t>
            </w:r>
          </w:p>
        </w:tc>
        <w:tc>
          <w:tcPr>
            <w:tcW w:type="dxa" w:w="3969"/>
          </w:tcPr>
          <w:p>
            <w:pPr>
              <w:jc w:val="left"/>
            </w:pPr>
            <w:r>
              <w:rPr>
                <w:rFonts w:ascii="Times New Roman" w:hAnsi="Times New Roman" w:cs="Times New Roman"/>
                <w:sz w:val="18"/>
                <w:b w:val="0"/>
                <w:i w:val="0"/>
              </w:rPr>
              <w:t>Optimized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thickness and series/shunt resistance; interface defect optimization not addressed.</w:t>
            </w:r>
          </w:p>
        </w:tc>
      </w:tr>
      <w:tr>
        <w:trPr>
          <w:cantSplit w:val="true"/>
        </w:trPr>
        <w:tc>
          <w:tcPr>
            <w:tcW w:type="dxa" w:w="2041"/>
          </w:tcPr>
          <w:p>
            <w:pPr>
              <w:jc w:val="left"/>
            </w:pPr>
            <w:r>
              <w:rPr>
                <w:rFonts w:ascii="Times New Roman" w:hAnsi="Times New Roman" w:cs="Times New Roman"/>
                <w:b w:val="0"/>
                <w:i w:val="0"/>
                <w:sz w:val="18"/>
              </w:rPr>
              <w:t xml:space="preserve">Raj et al. (2025) [39]</w:t>
            </w:r>
          </w:p>
        </w:tc>
        <w:tc>
          <w:tcPr>
            <w:tcW w:type="dxa" w:w="2494"/>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/PEDOT:PSS/Au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18.60</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Organic HTL limits long-term stability.</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Pathak et al. (2026) [23]</w:t>
            </w:r>
          </w:p>
        </w:tc>
        <w:tc>
          <w:tcPr>
            <w:tcW w:type="dxa" w:w="2494"/>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/Spiro-OMeTAD/Au</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26.47</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Pr>
                <w:rFonts w:ascii="Times New Roman" w:hAnsi="Times New Roman" w:cs="Times New Roman"/>
                <w:b w:val="0"/>
                <w:i w:val="0"/>
                <w:sz w:val="18"/>
              </w:rPr>
            </w:r>
            <w:r>
              <w:rPr>
                <w:rFonts w:ascii="Times New Roman" w:hAnsi="Times New Roman" w:cs="Times New Roman"/>
                <w:b w:val="0"/>
                <w:i w:val="0"/>
                <w:sz w:val="18"/>
              </w:rPr>
              <w:t>Dash et al. (2025) [17]</w:t>
            </w:r>
          </w:p>
        </w:tc>
        <w:tc>
          <w:tcPr>
            <w:tcW w:type="dxa" w:w="2494"/>
          </w:tcPr>
          <w:p>
            <w:pPr>
              <w:jc w:val="left"/>
            </w:pPr>
            <w:r>
              <w:rPr>
                <w:rFonts w:ascii="Times New Roman" w:hAnsi="Times New Roman" w:cs="Times New Roman"/>
                <w:sz w:val="18"/>
                <w:b w:val="0"/>
                <w:i w:val="0"/>
              </w:rPr>
              <w:t>DFT + SCAPS-1D of RbGeX</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(X=Cl, Br, I)</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25.76</w:t>
            </w:r>
          </w:p>
        </w:tc>
        <w:tc>
          <w:tcPr>
            <w:tcW w:type="dxa" w:w="3969"/>
          </w:tcPr>
          <w:p>
            <w:pPr>
              <w:jc w:val="left"/>
            </w:pPr>
            <w:r>
              <w:rPr>
                <w:rFonts w:ascii="Times New Roman" w:hAnsi="Times New Roman" w:cs="Times New Roman"/>
                <w:b w:val="0"/>
                <w:i w:val="0"/>
                <w:sz w:val="18"/>
              </w:r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b w:val="0"/>
          <w:i w:val="0"/>
          <w:sz w:val="24"/>
        </w:rPr>
        <w:t xml:space="preserve">Copper(I) iodide is a wide-gap (Eg ≈ 3.1 eV), p-type transparent conductor whose valence-band maximum aligns closely with that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supporting efficient hole extraction [25,26]. Reported single-crystal hole mobilities of CuI exceed 100 cm² V⁻¹ s⁻¹, and the material is solution-processable at low temperatures, which suits large-area fabrication [27]. Despite these advantages, only a few SCAPS-1D studies have paired CuI with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and none has run an eleven-parameter optimization on this combination. The present work instead varies all eleven device-level parameters on the FTO/</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/CuI/Au architecture and reports the resulting photovoltaic performance.</w:t>
      </w:r>
    </w:p>
    <w:p>
      <w:pPr>
        <w:spacing w:line="360" w:lineRule="auto" w:before="120" w:after="120"/>
        <w:ind w:firstLine="283"/>
        <w:jc w:val="both"/>
      </w:pPr>
      <w:r>
        <w:rPr>
          <w:rFonts w:ascii="Times New Roman" w:hAnsi="Times New Roman"/>
          <w:b w:val="0"/>
          <w:i w:val="0"/>
          <w:sz w:val="24"/>
        </w:rPr>
        <w:t xml:space="preserve">A further observation from Table I is that the comparator device structures span a range of ETL and HTL materials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PCBM, C60, NiO, CuI, CBTS, Spiro-OMeTAD, PEDOT:PSS) and back-contact metals (Ag, Au). Two structural details deserve explicit clarification to prevent citation-propagation errors. First, the ETL in the Loumachi et al. device [22] is C60 (buckminsterfullerene), frequently rendered “C60” in the literature, and the subscript matters because “C6” is a different species. Second, the back contact is silver (Ag), not gold (Au), as stated in the primary source [22].</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120" w:after="4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b w:val="0"/>
          <w:i w:val="0"/>
          <w:sz w:val="24"/>
        </w:rPr>
        <w:t>The proposed lead-free perovskite solar cell investigated in this work adopts a conventional n-i-p planar heterojunction architecture with the configuration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The device comprises five functional layers: a fluorine-doped tin oxide (FTO) transparent conducting oxide front electrode, a titanium dioxide (TiO</w:t>
      </w:r>
      <w:r>
        <w:rPr>
          <w:rFonts w:ascii="Times New Roman" w:hAnsi="Times New Roman"/>
          <w:b w:val="0"/>
          <w:i w:val="0"/>
          <w:sz w:val="24"/>
          <w:vertAlign w:val="subscript"/>
        </w:rPr>
        <w:t>2</w:t>
      </w:r>
      <w:r>
        <w:rPr>
          <w:rFonts w:ascii="Times New Roman" w:hAnsi="Times New Roman"/>
          <w:b w:val="0"/>
          <w:i w:val="0"/>
          <w:sz w:val="24"/>
        </w:rPr>
        <w:t>) electron transport layer (ETL), a rubidium germanium iodide (RbGeI</w:t>
      </w:r>
      <w:r>
        <w:rPr>
          <w:rFonts w:ascii="Times New Roman" w:hAnsi="Times New Roman"/>
          <w:b w:val="0"/>
          <w:i w:val="0"/>
          <w:sz w:val="24"/>
          <w:vertAlign w:val="subscript"/>
        </w:rPr>
        <w:t>3</w:t>
      </w:r>
      <w:r>
        <w:rPr>
          <w:rFonts w:ascii="Times New Roman" w:hAnsi="Times New Roman"/>
          <w:b w:val="0"/>
          <w:i w:val="0"/>
          <w:sz w:val="24"/>
        </w:rPr>
        <w:t>)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keepLines/>
        <w:spacing w:before="120" w:after="40"/>
        <w:jc w:val="center"/>
      </w:pPr>
      <w:r>
        <w:drawing>
          <wp:inline xmlns:a="http://schemas.openxmlformats.org/drawingml/2006/main" xmlns:pic="http://schemas.openxmlformats.org/drawingml/2006/picture">
            <wp:extent cx="5040000" cy="2847957"/>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b w:val="0"/>
          <w:i/>
          <w:sz w:val="20"/>
        </w:rPr>
        <w:t>Fig. 2. Schematic diagram of the proposed FTO/TiO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/CuI/Au perovskite solar cell structure, showing the five functional layers and the direction of photogenerated carrier transport under AM 1.5G illumination.</w:t>
      </w:r>
    </w:p>
    <w:p>
      <w:pPr>
        <w:pStyle w:val="Heading2"/>
        <w:keepNext/>
        <w:spacing w:before="120" w:after="4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b w:val="0"/>
          <w:i w:val="0"/>
          <w:sz w:val="24"/>
        </w:rPr>
        <w:t xml:space="preserve">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[28]. FTO was preferred over alternative transparent conducting oxides (such as indium tin oxide, ITO) for its superior thermal and chemical stability, its compatibility with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ETL deposition process, and its lower cost. The thickness of the FTO layer was fixed at 500 nm, consistent with values commonly reported for perovskite solar cells [29].</w:t>
      </w:r>
    </w:p>
    <w:p>
      <w:pPr>
        <w:spacing w:line="360" w:lineRule="auto" w:before="120" w:after="120"/>
        <w:ind w:firstLine="283"/>
        <w:jc w:val="both"/>
      </w:pPr>
      <w:r>
        <w:rPr>
          <w:rFonts w:ascii="Times New Roman" w:hAnsi="Times New Roman"/>
          <w:b w:val="0"/>
          <w:i w:val="0"/>
          <w:sz w:val="24"/>
        </w:rPr>
        <w:t xml:space="preserve">Titanium dioxide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was employed as the electron transport layer. The primary function of the ETL is to extract photogenerated electrons from the absorber layer and transport them toward the FTO electrode while effectively blocking holes.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downhill path for photogenerated electrons to transfer from the absorber into the ETL, while its deep valence band acts as an effective barrier against hole transport [30,31]. Although its intrinsic electron mobility is lower than that of ZnO and </w:t>
      </w:r>
      <w:r>
        <w:rPr>
          <w:rFonts w:ascii="Times New Roman" w:hAnsi="Times New Roman"/>
          <w:b w:val="0"/>
          <w:i w:val="0"/>
          <w:sz w:val="24"/>
        </w:rPr>
        <w:t xml:space="preserve">SnO</w:t>
      </w:r>
      <w:r>
        <w:rPr>
          <w:rFonts w:ascii="Times New Roman" w:hAnsi="Times New Roman"/>
          <w:b w:val="0"/>
          <w:i w:val="0"/>
          <w:sz w:val="24"/>
          <w:vertAlign w:val="subscript"/>
        </w:rPr>
        <w:t xml:space="preserve">2</w:t>
      </w:r>
      <w:r>
        <w:rPr>
          <w:rFonts w:ascii="Times New Roman" w:hAnsi="Times New Roman"/>
          <w:b w:val="0"/>
          <w:i w:val="0"/>
          <w:sz w:val="24"/>
        </w:rPr>
        <w:t xml:space="preserv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provides sufficiently fast electron transport when fabricated with appropriate morphology and crystallinity, and it forms chemically stable interfaces with perovskite materials [32].</w:t>
      </w:r>
    </w:p>
    <w:p>
      <w:pPr>
        <w:spacing w:line="360" w:lineRule="auto" w:before="120" w:after="120"/>
        <w:ind w:firstLine="283"/>
        <w:jc w:val="both"/>
      </w:pPr>
      <w:r>
        <w:rPr>
          <w:rFonts w:ascii="Times New Roman" w:hAnsi="Times New Roman"/>
          <w:b w:val="0"/>
          <w:i w:val="0"/>
          <w:sz w:val="24"/>
        </w:rPr>
        <w:t>Rubidium germanium iodide (RbGeI</w:t>
      </w:r>
      <w:r>
        <w:rPr>
          <w:rFonts w:ascii="Times New Roman" w:hAnsi="Times New Roman"/>
          <w:b w:val="0"/>
          <w:i w:val="0"/>
          <w:sz w:val="24"/>
          <w:vertAlign w:val="subscript"/>
        </w:rPr>
        <w:t>3</w:t>
      </w:r>
      <w:r>
        <w:rPr>
          <w:rFonts w:ascii="Times New Roman" w:hAnsi="Times New Roman"/>
          <w:b w:val="0"/>
          <w:i w:val="0"/>
          <w:sz w:val="24"/>
        </w:rPr>
        <w:t>) was selected as the photoactive absorber. Compared with conventional lead-based perovskites, RbGeI</w:t>
      </w:r>
      <w:r>
        <w:rPr>
          <w:rFonts w:ascii="Times New Roman" w:hAnsi="Times New Roman"/>
          <w:b w:val="0"/>
          <w:i w:val="0"/>
          <w:sz w:val="24"/>
          <w:vertAlign w:val="subscript"/>
        </w:rPr>
        <w:t>3</w:t>
      </w:r>
      <w:r>
        <w:rPr>
          <w:rFonts w:ascii="Times New Roman" w:hAnsi="Times New Roman"/>
          <w:b w:val="0"/>
          <w:i w:val="0"/>
          <w:sz w:val="24"/>
        </w:rPr>
        <w:t xml:space="preserve"> offers the important advantage of being environmentally friendly because germanium replaces toxic lead while maintaining desirable optoelectronic properties. RbGeI</w:t>
      </w:r>
      <w:r>
        <w:rPr>
          <w:rFonts w:ascii="Times New Roman" w:hAnsi="Times New Roman"/>
          <w:b w:val="0"/>
          <w:i w:val="0"/>
          <w:sz w:val="24"/>
          <w:vertAlign w:val="subscript"/>
        </w:rPr>
        <w:t>3</w:t>
      </w:r>
      <w:r>
        <w:rPr>
          <w:rFonts w:ascii="Times New Roman" w:hAnsi="Times New Roman"/>
          <w:b w:val="0"/>
          <w:i w:val="0"/>
          <w:sz w:val="24"/>
        </w:rPr>
        <w:t xml:space="preserve"> adopts the ABX</w:t>
      </w:r>
      <w:r>
        <w:rPr>
          <w:rFonts w:ascii="Times New Roman" w:hAnsi="Times New Roman"/>
          <w:b w:val="0"/>
          <w:i w:val="0"/>
          <w:sz w:val="24"/>
          <w:vertAlign w:val="subscript"/>
        </w:rPr>
        <w:t>3</w:t>
      </w:r>
      <w:r>
        <w:rPr>
          <w:rFonts w:ascii="Times New Roman" w:hAnsi="Times New Roman"/>
          <w:b w:val="0"/>
          <w:i w:val="0"/>
          <w:sz w:val="24"/>
        </w:rPr>
        <w:t xml:space="preserve"> perovskite structure with rubidium at the A-site, germanium at the B-site, and iodine at the X-site. Its direct bandgap in the 1.3–1.4 eV range, strong optical absorption coefficient (reported to be comparable to that of MAPbI</w:t>
      </w:r>
      <w:r>
        <w:rPr>
          <w:rFonts w:ascii="Times New Roman" w:hAnsi="Times New Roman"/>
          <w:b w:val="0"/>
          <w:i w:val="0"/>
          <w:sz w:val="24"/>
          <w:vertAlign w:val="subscript"/>
        </w:rPr>
        <w:t>3</w:t>
      </w:r>
      <w:r>
        <w:rPr>
          <w:rFonts w:ascii="Times New Roman" w:hAnsi="Times New Roman"/>
          <w:b w:val="0"/>
          <w:i w:val="0"/>
          <w:sz w:val="24"/>
        </w:rPr>
        <w:t xml:space="preserve">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b w:val="0"/>
          <w:i w:val="0"/>
          <w:sz w:val="24"/>
        </w:rPr>
        <w:t xml:space="preserve">Copper iodide (CuI) was selected as the hole transport layer owing to its excellent hole conductivity, high optical transparency, appropriate valence-band alignment with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and comparatively low fabrication cost [25,26,33]. The HTL facilitates efficient extraction of photogenerated holes from the absorber layer while preventing electron back-transfer toward the rear electrode. CuI is a wide-gap (Eg ≈ 3.1 eV) p-type transparent conductor whose valence-band maximum aligns closely with that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(giving a small valence-band offset of approximately 0.10 eV as quantified in Section V.N), supporting efficient hole extraction. Reported single-crystal hole mobilities of CuI exceed 100 cm² V⁻¹ s⁻¹, and its solution-processability at low temperatures makes it attractive for large-area fabrication [27]. The initial CuI thickness was set to 100 nm.</w:t>
      </w:r>
    </w:p>
    <w:p>
      <w:pPr>
        <w:spacing w:line="360" w:lineRule="auto" w:before="120" w:after="120"/>
        <w:ind w:firstLine="283"/>
        <w:jc w:val="both"/>
      </w:pPr>
      <w:r>
        <w:rPr>
          <w:rFonts w:ascii="Times New Roman" w:hAnsi="Times New Roman" w:cs="Times New Roman"/>
          <w:b w:val="0"/>
          <w:i w:val="0"/>
          <w:sz w:val="24"/>
        </w:rPr>
        <w:t xml:space="preserve">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[34].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120" w:after="4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b w:val="0"/>
          <w:i w:val="0"/>
          <w:sz w:val="24"/>
        </w:rPr>
        <w:t xml:space="preserve">The initial electrical and optical parameters used in the SCAPS-1D simulation of the proposed FTO/</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/CuI/Au solar cell are summarized in Table II. These values were collected from previously published experimental and numerical studies on lead-free perovskite solar cells [14,15,16,19,30]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V.P).</w:t>
      </w:r>
    </w:p>
    <w:p>
      <w:pPr>
        <w:keepNext/>
        <w:spacing w:before="120" w:after="40"/>
        <w:jc w:val="center"/>
      </w:pPr>
      <w:r>
        <w:rPr>
          <w:rFonts w:ascii="Times New Roman" w:hAnsi="Times New Roman"/>
          <w:b/>
          <w:i w:val="0"/>
          <w:sz w:val="20"/>
        </w:rPr>
        <w:t>Table II. Initial electrical and optical parameters used in the SCAPS-1D simulation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solar cell.</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872"/>
        <w:gridCol w:w="1872"/>
        <w:gridCol w:w="1872"/>
        <w:gridCol w:w="1872"/>
        <w:gridCol w:w="1872"/>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1361"/>
            <w:tcBorders>
              <w:bottom w:val="single" w:sz="4" w:space="0" w:color="000000"/>
            </w:tcBorders>
          </w:tcPr>
          <w:p>
            <w:pPr>
              <w:jc w:val="center"/>
            </w:pPr>
            <w:r>
              <w:rPr>
                <w:rFonts w:ascii="Times New Roman" w:hAnsi="Times New Roman" w:cs="Times New Roman"/>
                <w:sz w:val="20"/>
                <w:b w:val="0"/>
                <w:i w:val="0"/>
              </w:rPr>
              <w:t>TiO</w:t>
            </w:r>
            <w:r>
              <w:rPr>
                <w:rFonts w:ascii="Times New Roman" w:hAnsi="Times New Roman" w:cs="Times New Roman"/>
                <w:vertAlign w:val="subscript"/>
                <w:sz w:val="20"/>
                <w:b w:val="0"/>
                <w:i w:val="0"/>
              </w:rPr>
              <w:t>2</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FTO</w:t>
            </w:r>
          </w:p>
        </w:tc>
        <w:tc>
          <w:tcPr>
            <w:tcW w:type="dxa" w:w="1361"/>
            <w:tcBorders>
              <w:bottom w:val="single" w:sz="4" w:space="0" w:color="000000"/>
            </w:tcBorders>
          </w:tcPr>
          <w:p>
            <w:pPr>
              <w:jc w:val="center"/>
            </w:pPr>
            <w:r>
              <w:rPr>
                <w:rFonts w:ascii="Times New Roman" w:hAnsi="Times New Roman" w:cs="Times New Roman"/>
                <w:sz w:val="20"/>
                <w:b w:val="0"/>
                <w:i w:val="0"/>
              </w:rPr>
              <w:t>RbGeI</w:t>
            </w:r>
            <w:r>
              <w:rPr>
                <w:rFonts w:ascii="Times New Roman" w:hAnsi="Times New Roman" w:cs="Times New Roman"/>
                <w:vertAlign w:val="subscript"/>
                <w:sz w:val="20"/>
                <w:b w:val="0"/>
                <w:i w:val="0"/>
              </w:rPr>
              <w:t>3</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CuI</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Thickness (nm)</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500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Bandgap E</w:t>
            </w:r>
            <w:r>
              <w:rPr>
                <w:rFonts w:ascii="Times New Roman" w:hAnsi="Times New Roman" w:cs="Times New Roman"/>
                <w:vertAlign w:val="subscript"/>
                <w:sz w:val="18"/>
                <w:b w:val="0"/>
                <w:i w:val="0"/>
              </w:rPr>
              <w:t>g</w:t>
            </w:r>
            <w:r>
              <w:rPr>
                <w:rFonts w:ascii="Times New Roman" w:hAnsi="Times New Roman" w:cs="Times New Roman"/>
                <w:sz w:val="18"/>
                <w:b w:val="0"/>
                <w:i w:val="0"/>
              </w:rPr>
              <w:t xml:space="preserve">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t>1.4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3.1</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Electron affinity χ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w:t>
            </w:r>
          </w:p>
        </w:tc>
      </w:tr>
      <w:tr>
        <w:trPr>
          <w:cantSplit w:val="true"/>
        </w:trPr>
        <w:tc>
          <w:tcPr>
            <w:tcW w:type="dxa" w:w="3118"/>
          </w:tcPr>
          <w:p>
            <w:pPr>
              <w:jc w:val="left"/>
            </w:pPr>
            <w:r>
              <w:rPr>
                <w:rFonts w:ascii="Times New Roman" w:hAnsi="Times New Roman" w:cs="Times New Roman"/>
                <w:sz w:val="18"/>
                <w:b w:val="0"/>
                <w:i w:val="0"/>
              </w:rPr>
              <w:t>Dielectric permittivity ε</w:t>
            </w:r>
            <w:r>
              <w:rPr>
                <w:rFonts w:ascii="Times New Roman" w:hAnsi="Times New Roman" w:cs="Times New Roman"/>
                <w:vertAlign w:val="subscript"/>
                <w:sz w:val="18"/>
                <w:b w:val="0"/>
                <w:i w:val="0"/>
              </w:rPr>
              <w:t>r</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23.01</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6.5</w:t>
            </w:r>
          </w:p>
        </w:tc>
      </w:tr>
      <w:tr>
        <w:trPr>
          <w:cantSplit w:val="true"/>
        </w:trPr>
        <w:tc>
          <w:tcPr>
            <w:tcW w:type="dxa" w:w="3118"/>
          </w:tcPr>
          <w:p>
            <w:pPr>
              <w:jc w:val="left"/>
            </w:pPr>
            <w:r>
              <w:rPr>
                <w:rFonts w:ascii="Times New Roman" w:hAnsi="Times New Roman" w:cs="Times New Roman"/>
                <w:sz w:val="18"/>
                <w:b w:val="0"/>
                <w:i w:val="0"/>
              </w:rPr>
              <w:t>CB effective DOS N</w:t>
            </w:r>
            <w:r>
              <w:rPr>
                <w:rFonts w:ascii="Times New Roman" w:hAnsi="Times New Roman" w:cs="Times New Roman"/>
                <w:vertAlign w:val="subscript"/>
                <w:sz w:val="18"/>
                <w:b w:val="0"/>
                <w:i w:val="0"/>
              </w:rPr>
              <w:t>C</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1.4×10¹⁹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r>
      <w:tr>
        <w:trPr>
          <w:cantSplit w:val="true"/>
        </w:trPr>
        <w:tc>
          <w:tcPr>
            <w:tcW w:type="dxa" w:w="3118"/>
          </w:tcPr>
          <w:p>
            <w:pPr>
              <w:jc w:val="left"/>
            </w:pPr>
            <w:r>
              <w:rPr>
                <w:rFonts w:ascii="Times New Roman" w:hAnsi="Times New Roman" w:cs="Times New Roman"/>
                <w:sz w:val="18"/>
                <w:b w:val="0"/>
                <w:i w:val="0"/>
              </w:rPr>
              <w:t>VB effective DOS N</w:t>
            </w:r>
            <w:r>
              <w:rPr>
                <w:rFonts w:ascii="Times New Roman" w:hAnsi="Times New Roman" w:cs="Times New Roman"/>
                <w:vertAlign w:val="subscript"/>
                <w:sz w:val="18"/>
                <w:b w:val="0"/>
                <w:i w:val="0"/>
              </w:rPr>
              <w:t>V</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r>
      <w:tr>
        <w:trPr>
          <w:cantSplit w:val="true"/>
        </w:trPr>
        <w:tc>
          <w:tcPr>
            <w:tcW w:type="dxa" w:w="3118"/>
          </w:tcPr>
          <w:p>
            <w:pPr>
              <w:jc w:val="left"/>
            </w:pPr>
            <w:r>
              <w:rPr>
                <w:rFonts w:ascii="Times New Roman" w:hAnsi="Times New Roman" w:cs="Times New Roman"/>
                <w:sz w:val="18"/>
                <w:b w:val="0"/>
                <w:i w:val="0"/>
              </w:rPr>
              <w:t>Electron mobility μ</w:t>
            </w:r>
            <w:r>
              <w:rPr>
                <w:rFonts w:ascii="Times New Roman" w:hAnsi="Times New Roman" w:cs="Times New Roman"/>
                <w:vertAlign w:val="subscript"/>
                <w:sz w:val="18"/>
                <w:b w:val="0"/>
                <w:i w:val="0"/>
              </w:rPr>
              <w:t>e</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28.6</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Hole mobility μ</w:t>
            </w:r>
            <w:r>
              <w:rPr>
                <w:rFonts w:ascii="Times New Roman" w:hAnsi="Times New Roman" w:cs="Times New Roman"/>
                <w:vertAlign w:val="subscript"/>
                <w:sz w:val="18"/>
                <w:b w:val="0"/>
                <w:i w:val="0"/>
              </w:rPr>
              <w:t>p</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27.3</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43.9</w:t>
            </w:r>
          </w:p>
        </w:tc>
      </w:tr>
      <w:tr>
        <w:trPr>
          <w:cantSplit w:val="true"/>
        </w:trPr>
        <w:tc>
          <w:tcPr>
            <w:tcW w:type="dxa" w:w="3118"/>
          </w:tcPr>
          <w:p>
            <w:pPr>
              <w:jc w:val="left"/>
            </w:pPr>
            <w:r>
              <w:rPr>
                <w:rFonts w:ascii="Times New Roman" w:hAnsi="Times New Roman" w:cs="Times New Roman"/>
                <w:sz w:val="18"/>
                <w:b w:val="0"/>
                <w:i w:val="0"/>
              </w:rPr>
              <w:t>Donor density N</w:t>
            </w:r>
            <w:r>
              <w:rPr>
                <w:rFonts w:ascii="Times New Roman" w:hAnsi="Times New Roman" w:cs="Times New Roman"/>
                <w:vertAlign w:val="subscript"/>
                <w:sz w:val="18"/>
                <w:b w:val="0"/>
                <w:i w:val="0"/>
              </w:rPr>
              <w:t>D</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9×10¹⁶</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r>
      <w:tr>
        <w:trPr>
          <w:cantSplit w:val="true"/>
        </w:trPr>
        <w:tc>
          <w:tcPr>
            <w:tcW w:type="dxa" w:w="3118"/>
          </w:tcPr>
          <w:p>
            <w:pPr>
              <w:jc w:val="left"/>
            </w:pPr>
            <w:r>
              <w:rPr>
                <w:rFonts w:ascii="Times New Roman" w:hAnsi="Times New Roman" w:cs="Times New Roman"/>
                <w:sz w:val="18"/>
                <w:b w:val="0"/>
                <w:i w:val="0"/>
              </w:rPr>
              <w:t>Acceptor density N</w:t>
            </w:r>
            <w:r>
              <w:rPr>
                <w:rFonts w:ascii="Times New Roman" w:hAnsi="Times New Roman" w:cs="Times New Roman"/>
                <w:vertAlign w:val="subscript"/>
                <w:sz w:val="18"/>
                <w:b w:val="0"/>
                <w:i w:val="0"/>
              </w:rPr>
              <w:t>a</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1×10¹⁸</w:t>
            </w:r>
          </w:p>
        </w:tc>
      </w:tr>
      <w:tr>
        <w:trPr>
          <w:cantSplit w:val="true"/>
        </w:trPr>
        <w:tc>
          <w:tcPr>
            <w:tcW w:type="dxa" w:w="3118"/>
          </w:tcPr>
          <w:p>
            <w:pPr>
              <w:jc w:val="left"/>
            </w:pPr>
            <w:r>
              <w:rPr>
                <w:rFonts w:ascii="Times New Roman" w:hAnsi="Times New Roman" w:cs="Times New Roman"/>
                <w:sz w:val="18"/>
                <w:b w:val="0"/>
                <w:i w:val="0"/>
              </w:rPr>
              <w:t>Bulk defect density N</w:t>
            </w:r>
            <w:r>
              <w:rPr>
                <w:rFonts w:ascii="Times New Roman" w:hAnsi="Times New Roman" w:cs="Times New Roman"/>
                <w:vertAlign w:val="subscript"/>
                <w:sz w:val="18"/>
                <w:b w:val="0"/>
                <w:i w:val="0"/>
              </w:rPr>
              <w:t>t</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r>
    </w:tbl>
    <w:p>
      <w:pPr>
        <w:keepNext/>
        <w:spacing w:before="120" w:after="40"/>
        <w:jc w:val="center"/>
      </w:pPr>
      <w:r>
        <w:rPr>
          <w:rFonts w:ascii="Times New Roman" w:hAnsi="Times New Roman" w:cs="Times New Roman"/>
          <w:b/>
          <w:i w:val="0"/>
          <w:sz w:val="20"/>
        </w:rPr>
        <w:t>Table III. Initial interface defect density applied at each heterojunction.</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3402"/>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Interface</w:t>
            </w:r>
          </w:p>
        </w:tc>
        <w:tc>
          <w:tcPr>
            <w:tcW w:type="dxa" w:w="3969"/>
            <w:tcBorders>
              <w:bottom w:val="single" w:sz="4" w:space="0" w:color="000000"/>
            </w:tcBorders>
          </w:tcPr>
          <w:p>
            <w:pPr>
              <w:jc w:val="center"/>
            </w:pPr>
            <w:r>
              <w:rPr>
                <w:rFonts w:ascii="Times New Roman" w:hAnsi="Times New Roman" w:cs="Times New Roman"/>
                <w:sz w:val="20"/>
                <w:b w:val="0"/>
                <w:i w:val="0"/>
              </w:rPr>
              <w:t>Interface defect density N</w:t>
            </w:r>
            <w:r>
              <w:rPr>
                <w:rFonts w:ascii="Times New Roman" w:hAnsi="Times New Roman" w:cs="Times New Roman"/>
                <w:vertAlign w:val="subscript"/>
                <w:sz w:val="20"/>
                <w:b w:val="0"/>
                <w:i w:val="0"/>
              </w:rPr>
              <w:t>t</w:t>
            </w:r>
            <w:r>
              <w:rPr>
                <w:rFonts w:ascii="Times New Roman" w:hAnsi="Times New Roman" w:cs="Times New Roman"/>
                <w:sz w:val="20"/>
                <w:b w:val="0"/>
                <w:i w:val="0"/>
              </w:rPr>
              <w:t xml:space="preserve"> (cm⁻²)</w:t>
            </w:r>
          </w:p>
        </w:tc>
      </w:tr>
      <w:tr>
        <w:trPr>
          <w:cantSplit w:val="true"/>
        </w:trPr>
        <w:tc>
          <w:tcPr>
            <w:tcW w:type="dxa" w:w="3402"/>
          </w:tcPr>
          <w:p>
            <w:pPr>
              <w:jc w:val="left"/>
            </w:pPr>
            <w:r>
              <w:rPr>
                <w:rFonts w:ascii="Times New Roman" w:hAnsi="Times New Roman" w:cs="Times New Roman"/>
                <w:sz w:val="18"/>
                <w:b w:val="0"/>
                <w:i w:val="0"/>
              </w:rPr>
              <w:t>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p>
        </w:tc>
        <w:tc>
          <w:tcPr>
            <w:tcW w:type="dxa" w:w="3969"/>
          </w:tcPr>
          <w:p>
            <w:pPr>
              <w:jc w:val="center"/>
            </w:pPr>
            <w:r>
              <w:rPr>
                <w:rFonts w:ascii="Times New Roman" w:hAnsi="Times New Roman" w:cs="Times New Roman"/>
                <w:b w:val="0"/>
                <w:i w:val="0"/>
                <w:sz w:val="18"/>
              </w:rPr>
            </w:r>
            <w:r>
              <w:rPr>
                <w:rFonts w:ascii="Times New Roman" w:hAnsi="Times New Roman" w:cs="Times New Roman"/>
                <w:b w:val="0"/>
                <w:i w:val="0"/>
                <w:sz w:val="18"/>
              </w:rPr>
              <w:t>1 × 10¹⁴</w:t>
            </w:r>
          </w:p>
        </w:tc>
      </w:tr>
      <w:tr>
        <w:trPr>
          <w:cantSplit w:val="true"/>
        </w:trPr>
        <w:tc>
          <w:tcPr>
            <w:tcW w:type="dxa" w:w="3402"/>
          </w:tcPr>
          <w:p>
            <w:pPr>
              <w:jc w:val="left"/>
            </w:pP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w:t>
            </w:r>
          </w:p>
        </w:tc>
        <w:tc>
          <w:tcPr>
            <w:tcW w:type="dxa" w:w="3969"/>
          </w:tcPr>
          <w:p>
            <w:pPr>
              <w:jc w:val="center"/>
            </w:pPr>
            <w:r>
              <w:rPr>
                <w:rFonts w:ascii="Times New Roman" w:hAnsi="Times New Roman" w:cs="Times New Roman"/>
                <w:b w:val="0"/>
                <w:i w:val="0"/>
                <w:sz w:val="18"/>
              </w:rPr>
            </w:r>
            <w:r>
              <w:rPr>
                <w:rFonts w:ascii="Times New Roman" w:hAnsi="Times New Roman" w:cs="Times New Roman"/>
                <w:b w:val="0"/>
                <w:i w:val="0"/>
                <w:sz w:val="18"/>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120" w:after="4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 xml:space="preserve">The device stack was simulated with SCAPS-1D version 3.3.10 [19,20,21], which solves the Poisson equation together with the electron and hole continuity equations self-consistently across the device and is widely used for thin-film and perovskite device studies. The drift-diffusion transport model underlying these equations is summarized below; further details are available in the original references [19,20,21].</w:t>
      </w:r>
    </w:p>
    <w:p>
      <w:pPr>
        <w:spacing w:line="360" w:lineRule="auto" w:before="120" w:after="120"/>
        <w:ind w:firstLine="283"/>
        <w:jc w:val="both"/>
      </w:pPr>
      <w:r>
        <w:rPr>
          <w:rFonts w:ascii="Times New Roman" w:hAnsi="Times New Roman"/>
          <w:b w:val="0"/>
          <w:i w:val="0"/>
          <w:sz w:val="24"/>
        </w:rPr>
        <w:t xml:space="preserve">where ε is the dielectric permittivity, ψ the electrostatic potential, q the elementary charge, n and p the electron and hole concentrations, ND and Na the donor and acceptor concentrations, and ρt the trapped charge density. Electron and hole transport are governed by the continuity equations,</w:t>
      </w:r>
    </w:p>
    <w:p>
      <w:pPr>
        <w:spacing w:line="360" w:lineRule="auto" w:before="120" w:after="120"/>
        <w:ind w:firstLine="283"/>
        <w:jc w:val="both"/>
      </w:pPr>
      <w:r>
        <w:rPr>
          <w:rFonts w:ascii="Times New Roman" w:hAnsi="Times New Roman"/>
          <w:b w:val="0"/>
          <w:i w:val="0"/>
          <w:sz w:val="24"/>
        </w:rPr>
        <w:t xml:space="preserve">where Jn is the electron current density, G the carrier generation rate, and R the carrier recombination rate; the hole continuity equation describes hole transport analogously,</w:t>
      </w:r>
    </w:p>
    <w:p>
      <w:pPr>
        <w:spacing w:line="360" w:lineRule="auto" w:before="120" w:after="120"/>
        <w:ind w:firstLine="283"/>
        <w:jc w:val="both"/>
      </w:pPr>
      <w:r>
        <w:rPr>
          <w:rFonts w:ascii="Times New Roman" w:hAnsi="Times New Roman"/>
          <w:b w:val="0"/>
          <w:i w:val="0"/>
          <w:sz w:val="24"/>
        </w:rPr>
        <w:t xml:space="preserve">where Jp is the hole current density. Together, Eqs. (1)–(3) describe generation, transport, and recombination under illumination; SCAPS-1D computes the resulting J–V characteristics from the layer properties defined below.</w:t>
      </w:r>
    </w:p>
    <w:p>
      <w:pPr>
        <w:pStyle w:val="Heading2"/>
        <w:keepNext/>
        <w:spacing w:before="120" w:after="4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 xml:space="preserve">All simulations were performed under the AM 1.5G spectrum at an incident power density of 100 mW/cm² (one sun, STC) with the operating temperature fixed at 300 K, using the initial material parameters of Table II and the interface defect densities of Table III unless otherwise stated. During each optimization step, only one parameter was varied while all remaining parameters were held constant; the general simulation conditions are summarized in Table IV.</w:t>
      </w:r>
    </w:p>
    <w:p>
      <w:pPr>
        <w:keepNext/>
        <w:spacing w:before="120" w:after="40"/>
        <w:jc w:val="center"/>
      </w:pPr>
      <w:r>
        <w:rPr>
          <w:rFonts w:ascii="Times New Roman" w:hAnsi="Times New Roman" w:cs="Times New Roman"/>
          <w:b/>
          <w:i w:val="0"/>
          <w:sz w:val="20"/>
        </w:rPr>
        <w:t>Table IV. Simulation conditions used in SCAPS-1D.</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3685"/>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4535"/>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Value</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Simulation software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SCAPS-1D version 3.3.10</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Illumination spectrum</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AM 1.5G</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Incident power density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100 mW/cm² (1000 W/m²)</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Operating temperature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300 K (27 °C)</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Illumination intensity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1 Sun</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Scan mode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Illuminated J–V</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Device type</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Planar heterojunction</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Front contact</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FTO</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Back contact</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Au</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Initial material parameters</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Table II</w:t>
            </w:r>
          </w:p>
        </w:tc>
      </w:tr>
      <w:tr>
        <w:trPr>
          <w:cantSplit w:val="true"/>
        </w:trPr>
        <w:tc>
          <w:tcPr>
            <w:tcW w:type="dxa" w:w="3685"/>
          </w:tcPr>
          <w:p>
            <w:pPr>
              <w:jc w:val="left"/>
            </w:pPr>
            <w:r>
              <w:rPr>
                <w:rFonts w:ascii="Times New Roman" w:hAnsi="Times New Roman" w:cs="Times New Roman"/>
                <w:b w:val="0"/>
                <w:i w:val="0"/>
                <w:sz w:val="18"/>
              </w:rPr>
            </w:r>
            <w:r>
              <w:rPr>
                <w:rFonts w:ascii="Times New Roman" w:hAnsi="Times New Roman" w:cs="Times New Roman"/>
                <w:b w:val="0"/>
                <w:i w:val="0"/>
                <w:sz w:val="18"/>
              </w:rPr>
              <w:t>Initial interface defect density</w:t>
            </w:r>
          </w:p>
        </w:tc>
        <w:tc>
          <w:tcPr>
            <w:tcW w:type="dxa" w:w="4535"/>
          </w:tcPr>
          <w:p>
            <w:pPr>
              <w:jc w:val="center"/>
            </w:pPr>
            <w:r>
              <w:rPr>
                <w:rFonts w:ascii="Times New Roman" w:hAnsi="Times New Roman" w:cs="Times New Roman"/>
                <w:b w:val="0"/>
                <w:i w:val="0"/>
                <w:sz w:val="18"/>
              </w:rPr>
            </w:r>
            <w:r>
              <w:rPr>
                <w:rFonts w:ascii="Times New Roman" w:hAnsi="Times New Roman" w:cs="Times New Roman"/>
                <w:b w:val="0"/>
                <w:i w:val="0"/>
                <w:sz w:val="18"/>
              </w:rPr>
              <w:t>Table III</w:t>
            </w:r>
          </w:p>
        </w:tc>
      </w:tr>
    </w:tbl>
    <w:p>
      <w:pPr>
        <w:pStyle w:val="Heading2"/>
        <w:keepNext/>
        <w:spacing w:before="120" w:after="4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b w:val="0"/>
          <w:i w:val="0"/>
          <w:sz w:val="24"/>
        </w:rPr>
        <w:t xml:space="preserve">Performance was evaluated using the four key parameters extracted from the simulated J–V curve: open-circuit voltage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short-circuit current density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fill factor (FF), and power conversion efficiency (PCE), computed as PCE =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 FF)/Pin with Pin = 100 mW/cm² under AM 1.5G.</w:t>
      </w:r>
    </w:p>
    <w:p>
      <w:pPr>
        <w:pStyle w:val="Heading2"/>
        <w:keepNext/>
        <w:spacing w:before="120" w:after="4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 xml:space="preserve">Starting from the initial device, one parameter at a time (OPAT) was varied while all others were held constant, and each step’s locally optimal value was carried forward into the subsequent step, as detailed in Section V.</w:t>
      </w:r>
    </w:p>
    <w:p>
      <w:pPr>
        <w:spacing w:line="360" w:lineRule="auto" w:before="120" w:after="120"/>
        <w:ind w:firstLine="283"/>
        <w:jc w:val="both"/>
      </w:pPr>
      <w:r>
        <w:rPr>
          <w:rFonts w:ascii="Times New Roman" w:hAnsi="Times New Roman"/>
          <w:b w:val="0"/>
          <w:i w:val="0"/>
          <w:sz w:val="24"/>
        </w:rPr>
        <w:t>The procedure comprises eleven optimization steps: (1) absorber thickness (0.3–1.0 µm); (2) absorber bulk defect density (10¹²–10¹⁸ cm⁻³); (3) absorber dielectric constant (15–23.1); (4) absorber electron affinity (3.9–4.2 eV); (5)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interfacial defect density (10¹²–10¹⁸ cm⁻²); (6) RbGeI</w:t>
      </w:r>
      <w:r>
        <w:rPr>
          <w:rFonts w:ascii="Times New Roman" w:hAnsi="Times New Roman"/>
          <w:b w:val="0"/>
          <w:i w:val="0"/>
          <w:sz w:val="24"/>
          <w:vertAlign w:val="subscript"/>
        </w:rPr>
        <w:t>3</w:t>
      </w:r>
      <w:r>
        <w:rPr>
          <w:rFonts w:ascii="Times New Roman" w:hAnsi="Times New Roman"/>
          <w:b w:val="0"/>
          <w:i w:val="0"/>
          <w:sz w:val="24"/>
        </w:rPr>
        <w:t>/CuI interfacial defect density (10¹²–10¹⁸ cm⁻²); (7) absorber bandgap (1.3–1.7 eV); (8) TiO</w:t>
      </w:r>
      <w:r>
        <w:rPr>
          <w:rFonts w:ascii="Times New Roman" w:hAnsi="Times New Roman"/>
          <w:b w:val="0"/>
          <w:i w:val="0"/>
          <w:sz w:val="24"/>
          <w:vertAlign w:val="subscript"/>
        </w:rPr>
        <w:t>2</w:t>
      </w:r>
      <w:r>
        <w:rPr>
          <w:rFonts w:ascii="Times New Roman" w:hAnsi="Times New Roman"/>
          <w:b w:val="0"/>
          <w:i w:val="0"/>
          <w:sz w:val="24"/>
        </w:rPr>
        <w:t xml:space="preserve"> ETL thickness (0.01–0.09 µm); (9) CuI HTL thickness (0.1–1.9 µm); (10) conduction-band effective density of states N</w:t>
      </w:r>
      <w:r>
        <w:rPr>
          <w:rFonts w:ascii="Times New Roman" w:hAnsi="Times New Roman"/>
          <w:b w:val="0"/>
          <w:i w:val="0"/>
          <w:sz w:val="24"/>
          <w:vertAlign w:val="subscript"/>
        </w:rPr>
        <w:t>C</w:t>
      </w:r>
      <w:r>
        <w:rPr>
          <w:rFonts w:ascii="Times New Roman" w:hAnsi="Times New Roman"/>
          <w:b w:val="0"/>
          <w:i w:val="0"/>
          <w:sz w:val="24"/>
        </w:rPr>
        <w:t xml:space="preserve"> (1×10¹⁷–1×10²⁰ cm⁻³); (11) valence-band effective density of states N</w:t>
      </w:r>
      <w:r>
        <w:rPr>
          <w:rFonts w:ascii="Times New Roman" w:hAnsi="Times New Roman"/>
          <w:b w:val="0"/>
          <w:i w:val="0"/>
          <w:sz w:val="24"/>
          <w:vertAlign w:val="subscript"/>
        </w:rPr>
        <w:t>V</w:t>
      </w:r>
      <w:r>
        <w:rPr>
          <w:rFonts w:ascii="Times New Roman" w:hAnsi="Times New Roman"/>
          <w:b w:val="0"/>
          <w:i w:val="0"/>
          <w:sz w:val="24"/>
        </w:rPr>
        <w:t xml:space="preserve"> (1×10¹⁷–1×10²⁰ cm⁻³). Each step's locally optimal parameter value was carried forward into all subsequent steps, with the consolidated final parameter set summarized in Table VII.</w:t>
      </w:r>
    </w:p>
    <w:p>
      <w:pPr>
        <w:spacing w:line="360" w:lineRule="auto" w:before="120" w:after="120"/>
        <w:ind w:firstLine="283"/>
        <w:jc w:val="both"/>
      </w:pPr>
      <w:r>
        <w:rPr>
          <w:rFonts w:ascii="Times New Roman" w:hAnsi="Times New Roman" w:cs="Times New Roman"/>
          <w:b w:val="0"/>
          <w:i w:val="0"/>
          <w:sz w:val="24"/>
        </w:rPr>
        <w:t>Because each per-step optimum is identified with all other parameters fixed at prior-step values, the consolidated parameter set may not be a global optimum; the OAT approach nevertheless identifies the dominant parameter effects and establishes a clear baseline.</w:t>
      </w:r>
    </w:p>
    <w:p>
      <w:pPr>
        <w:pStyle w:val="Heading2"/>
        <w:keepNext/>
        <w:spacing w:before="120" w:after="4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b w:val="0"/>
          <w:i w:val="0"/>
          <w:sz w:val="24"/>
        </w:rPr>
        <w:t xml:space="preserve">Eight planar configurations combining two ETLs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PCBM) with four HTLs (NiO, CuI, CBTS, Spiro-OMeTAD) around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absorber (D1–D8, Table V) were simulated at the initial absorber thickness of 400 nm (Table II) to permit a fair architecture comparison before the thickness optimization of Section V.B.</w:t>
      </w:r>
    </w:p>
    <w:p>
      <w:pPr>
        <w:keepNext/>
        <w:spacing w:before="120" w:after="4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4680"/>
        <w:gridCol w:w="4680"/>
      </w:tblGrid>
      <w:tr>
        <w:trPr>
          <w:tblHeader w:val="true"/>
          <w:cantSplit w:val="true"/>
        </w:trPr>
        <w:tc>
          <w:tcPr>
            <w:tcW w:type="dxa" w:w="1417"/>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w:t>
            </w:r>
          </w:p>
        </w:tc>
        <w:tc>
          <w:tcPr>
            <w:tcW w:type="dxa" w:w="6803"/>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Architecture</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D1</w:t>
            </w:r>
          </w:p>
        </w:tc>
        <w:tc>
          <w:tcPr>
            <w:tcW w:type="dxa" w:w="6803"/>
          </w:tcPr>
          <w:p>
            <w:pPr>
              <w:jc w:val="center"/>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NiO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D2</w:t>
            </w:r>
          </w:p>
        </w:tc>
        <w:tc>
          <w:tcPr>
            <w:tcW w:type="dxa" w:w="6803"/>
          </w:tcPr>
          <w:p>
            <w:pPr>
              <w:jc w:val="center"/>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NiO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D3</w:t>
            </w:r>
          </w:p>
        </w:tc>
        <w:tc>
          <w:tcPr>
            <w:tcW w:type="dxa" w:w="6803"/>
          </w:tcPr>
          <w:p>
            <w:pPr>
              <w:jc w:val="center"/>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D4 ★</w:t>
            </w:r>
          </w:p>
        </w:tc>
        <w:tc>
          <w:tcPr>
            <w:tcW w:type="dxa" w:w="6803"/>
          </w:tcPr>
          <w:p>
            <w:pPr>
              <w:jc w:val="center"/>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CuI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D5</w:t>
            </w:r>
          </w:p>
        </w:tc>
        <w:tc>
          <w:tcPr>
            <w:tcW w:type="dxa" w:w="6803"/>
          </w:tcPr>
          <w:p>
            <w:pPr>
              <w:jc w:val="left"/>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CBTS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D6</w:t>
            </w:r>
          </w:p>
        </w:tc>
        <w:tc>
          <w:tcPr>
            <w:tcW w:type="dxa" w:w="6803"/>
          </w:tcPr>
          <w:p>
            <w:pPr>
              <w:jc w:val="left"/>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CBTS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D7</w:t>
            </w:r>
          </w:p>
        </w:tc>
        <w:tc>
          <w:tcPr>
            <w:tcW w:type="dxa" w:w="6803"/>
          </w:tcPr>
          <w:p>
            <w:pPr>
              <w:jc w:val="left"/>
            </w:pPr>
            <w:r>
              <w:rPr>
                <w:rFonts w:ascii="Times New Roman" w:hAnsi="Times New Roman" w:cs="Times New Roman"/>
                <w:sz w:val="18"/>
                <w:b w:val="0"/>
                <w:i w:val="0"/>
              </w:rPr>
              <w:t>FTO / PCBM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Spiro-OMeTAD / Au</w:t>
            </w:r>
          </w:p>
        </w:tc>
      </w:tr>
      <w:tr>
        <w:trPr>
          <w:cantSplit w:val="true"/>
        </w:trPr>
        <w:tc>
          <w:tcPr>
            <w:tcW w:type="dxa" w:w="1417"/>
          </w:tcPr>
          <w:p>
            <w:pPr>
              <w:jc w:val="left"/>
            </w:pPr>
            <w:r>
              <w:rPr>
                <w:rFonts w:ascii="Times New Roman" w:hAnsi="Times New Roman" w:cs="Times New Roman"/>
                <w:b w:val="0"/>
                <w:i w:val="0"/>
                <w:sz w:val="18"/>
              </w:rPr>
            </w:r>
            <w:r>
              <w:rPr>
                <w:rFonts w:ascii="Times New Roman" w:hAnsi="Times New Roman" w:cs="Times New Roman"/>
                <w:b w:val="0"/>
                <w:i w:val="0"/>
                <w:sz w:val="18"/>
              </w:rPr>
              <w:t>D8</w:t>
            </w:r>
          </w:p>
        </w:tc>
        <w:tc>
          <w:tcPr>
            <w:tcW w:type="dxa" w:w="6803"/>
          </w:tcPr>
          <w:p>
            <w:pPr>
              <w:jc w:val="left"/>
            </w:pPr>
            <w:r>
              <w:rPr>
                <w:rFonts w:ascii="Times New Roman" w:hAnsi="Times New Roman" w:cs="Times New Roman"/>
                <w:sz w:val="18"/>
                <w:b w:val="0"/>
                <w:i w:val="0"/>
              </w:rPr>
              <w:t>FTO / TiO</w:t>
            </w:r>
            <w:r>
              <w:rPr>
                <w:rFonts w:ascii="Times New Roman" w:hAnsi="Times New Roman" w:cs="Times New Roman"/>
                <w:vertAlign w:val="subscript"/>
                <w:sz w:val="18"/>
                <w:b w:val="0"/>
                <w:i w:val="0"/>
              </w:rPr>
              <w:t>2</w:t>
            </w:r>
            <w:r>
              <w:rPr>
                <w:rFonts w:ascii="Times New Roman" w:hAnsi="Times New Roman" w:cs="Times New Roman"/>
                <w:sz w:val="18"/>
                <w:b w:val="0"/>
                <w:i w:val="0"/>
              </w:rPr>
              <w:t xml:space="preserve"> / RbGeI</w:t>
            </w:r>
            <w:r>
              <w:rPr>
                <w:rFonts w:ascii="Times New Roman" w:hAnsi="Times New Roman" w:cs="Times New Roman"/>
                <w:vertAlign w:val="subscript"/>
                <w:sz w:val="18"/>
                <w:b w:val="0"/>
                <w:i w:val="0"/>
              </w:rPr>
              <w:t>3</w:t>
            </w:r>
            <w:r>
              <w:rPr>
                <w:rFonts w:ascii="Times New Roman" w:hAnsi="Times New Roman" w:cs="Times New Roman"/>
                <w:sz w:val="18"/>
                <w:b w:val="0"/>
                <w:i w:val="0"/>
              </w:rPr>
              <w:t xml:space="preserve">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120" w:after="4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b w:val="0"/>
          <w:i w:val="0"/>
          <w:sz w:val="24"/>
        </w:rPr>
        <w:t>Eight device configurations combining two ETL candidates (TiO</w:t>
      </w:r>
      <w:r>
        <w:rPr>
          <w:rFonts w:ascii="Times New Roman" w:hAnsi="Times New Roman"/>
          <w:b w:val="0"/>
          <w:i w:val="0"/>
          <w:sz w:val="24"/>
          <w:vertAlign w:val="subscript"/>
        </w:rPr>
        <w:t>2</w:t>
      </w:r>
      <w:r>
        <w:rPr>
          <w:rFonts w:ascii="Times New Roman" w:hAnsi="Times New Roman"/>
          <w:b w:val="0"/>
          <w:i w:val="0"/>
          <w:sz w:val="24"/>
        </w:rPr>
        <w:t>, PCBM) with four HTL candidates (NiO, CuI, CBTS, Spiro-OMeTAD) were simulated. The results are summarized in Table VI.</w:t>
      </w:r>
    </w:p>
    <w:p>
      <w:pPr>
        <w:spacing w:line="360" w:lineRule="auto" w:before="120" w:after="120"/>
        <w:ind w:firstLine="283"/>
        <w:jc w:val="both"/>
      </w:pPr>
      <w:r>
        <w:rPr>
          <w:rFonts w:ascii="Times New Roman" w:hAnsi="Times New Roman"/>
          <w:b w:val="0"/>
          <w:i w:val="0"/>
          <w:sz w:val="24"/>
        </w:rPr>
        <w:t>The D4 architecture (TiO</w:t>
      </w:r>
      <w:r>
        <w:rPr>
          <w:rFonts w:ascii="Times New Roman" w:hAnsi="Times New Roman"/>
          <w:b w:val="0"/>
          <w:i w:val="0"/>
          <w:sz w:val="24"/>
          <w:vertAlign w:val="subscript"/>
        </w:rPr>
        <w:t>2</w:t>
      </w:r>
      <w:r>
        <w:rPr>
          <w:rFonts w:ascii="Times New Roman" w:hAnsi="Times New Roman"/>
          <w:b w:val="0"/>
          <w:i w:val="0"/>
          <w:sz w:val="24"/>
        </w:rPr>
        <w:t>/CuI) was selected because the TiO</w:t>
      </w:r>
      <w:r>
        <w:rPr>
          <w:rFonts w:ascii="Times New Roman" w:hAnsi="Times New Roman"/>
          <w:b w:val="0"/>
          <w:i w:val="0"/>
          <w:sz w:val="24"/>
          <w:vertAlign w:val="subscript"/>
        </w:rPr>
        <w:t>2</w:t>
      </w:r>
      <w:r>
        <w:rPr>
          <w:rFonts w:ascii="Times New Roman" w:hAnsi="Times New Roman"/>
          <w:b w:val="0"/>
          <w:i w:val="0"/>
          <w:sz w:val="24"/>
        </w:rPr>
        <w:t>/CuI combination offers well-matched band alignment and uses an all-inorganic transport layer stack that avoids the stability limitations of organic HTLs.</w:t>
      </w:r>
    </w:p>
    <w:p>
      <w:pPr>
        <w:keepNext/>
        <w:spacing w:before="120" w:after="4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560"/>
        <w:gridCol w:w="1560"/>
        <w:gridCol w:w="1560"/>
        <w:gridCol w:w="1560"/>
        <w:gridCol w:w="1560"/>
        <w:gridCol w:w="1560"/>
      </w:tblGrid>
      <w:tr>
        <w:trPr>
          <w:tblHeader w:val="true"/>
          <w:cantSplit w:val="true"/>
        </w:trPr>
        <w:tc>
          <w:tcPr>
            <w:tcW w:type="dxa" w:w="737"/>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w:t>
            </w:r>
          </w:p>
        </w:tc>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Architecture</w:t>
            </w:r>
          </w:p>
        </w:tc>
        <w:tc>
          <w:tcPr>
            <w:tcW w:type="dxa" w:w="964"/>
            <w:tcBorders>
              <w:bottom w:val="single" w:sz="4" w:space="0" w:color="000000"/>
            </w:tcBorders>
          </w:tcPr>
          <w:p>
            <w:pPr>
              <w:jc w:val="center"/>
            </w:pPr>
            <w:r>
              <w:rPr>
                <w:rFonts w:ascii="Times New Roman" w:hAnsi="Times New Roman" w:cs="Times New Roman"/>
                <w:sz w:val="20"/>
                <w:b w:val="0"/>
                <w:i w:val="0"/>
              </w:rPr>
              <w:t>V</w:t>
            </w:r>
            <w:r>
              <w:rPr>
                <w:rFonts w:ascii="Times New Roman" w:hAnsi="Times New Roman" w:cs="Times New Roman"/>
                <w:vertAlign w:val="subscript"/>
                <w:sz w:val="20"/>
                <w:b w:val="0"/>
                <w:i w:val="0"/>
              </w:rPr>
              <w:t>OC</w:t>
            </w:r>
            <w:r>
              <w:rPr>
                <w:rFonts w:ascii="Times New Roman" w:hAnsi="Times New Roman" w:cs="Times New Roman"/>
                <w:sz w:val="20"/>
                <w:b w:val="0"/>
                <w:i w:val="0"/>
              </w:rPr>
              <w:t xml:space="preserve"> (V)</w:t>
            </w:r>
          </w:p>
        </w:tc>
        <w:tc>
          <w:tcPr>
            <w:tcW w:type="dxa" w:w="1417"/>
            <w:tcBorders>
              <w:bottom w:val="single" w:sz="4" w:space="0" w:color="000000"/>
            </w:tcBorders>
          </w:tcPr>
          <w:p>
            <w:pPr>
              <w:jc w:val="center"/>
            </w:pPr>
            <w:r>
              <w:rPr>
                <w:rFonts w:ascii="Times New Roman" w:hAnsi="Times New Roman" w:cs="Times New Roman"/>
                <w:sz w:val="20"/>
                <w:b w:val="0"/>
                <w:i w:val="0"/>
              </w:rPr>
              <w:t>J</w:t>
            </w:r>
            <w:r>
              <w:rPr>
                <w:rFonts w:ascii="Times New Roman" w:hAnsi="Times New Roman" w:cs="Times New Roman"/>
                <w:vertAlign w:val="subscript"/>
                <w:sz w:val="20"/>
                <w:b w:val="0"/>
                <w:i w:val="0"/>
              </w:rPr>
              <w:t>SC</w:t>
            </w:r>
            <w:r>
              <w:rPr>
                <w:rFonts w:ascii="Times New Roman" w:hAnsi="Times New Roman" w:cs="Times New Roman"/>
                <w:sz w:val="20"/>
                <w:b w:val="0"/>
                <w:i w:val="0"/>
              </w:rPr>
              <w:t xml:space="preserve"> (mA/cm²)</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FF (%)</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D1</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/NiO/Au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30.10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83.68</w:t>
            </w:r>
          </w:p>
        </w:tc>
        <w:tc>
          <w:tcPr>
            <w:tcW w:type="dxa" w:w="850"/>
          </w:tcPr>
          <w:p>
            <w:pPr>
              <w:jc w:val="center"/>
            </w:pPr>
            <w:r>
              <w:rPr>
                <w:rFonts w:ascii="Times New Roman" w:hAnsi="Times New Roman" w:cs="Times New Roman"/>
                <w:b w:val="0"/>
                <w:i w:val="0"/>
                <w:sz w:val="18"/>
              </w:rPr>
              <w:t xml:space="preserve">20.40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D2</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84.48</w:t>
            </w:r>
          </w:p>
        </w:tc>
        <w:tc>
          <w:tcPr>
            <w:tcW w:type="dxa" w:w="850"/>
          </w:tcPr>
          <w:p>
            <w:pPr>
              <w:jc w:val="center"/>
            </w:pPr>
            <w:r>
              <w:rPr>
                <w:rFonts w:ascii="Times New Roman" w:hAnsi="Times New Roman" w:cs="Times New Roman"/>
                <w:b w:val="0"/>
                <w:i w:val="0"/>
                <w:sz w:val="18"/>
              </w:rPr>
              <w:t xml:space="preserve">21.10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D3</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30.10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83.96</w:t>
            </w:r>
          </w:p>
        </w:tc>
        <w:tc>
          <w:tcPr>
            <w:tcW w:type="dxa" w:w="850"/>
          </w:tcPr>
          <w:p>
            <w:pPr>
              <w:jc w:val="center"/>
            </w:pPr>
            <w:r>
              <w:rPr>
                <w:rFonts w:ascii="Times New Roman" w:hAnsi="Times New Roman" w:cs="Times New Roman"/>
                <w:b w:val="0"/>
                <w:i w:val="0"/>
                <w:sz w:val="18"/>
              </w:rPr>
              <w:t xml:space="preserve">20.47</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D4 ★</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79.98</w:t>
            </w:r>
          </w:p>
        </w:tc>
        <w:tc>
          <w:tcPr>
            <w:tcW w:type="dxa" w:w="850"/>
          </w:tcPr>
          <w:p>
            <w:pPr>
              <w:jc w:val="center"/>
            </w:pPr>
            <w:r>
              <w:rPr>
                <w:rFonts w:ascii="Times New Roman" w:hAnsi="Times New Roman" w:cs="Times New Roman"/>
                <w:b w:val="0"/>
                <w:i w:val="0"/>
                <w:sz w:val="18"/>
              </w:rPr>
              <w:t xml:space="preserve">19.78</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D5</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30.20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82.36</w:t>
            </w:r>
          </w:p>
        </w:tc>
        <w:tc>
          <w:tcPr>
            <w:tcW w:type="dxa" w:w="850"/>
          </w:tcPr>
          <w:p>
            <w:pPr>
              <w:jc w:val="center"/>
            </w:pPr>
            <w:r>
              <w:rPr>
                <w:rFonts w:ascii="Times New Roman" w:hAnsi="Times New Roman" w:cs="Times New Roman"/>
                <w:b w:val="0"/>
                <w:i w:val="0"/>
                <w:sz w:val="18"/>
              </w:rPr>
              <w:t xml:space="preserve">20.40</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D6</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30.55</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82.13</w:t>
            </w:r>
          </w:p>
        </w:tc>
        <w:tc>
          <w:tcPr>
            <w:tcW w:type="dxa" w:w="850"/>
          </w:tcPr>
          <w:p>
            <w:pPr>
              <w:jc w:val="center"/>
            </w:pPr>
            <w:r>
              <w:rPr>
                <w:rFonts w:ascii="Times New Roman" w:hAnsi="Times New Roman" w:cs="Times New Roman"/>
                <w:b w:val="0"/>
                <w:i w:val="0"/>
                <w:sz w:val="18"/>
              </w:rPr>
              <w:t xml:space="preserve">20.57</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D7</w:t>
            </w:r>
          </w:p>
        </w:tc>
        <w:tc>
          <w:tcPr>
            <w:tcW w:type="dxa" w:w="3118"/>
          </w:tcPr>
          <w:p>
            <w:pPr>
              <w:jc w:val="center"/>
            </w:pPr>
            <w:r>
              <w:rPr>
                <w:rFonts w:ascii="Times New Roman" w:hAnsi="Times New Roman" w:cs="Times New Roman"/>
                <w:sz w:val="18"/>
                <w:b w:val="0"/>
                <w:i w:val="0"/>
              </w:rPr>
              <w:t>FTO/PCBM/RbGeI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30.07</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85.01</w:t>
            </w:r>
          </w:p>
        </w:tc>
        <w:tc>
          <w:tcPr>
            <w:tcW w:type="dxa" w:w="850"/>
          </w:tcPr>
          <w:p>
            <w:pPr>
              <w:jc w:val="center"/>
            </w:pPr>
            <w:r>
              <w:rPr>
                <w:rFonts w:ascii="Times New Roman" w:hAnsi="Times New Roman" w:cs="Times New Roman"/>
                <w:b w:val="0"/>
                <w:i w:val="0"/>
                <w:sz w:val="18"/>
              </w:rPr>
              <w:t xml:space="preserve">20.71</w:t>
            </w:r>
          </w:p>
        </w:tc>
      </w:tr>
      <w:tr>
        <w:trPr>
          <w:cantSplit w:val="true"/>
        </w:trPr>
        <w:tc>
          <w:tcPr>
            <w:tcW w:type="dxa" w:w="737"/>
          </w:tcPr>
          <w:p>
            <w:pPr>
              <w:jc w:val="left"/>
            </w:pPr>
            <w:r>
              <w:rPr>
                <w:rFonts w:ascii="Times New Roman" w:hAnsi="Times New Roman" w:cs="Times New Roman"/>
                <w:b w:val="0"/>
                <w:i w:val="0"/>
                <w:sz w:val="18"/>
              </w:rPr>
            </w:r>
            <w:r>
              <w:rPr>
                <w:rFonts w:ascii="Times New Roman" w:hAnsi="Times New Roman" w:cs="Times New Roman"/>
                <w:b w:val="0"/>
                <w:i w:val="0"/>
                <w:sz w:val="18"/>
              </w:rPr>
              <w:t>D8</w:t>
            </w:r>
          </w:p>
        </w:tc>
        <w:tc>
          <w:tcPr>
            <w:tcW w:type="dxa" w:w="3118"/>
          </w:tcPr>
          <w:p>
            <w:pPr>
              <w:jc w:val="center"/>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0.82</w:t>
            </w:r>
          </w:p>
        </w:tc>
        <w:tc>
          <w:tcPr>
            <w:tcW w:type="dxa" w:w="1417"/>
          </w:tcPr>
          <w:p>
            <w:pPr>
              <w:jc w:val="center"/>
            </w:pPr>
            <w:r>
              <w:rPr>
                <w:rFonts w:ascii="Times New Roman" w:hAnsi="Times New Roman" w:cs="Times New Roman"/>
                <w:b w:val="0"/>
                <w:i w:val="0"/>
                <w:sz w:val="18"/>
              </w:rPr>
            </w:r>
            <w:r>
              <w:rPr>
                <w:rFonts w:ascii="Times New Roman" w:hAnsi="Times New Roman" w:cs="Times New Roman"/>
                <w:b w:val="0"/>
                <w:i w:val="0"/>
                <w:sz w:val="18"/>
              </w:rPr>
              <w:t>30.46</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83.95</w:t>
            </w:r>
          </w:p>
        </w:tc>
        <w:tc>
          <w:tcPr>
            <w:tcW w:type="dxa" w:w="850"/>
          </w:tcPr>
          <w:p>
            <w:pPr>
              <w:jc w:val="center"/>
            </w:pPr>
            <w:r>
              <w:rPr>
                <w:rFonts w:ascii="Times New Roman" w:hAnsi="Times New Roman" w:cs="Times New Roman"/>
                <w:b w:val="0"/>
                <w:i w:val="0"/>
                <w:sz w:val="18"/>
              </w:rPr>
              <w:t xml:space="preserve">20.97</w:t>
            </w:r>
          </w:p>
        </w:tc>
      </w:tr>
    </w:tbl>
    <w:p>
      <w:pPr>
        <w:spacing w:line="360" w:lineRule="auto" w:before="120" w:after="120"/>
        <w:ind w:firstLine="283"/>
        <w:jc w:val="both"/>
      </w:pPr>
      <w:r>
        <w:rPr>
          <w:rFonts w:ascii="Times New Roman" w:hAnsi="Times New Roman"/>
          <w:b w:val="0"/>
          <w:i w:val="0"/>
          <w:sz w:val="24"/>
        </w:rPr>
        <w:t>Although D4 does not exhibit the highest FF among the eight configurations (D7 with Spiro-OMeTAD achieves FF = 85.01%) and does not exhibit the highest PCE (D2 achieves 21.10%), the TiO</w:t>
      </w:r>
      <w:r>
        <w:rPr>
          <w:rFonts w:ascii="Times New Roman" w:hAnsi="Times New Roman"/>
          <w:b w:val="0"/>
          <w:i w:val="0"/>
          <w:sz w:val="24"/>
          <w:vertAlign w:val="subscript"/>
        </w:rPr>
        <w:t>2</w:t>
      </w:r>
      <w:r>
        <w:rPr>
          <w:rFonts w:ascii="Times New Roman" w:hAnsi="Times New Roman"/>
          <w:b w:val="0"/>
          <w:i w:val="0"/>
          <w:sz w:val="24"/>
        </w:rPr>
        <w:t>/CuI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120" w:after="4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b w:val="0"/>
          <w:i w:val="0"/>
          <w:sz w:val="24"/>
        </w:rPr>
        <w:t xml:space="preserve">Absorber thickness determines how much incident light is captured and how many carriers are generated. Thicker layers absorb more photons and raise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but beyond a point recombination offsets the gain.</w:t>
      </w:r>
    </w:p>
    <w:p>
      <w:pPr>
        <w:spacing w:line="360" w:lineRule="auto" w:before="120" w:after="120"/>
        <w:ind w:firstLine="283"/>
        <w:jc w:val="both"/>
      </w:pPr>
      <w:r>
        <w:rPr>
          <w:rFonts w:ascii="Times New Roman" w:hAnsi="Times New Roman"/>
          <w:b w:val="0"/>
          <w:i w:val="0"/>
          <w:sz w:val="24"/>
        </w:rPr>
        <w:t>PCE increases with absorber thickness up to 0.7 µm (20.70%), beyond which it decreases slightly due to increased recombination. J</w:t>
      </w:r>
      <w:r>
        <w:rPr>
          <w:rFonts w:ascii="Times New Roman" w:hAnsi="Times New Roman"/>
          <w:b w:val="0"/>
          <w:i w:val="0"/>
          <w:sz w:val="24"/>
          <w:vertAlign w:val="subscript"/>
        </w:rPr>
        <w:t>SC</w:t>
      </w:r>
      <w:r>
        <w:rPr>
          <w:rFonts w:ascii="Times New Roman" w:hAnsi="Times New Roman"/>
          <w:b w:val="0"/>
          <w:i w:val="0"/>
          <w:sz w:val="24"/>
        </w:rPr>
        <w:t xml:space="preserve"> increases monotonically (28.14 to 34.11 mA/cm²) while V</w:t>
      </w:r>
      <w:r>
        <w:rPr>
          <w:rFonts w:ascii="Times New Roman" w:hAnsi="Times New Roman"/>
          <w:b w:val="0"/>
          <w:i w:val="0"/>
          <w:sz w:val="24"/>
          <w:vertAlign w:val="subscript"/>
        </w:rPr>
        <w:t>OC</w:t>
      </w:r>
      <w:r>
        <w:rPr>
          <w:rFonts w:ascii="Times New Roman" w:hAnsi="Times New Roman"/>
          <w:b w:val="0"/>
          <w:i w:val="0"/>
          <w:sz w:val="24"/>
        </w:rPr>
        <w:t xml:space="preserve"> decreases gradually (0.823 to 0.767 V). The absorber is kept at 0.7 µm, where the PCE peak sits.</w:t>
      </w:r>
    </w:p>
    <w:p>
      <w:pPr>
        <w:keepNext/>
        <w:keepLines/>
        <w:spacing w:before="120" w:after="40"/>
        <w:jc w:val="center"/>
      </w:pPr>
      <w:r>
        <w:drawing>
          <wp:inline xmlns:a="http://schemas.openxmlformats.org/drawingml/2006/main" xmlns:pic="http://schemas.openxmlformats.org/drawingml/2006/picture">
            <wp:extent cx="4680000" cy="2861040"/>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3.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thickness. PCE peaks at 0.7 µm, beyond which recombination losses reduce efficiency.</w:t>
      </w:r>
    </w:p>
    <w:p>
      <w:pPr>
        <w:pStyle w:val="Heading2"/>
        <w:keepNext/>
        <w:spacing w:before="120" w:after="4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b w:val="0"/>
          <w:i w:val="0"/>
          <w:sz w:val="24"/>
        </w:rPr>
        <w:t>Bulk defects act as Shockley–Read–Hall (SRH) recombination centers, shortening carrier lifetime and reducing collection efficiency. The RbGeI</w:t>
      </w:r>
      <w:r>
        <w:rPr>
          <w:rFonts w:ascii="Times New Roman" w:hAnsi="Times New Roman"/>
          <w:b w:val="0"/>
          <w:i w:val="0"/>
          <w:sz w:val="24"/>
          <w:vertAlign w:val="subscript"/>
        </w:rPr>
        <w:t>3</w:t>
      </w:r>
      <w:r>
        <w:rPr>
          <w:rFonts w:ascii="Times New Roman" w:hAnsi="Times New Roman"/>
          <w:b w:val="0"/>
          <w:i w:val="0"/>
          <w:sz w:val="24"/>
        </w:rPr>
        <w:t xml:space="preserve"> defect density was varied from 10¹² to 10¹⁸ cm⁻³ while all other parameters were held constant.</w:t>
      </w:r>
    </w:p>
    <w:p>
      <w:pPr>
        <w:spacing w:line="360" w:lineRule="auto" w:before="120" w:after="120"/>
        <w:ind w:firstLine="283"/>
        <w:jc w:val="both"/>
      </w:pPr>
      <w:r>
        <w:rPr>
          <w:rFonts w:ascii="Times New Roman" w:hAnsi="Times New Roman"/>
          <w:b w:val="0"/>
          <w:i w:val="0"/>
          <w:sz w:val="24"/>
        </w:rPr>
        <w:t xml:space="preserve">Above 10¹⁴ cm⁻³, PCE drops from 20.40% to 7.58% as the defect density increases to 10¹⁸ cm⁻³, driven by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reduction (0.848 to 0.550 V), while below 10¹⁴ cm⁻³ the device is insensitive. The sweep therefore settles at 10¹⁴ cm⁻³, the bulk defect density commonly assumed for lead-free perovskite absorbers in SCAPS studies.</w:t>
      </w:r>
    </w:p>
    <w:p>
      <w:pPr>
        <w:keepNext/>
        <w:keepLines/>
        <w:spacing w:before="120" w:after="4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4.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defect density. Performance degrades sharply above 10¹⁴ cm⁻³.</w:t>
      </w:r>
    </w:p>
    <w:p>
      <w:pPr>
        <w:pStyle w:val="Heading2"/>
        <w:keepNext/>
        <w:spacing w:before="120" w:after="4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b w:val="0"/>
          <w:i w:val="0"/>
          <w:sz w:val="24"/>
        </w:rPr>
        <w:t>The dielectric constant was varied from 15 to 23.1. PCE decreased marginally from 19.92% at ε</w:t>
      </w:r>
      <w:r>
        <w:rPr>
          <w:rFonts w:ascii="Times New Roman" w:hAnsi="Times New Roman"/>
          <w:b w:val="0"/>
          <w:i w:val="0"/>
          <w:sz w:val="24"/>
          <w:vertAlign w:val="subscript"/>
        </w:rPr>
        <w:t>r</w:t>
      </w:r>
      <w:r>
        <w:rPr>
          <w:rFonts w:ascii="Times New Roman" w:hAnsi="Times New Roman"/>
          <w:b w:val="0"/>
          <w:i w:val="0"/>
          <w:sz w:val="24"/>
        </w:rPr>
        <w:t xml:space="preserve"> = 15 to 19.79% at ε</w:t>
      </w:r>
      <w:r>
        <w:rPr>
          <w:rFonts w:ascii="Times New Roman" w:hAnsi="Times New Roman"/>
          <w:b w:val="0"/>
          <w:i w:val="0"/>
          <w:sz w:val="24"/>
          <w:vertAlign w:val="subscript"/>
        </w:rPr>
        <w:t>r</w:t>
      </w:r>
      <w:r>
        <w:rPr>
          <w:rFonts w:ascii="Times New Roman" w:hAnsi="Times New Roman"/>
          <w:b w:val="0"/>
          <w:i w:val="0"/>
          <w:sz w:val="24"/>
        </w:rPr>
        <w:t xml:space="preserve"> = 23.1, driven by a small reduction in V</w:t>
      </w:r>
      <w:r>
        <w:rPr>
          <w:rFonts w:ascii="Times New Roman" w:hAnsi="Times New Roman"/>
          <w:b w:val="0"/>
          <w:i w:val="0"/>
          <w:sz w:val="24"/>
          <w:vertAlign w:val="subscript"/>
        </w:rPr>
        <w:t>OC</w:t>
      </w:r>
      <w:r>
        <w:rPr>
          <w:rFonts w:ascii="Times New Roman" w:hAnsi="Times New Roman"/>
          <w:b w:val="0"/>
          <w:i w:val="0"/>
          <w:sz w:val="24"/>
        </w:rPr>
        <w:t xml:space="preserve"> (0.819 to 0.812 V), while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and FF remained practically unchanged, so the low value of 15 is kept.</w:t>
      </w:r>
      <w:r>
        <w:rPr>
          <w:rFonts w:ascii="Times New Roman" w:hAnsi="Times New Roman"/>
          <w:b w:val="0"/>
          <w:i w:val="0"/>
          <w:sz w:val="24"/>
          <w:vertAlign w:val="subscript"/>
        </w:rPr>
      </w:r>
      <w:r>
        <w:rPr>
          <w:rFonts w:ascii="Times New Roman" w:hAnsi="Times New Roman"/>
          <w:b w:val="0"/>
          <w:i w:val="0"/>
          <w:sz w:val="24"/>
        </w:rPr>
      </w:r>
    </w:p>
    <w:p>
      <w:pPr>
        <w:keepNext/>
        <w:keepLines/>
        <w:jc w:val="center"/>
      </w:pPr>
      <w:r/>
      <w:r>
        <w:drawing>
          <wp:inline xmlns:a="http://schemas.openxmlformats.org/drawingml/2006/main" xmlns:pic="http://schemas.openxmlformats.org/drawingml/2006/picture">
            <wp:extent cx="4457700" cy="2725141"/>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457700" cy="2940562"/>
                    </a:xfrm>
                    <a:prstGeom prst="rect"/>
                  </pic:spPr>
                </pic:pic>
              </a:graphicData>
            </a:graphic>
          </wp:inline>
        </w:drawing>
      </w:r>
    </w:p>
    <w:p>
      <w:pPr>
        <w:jc w:val="center"/>
      </w:pPr>
      <w:r>
        <w:rPr>
          <w:sz w:val="20"/>
        </w:rPr>
        <w:t>Fig. 5.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 xml:space="preserve"> absorber dielectric constant. The performance is essentially insensitive to ε</w:t>
      </w:r>
      <w:r>
        <w:rPr>
          <w:sz w:val="20"/>
          <w:vertAlign w:val="subscript"/>
        </w:rPr>
        <w:t>r</w:t>
      </w:r>
      <w:r>
        <w:rPr>
          <w:sz w:val="20"/>
        </w:rPr>
        <w:t xml:space="preserve"> across the investigated range; ε</w:t>
      </w:r>
      <w:r>
        <w:rPr>
          <w:sz w:val="20"/>
          <w:vertAlign w:val="subscript"/>
        </w:rPr>
        <w:t>r</w:t>
      </w:r>
      <w:r>
        <w:rPr>
          <w:sz w:val="20"/>
        </w:rPr>
        <w:t xml:space="preserve"> = 15 is retained.</w:t>
      </w:r>
    </w:p>
    <w:p>
      <w:pPr>
        <w:pStyle w:val="Heading2"/>
        <w:keepNext/>
        <w:spacing w:before="120" w:after="4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Electron affinity governs the energy-band alignment between adjacent layers and therefore controls charge-carrier extraction. It was varied from 3.9 to 4.2 eV with all other parameters held constant.</w:t>
      </w:r>
    </w:p>
    <w:p>
      <w:pPr>
        <w:spacing w:line="360" w:lineRule="auto" w:before="120" w:after="120"/>
        <w:ind w:firstLine="283"/>
        <w:jc w:val="both"/>
      </w:pPr>
      <w:r>
        <w:rPr>
          <w:rFonts w:ascii="Times New Roman" w:hAnsi="Times New Roman"/>
          <w:b w:val="0"/>
          <w:i w:val="0"/>
          <w:sz w:val="24"/>
        </w:rPr>
        <w:t>The highest PCE of 19.79% is achieved at χ = 3.9 eV. V</w:t>
      </w:r>
      <w:r>
        <w:rPr>
          <w:rFonts w:ascii="Times New Roman" w:hAnsi="Times New Roman"/>
          <w:b w:val="0"/>
          <w:i w:val="0"/>
          <w:sz w:val="24"/>
          <w:vertAlign w:val="subscript"/>
        </w:rPr>
        <w:t>OC</w:t>
      </w:r>
      <w:r>
        <w:rPr>
          <w:rFonts w:ascii="Times New Roman" w:hAnsi="Times New Roman"/>
          <w:b w:val="0"/>
          <w:i w:val="0"/>
          <w:sz w:val="24"/>
        </w:rPr>
        <w:t xml:space="preserve"> drops from 0.812 to 0.710 V as χ increases to 4.2 eV, while J</w:t>
      </w:r>
      <w:r>
        <w:rPr>
          <w:rFonts w:ascii="Times New Roman" w:hAnsi="Times New Roman"/>
          <w:b w:val="0"/>
          <w:i w:val="0"/>
          <w:sz w:val="24"/>
          <w:vertAlign w:val="subscript"/>
        </w:rPr>
        <w:t>SC</w:t>
      </w:r>
      <w:r>
        <w:rPr>
          <w:rFonts w:ascii="Times New Roman" w:hAnsi="Times New Roman"/>
          <w:b w:val="0"/>
          <w:i w:val="0"/>
          <w:sz w:val="24"/>
        </w:rPr>
        <w:t xml:space="preserve"> remains constant. χ = 3.9 eV is retained, since raising it costs more in V</w:t>
      </w:r>
      <w:r>
        <w:rPr>
          <w:rFonts w:ascii="Times New Roman" w:hAnsi="Times New Roman"/>
          <w:b w:val="0"/>
          <w:i w:val="0"/>
          <w:sz w:val="24"/>
          <w:vertAlign w:val="subscript"/>
        </w:rPr>
        <w:t>OC</w:t>
      </w:r>
      <w:r>
        <w:rPr>
          <w:rFonts w:ascii="Times New Roman" w:hAnsi="Times New Roman"/>
          <w:b w:val="0"/>
          <w:i w:val="0"/>
          <w:sz w:val="24"/>
        </w:rPr>
        <w:t xml:space="preserve"> than the FF gain recovers.</w:t>
      </w:r>
    </w:p>
    <w:p>
      <w:pPr>
        <w:keepNext/>
        <w:keepLines/>
        <w:spacing w:before="120" w:after="40"/>
        <w:jc w:val="center"/>
      </w:pPr>
      <w:r>
        <w:drawing>
          <wp:inline xmlns:a="http://schemas.openxmlformats.org/drawingml/2006/main" xmlns:pic="http://schemas.openxmlformats.org/drawingml/2006/picture">
            <wp:extent cx="4680000" cy="2861040"/>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6.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electron affinity. PCE is highest at χ = 3.9 eV due to optimal band alignment with TiO</w:t>
      </w:r>
      <w:r>
        <w:rPr>
          <w:rFonts w:ascii="Times New Roman" w:hAnsi="Times New Roman"/>
          <w:b w:val="0"/>
          <w:i/>
          <w:sz w:val="20"/>
          <w:vertAlign w:val="subscript"/>
        </w:rPr>
        <w:t>2</w:t>
      </w:r>
      <w:r>
        <w:rPr>
          <w:rFonts w:ascii="Times New Roman" w:hAnsi="Times New Roman"/>
          <w:b w:val="0"/>
          <w:i/>
          <w:sz w:val="20"/>
        </w:rPr>
        <w:t>.</w:t>
      </w:r>
    </w:p>
    <w:p>
      <w:pPr>
        <w:pStyle w:val="Heading2"/>
        <w:keepNext/>
        <w:spacing w:before="120" w:after="40" w:line="360" w:lineRule="auto"/>
      </w:pPr>
      <w:r>
        <w:rPr>
          <w:rFonts w:ascii="Times New Roman" w:hAnsi="Times New Roman"/>
          <w:b/>
          <w:i/>
          <w:sz w:val="24"/>
        </w:rPr>
        <w:t>F. Effect of TiO</w:t>
      </w:r>
      <w:r>
        <w:rPr>
          <w:rFonts w:ascii="Times New Roman" w:hAnsi="Times New Roman"/>
          <w:b/>
          <w:i/>
          <w:sz w:val="24"/>
          <w:vertAlign w:val="subscript"/>
        </w:rPr>
        <w:t>2</w:t>
      </w:r>
      <w:r>
        <w:rPr>
          <w:rFonts w:ascii="Times New Roman" w:hAnsi="Times New Roman"/>
          <w:b/>
          <w:i/>
          <w:sz w:val="24"/>
        </w:rPr>
        <w:t>/RbGeI</w:t>
      </w:r>
      <w:r>
        <w:rPr>
          <w:rFonts w:ascii="Times New Roman" w:hAnsi="Times New Roman"/>
          <w:b/>
          <w:i/>
          <w:sz w:val="24"/>
          <w:vertAlign w:val="subscript"/>
        </w:rPr>
        <w:t>3</w:t>
      </w:r>
      <w:r>
        <w:rPr>
          <w:rFonts w:ascii="Times New Roman" w:hAnsi="Times New Roman"/>
          <w:b/>
          <w:i/>
          <w:sz w:val="24"/>
        </w:rPr>
        <w:t xml:space="preserve"> interfacial defect density</w:t>
      </w:r>
    </w:p>
    <w:p>
      <w:pPr>
        <w:spacing w:line="360" w:lineRule="auto" w:before="120" w:after="120"/>
        <w:ind w:firstLine="283"/>
        <w:jc w:val="both"/>
      </w:pPr>
      <w:r>
        <w:rPr>
          <w:rFonts w:ascii="Times New Roman" w:hAnsi="Times New Roman"/>
          <w:b w:val="0"/>
          <w:i w:val="0"/>
          <w:sz w:val="24"/>
        </w:rPr>
        <w:t>The defect density at the absorber/ETL interface is an important factor affecting charge-carrier transport and recombination in perovskite solar cells. To investigate its impact,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interfacial defect density was varied from 10¹² cm⁻² to 10¹⁸ cm⁻² while keeping all other parameters constant. The corresponding photovoltaic parameters are presented in Figure 7. Device performance falls sharply with increasing interfacial defect density: PCE drops from 21.04% at 10¹² cm⁻² to 8.40% at 10¹⁸ cm⁻², V</w:t>
      </w:r>
      <w:r>
        <w:rPr>
          <w:rFonts w:ascii="Times New Roman" w:hAnsi="Times New Roman"/>
          <w:b w:val="0"/>
          <w:i w:val="0"/>
          <w:sz w:val="24"/>
          <w:vertAlign w:val="subscript"/>
        </w:rPr>
        <w:t>OC</w:t>
      </w:r>
      <w:r>
        <w:rPr>
          <w:rFonts w:ascii="Times New Roman" w:hAnsi="Times New Roman"/>
          <w:b w:val="0"/>
          <w:i w:val="0"/>
          <w:sz w:val="24"/>
        </w:rPr>
        <w:t xml:space="preserve"> drops from 0.827 V to 0.439 V, J</w:t>
      </w:r>
      <w:r>
        <w:rPr>
          <w:rFonts w:ascii="Times New Roman" w:hAnsi="Times New Roman"/>
          <w:b w:val="0"/>
          <w:i w:val="0"/>
          <w:sz w:val="24"/>
          <w:vertAlign w:val="subscript"/>
        </w:rPr>
        <w:t>SC</w:t>
      </w:r>
      <w:r>
        <w:rPr>
          <w:rFonts w:ascii="Times New Roman" w:hAnsi="Times New Roman"/>
          <w:b w:val="0"/>
          <w:i w:val="0"/>
          <w:sz w:val="24"/>
        </w:rPr>
        <w:t xml:space="preserve"> decreases from 30.46 to 28.09 mA/cm², and FF reduces from 83.52% to 68.11%.</w:t>
      </w:r>
    </w:p>
    <w:p>
      <w:pPr>
        <w:spacing w:line="360" w:lineRule="auto" w:before="120" w:after="120"/>
        <w:ind w:firstLine="283"/>
        <w:jc w:val="both"/>
      </w:pPr>
      <w:r>
        <w:rPr>
          <w:rFonts w:ascii="Times New Roman" w:hAnsi="Times New Roman"/>
          <w:b w:val="0"/>
          <w:i w:val="0"/>
          <w:sz w:val="24"/>
        </w:rPr>
        <w:t xml:space="preserve">The degradation is SRH recombination at the heterojunction: more defect states capture photogenerated carriers before they reach the electrodes, and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and FF fall together. Although 10¹² cm⁻² yields the best performance, the final device targets 10¹⁴ cm⁻², a realistic fabrication goal, since achieving interface defect densities below 10¹⁴ cm⁻² consistently in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 The 10¹⁴ cm⁻² target also matches the interfacial defect density assumed in comparable SCAPS studies of lead-free perovskites.</w:t>
      </w:r>
    </w:p>
    <w:p>
      <w:pPr>
        <w:keepNext/>
        <w:keepLines/>
        <w:spacing w:before="120" w:after="40"/>
        <w:jc w:val="center"/>
      </w:pPr>
      <w:r>
        <w:drawing>
          <wp:inline xmlns:a="http://schemas.openxmlformats.org/drawingml/2006/main" xmlns:pic="http://schemas.openxmlformats.org/drawingml/2006/picture">
            <wp:extent cx="4680000" cy="2861994"/>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 xml:space="preserve">Fig. 7. Variation of PCE, </w:t>
      </w:r>
      <w:r>
        <w:rPr>
          <w:rFonts w:ascii="Times New Roman" w:hAnsi="Times New Roman"/>
          <w:b w:val="0"/>
          <w:i/>
          <w:sz w:val="20"/>
        </w:rPr>
        <w:t xml:space="preserve">V</w:t>
      </w:r>
      <w:r>
        <w:rPr>
          <w:rFonts w:ascii="Times New Roman" w:hAnsi="Times New Roman"/>
          <w:b w:val="0"/>
          <w:i/>
          <w:sz w:val="20"/>
          <w:vertAlign w:val="subscript"/>
        </w:rPr>
        <w:t xml:space="preserve">OC</w:t>
      </w:r>
      <w:r>
        <w:rPr>
          <w:rFonts w:ascii="Times New Roman" w:hAnsi="Times New Roman"/>
          <w:b w:val="0"/>
          <w:i/>
          <w:sz w:val="20"/>
        </w:rPr>
        <w:t xml:space="preserve">, </w:t>
      </w:r>
      <w:r>
        <w:rPr>
          <w:rFonts w:ascii="Times New Roman" w:hAnsi="Times New Roman"/>
          <w:b w:val="0"/>
          <w:i/>
          <w:sz w:val="20"/>
        </w:rPr>
        <w:t xml:space="preserve">J</w:t>
      </w:r>
      <w:r>
        <w:rPr>
          <w:rFonts w:ascii="Times New Roman" w:hAnsi="Times New Roman"/>
          <w:b w:val="0"/>
          <w:i/>
          <w:sz w:val="20"/>
          <w:vertAlign w:val="subscript"/>
        </w:rPr>
        <w:t xml:space="preserve">SC</w:t>
      </w:r>
      <w:r>
        <w:rPr>
          <w:rFonts w:ascii="Times New Roman" w:hAnsi="Times New Roman"/>
          <w:b w:val="0"/>
          <w:i/>
          <w:sz w:val="20"/>
        </w:rPr>
        <w:t xml:space="preserve">, and FF with </w:t>
      </w:r>
      <w:r>
        <w:rPr>
          <w:rFonts w:ascii="Times New Roman" w:hAnsi="Times New Roman"/>
          <w:b w:val="0"/>
          <w:i/>
          <w:sz w:val="20"/>
        </w:rPr>
        <w:t xml:space="preserve">TiO</w:t>
      </w:r>
      <w:r>
        <w:rPr>
          <w:rFonts w:ascii="Times New Roman" w:hAnsi="Times New Roman"/>
          <w:b w:val="0"/>
          <w:i/>
          <w:sz w:val="20"/>
          <w:vertAlign w:val="subscript"/>
        </w:rPr>
        <w:t xml:space="preserve">2</w:t>
      </w:r>
      <w:r>
        <w:rPr>
          <w:rFonts w:ascii="Times New Roman" w:hAnsi="Times New Roman"/>
          <w:b w:val="0"/>
          <w:i/>
          <w:sz w:val="20"/>
        </w:rPr>
        <w:t xml:space="preserve">/</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 interfacial defect density. Performance degrades sharply above 10¹⁴ cm⁻²; the </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/CuI interface (Section V.G) is markedly more defect-tolerant.</w:t>
      </w:r>
    </w:p>
    <w:p>
      <w:pPr>
        <w:pStyle w:val="Heading2"/>
        <w:keepNext/>
        <w:spacing w:before="120" w:after="40" w:line="360" w:lineRule="auto"/>
      </w:pPr>
      <w:r>
        <w:rPr>
          <w:rFonts w:ascii="Times New Roman" w:hAnsi="Times New Roman"/>
          <w:b/>
          <w:i/>
          <w:sz w:val="24"/>
        </w:rPr>
        <w:t>G. Effect of RbGeI</w:t>
      </w:r>
      <w:r>
        <w:rPr>
          <w:rFonts w:ascii="Times New Roman" w:hAnsi="Times New Roman"/>
          <w:b/>
          <w:i/>
          <w:sz w:val="24"/>
          <w:vertAlign w:val="subscript"/>
        </w:rPr>
        <w:t>3</w:t>
      </w:r>
      <w:r>
        <w:rPr>
          <w:rFonts w:ascii="Times New Roman" w:hAnsi="Times New Roman"/>
          <w:b/>
          <w:i/>
          <w:sz w:val="24"/>
        </w:rPr>
        <w:t>/CuI interfacial defect density</w:t>
      </w:r>
    </w:p>
    <w:p>
      <w:pPr>
        <w:spacing w:line="360" w:lineRule="auto" w:before="120" w:after="120"/>
        <w:ind w:firstLine="283"/>
        <w:jc w:val="both"/>
      </w:pPr>
      <w:r>
        <w:rPr>
          <w:rFonts w:ascii="Times New Roman" w:hAnsi="Times New Roman"/>
          <w:b w:val="0"/>
          <w:i w:val="0"/>
          <w:sz w:val="24"/>
        </w:rPr>
        <w:t>The defect density at the RbGeI</w:t>
      </w:r>
      <w:r>
        <w:rPr>
          <w:rFonts w:ascii="Times New Roman" w:hAnsi="Times New Roman"/>
          <w:b w:val="0"/>
          <w:i w:val="0"/>
          <w:sz w:val="24"/>
          <w:vertAlign w:val="subscript"/>
        </w:rPr>
        <w:t>3</w:t>
      </w:r>
      <w:r>
        <w:rPr>
          <w:rFonts w:ascii="Times New Roman" w:hAnsi="Times New Roman"/>
          <w:b w:val="0"/>
          <w:i w:val="0"/>
          <w:sz w:val="24"/>
        </w:rPr>
        <w:t>/CuI heterojunction was varied from 10¹² to 10¹⁸ cm⁻² while all other parameters were held constant. In contrast to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vertAlign w:val="subscript"/>
        </w:rPr>
      </w:r>
      <w:r>
        <w:rPr>
          <w:rFonts w:ascii="Times New Roman" w:hAnsi="Times New Roman"/>
          <w:b w:val="0"/>
          <w:i w:val="0"/>
          <w:sz w:val="24"/>
        </w:rPr>
        <w:t>: PCE decreased only from 19.79% to 18.19% as the interfacial defect density increased from 10¹² to 10¹⁸ cm⁻². This confirms that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interface is the performance-limiting heterojunction in this device. The final device uses 10¹⁴ cm⁻² here as well, matching the value set at the 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 xml:space="preserve"> interface (Section V.F).</w:t>
      </w:r>
      <w:r>
        <w:rPr>
          <w:rFonts w:ascii="Times New Roman" w:hAnsi="Times New Roman"/>
          <w:b w:val="0"/>
          <w:i w:val="0"/>
          <w:sz w:val="24"/>
        </w:rPr>
        <w:t xml:space="preserve"> interface,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 interface is far more defect-tolerant</w:t>
      </w:r>
    </w:p>
    <w:p>
      <w:pPr>
        <w:keepNext/>
        <w:keepLines/>
        <w:jc w:val="center"/>
      </w:pPr>
      <w:r/>
      <w:r>
        <w:drawing>
          <wp:inline xmlns:a="http://schemas.openxmlformats.org/drawingml/2006/main" xmlns:pic="http://schemas.openxmlformats.org/drawingml/2006/picture">
            <wp:extent cx="4457700" cy="2725141"/>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57700" cy="2940562"/>
                    </a:xfrm>
                    <a:prstGeom prst="rect"/>
                  </pic:spPr>
                </pic:pic>
              </a:graphicData>
            </a:graphic>
          </wp:inline>
        </w:drawing>
      </w:r>
    </w:p>
    <w:p>
      <w:pPr>
        <w:jc w:val="center"/>
      </w:pPr>
      <w:r>
        <w:rPr>
          <w:sz w:val="20"/>
        </w:rPr>
        <w:t>Fig. 8. Variation of PCE, V</w:t>
      </w:r>
      <w:r>
        <w:rPr>
          <w:sz w:val="20"/>
          <w:vertAlign w:val="subscript"/>
        </w:rPr>
        <w:t>OC</w:t>
      </w:r>
      <w:r>
        <w:rPr>
          <w:sz w:val="20"/>
        </w:rPr>
        <w:t>, J</w:t>
      </w:r>
      <w:r>
        <w:rPr>
          <w:sz w:val="20"/>
          <w:vertAlign w:val="subscript"/>
        </w:rPr>
        <w:t>SC</w:t>
      </w:r>
      <w:r>
        <w:rPr>
          <w:sz w:val="20"/>
        </w:rPr>
        <w:t>, and FF with RbGeI</w:t>
      </w:r>
      <w:r>
        <w:rPr>
          <w:sz w:val="20"/>
          <w:vertAlign w:val="subscript"/>
        </w:rPr>
        <w:t>3</w:t>
      </w:r>
      <w:r>
        <w:rPr>
          <w:sz w:val="20"/>
        </w:rPr>
        <w:t>/CuI interfacial defect density. The interface is markedly more defect-tolerant than the TiO</w:t>
      </w:r>
      <w:r>
        <w:rPr>
          <w:sz w:val="20"/>
          <w:vertAlign w:val="subscript"/>
        </w:rPr>
        <w:t>2</w:t>
      </w:r>
      <w:r>
        <w:rPr>
          <w:sz w:val="20"/>
        </w:rPr>
        <w:t>/RbGeI</w:t>
      </w:r>
      <w:r>
        <w:rPr>
          <w:sz w:val="20"/>
          <w:vertAlign w:val="subscript"/>
        </w:rPr>
        <w:t>3</w:t>
      </w:r>
      <w:r>
        <w:rPr>
          <w:sz w:val="20"/>
        </w:rPr>
        <w:t xml:space="preserve"> interface; 10¹⁴ cm⁻² is retained.</w:t>
      </w:r>
    </w:p>
    <w:p>
      <w:pPr>
        <w:pStyle w:val="Heading2"/>
        <w:keepNext/>
        <w:spacing w:before="120" w:after="4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b w:val="0"/>
          <w:i w:val="0"/>
          <w:sz w:val="24"/>
        </w:rPr>
        <w:t>The absorber bandgap determines which wavelengths of sunlight are absorbed. It was varied from 1.3 to 1.7 eV with all other parameters held constant. V</w:t>
      </w:r>
      <w:r>
        <w:rPr>
          <w:rFonts w:ascii="Times New Roman" w:hAnsi="Times New Roman"/>
          <w:b w:val="0"/>
          <w:i w:val="0"/>
          <w:sz w:val="24"/>
          <w:vertAlign w:val="subscript"/>
        </w:rPr>
        <w:t>o</w:t>
      </w:r>
      <w:r>
        <w:rPr>
          <w:rFonts w:ascii="Times New Roman" w:hAnsi="Times New Roman"/>
          <w:b w:val="0"/>
          <w:i w:val="0"/>
          <w:sz w:val="24"/>
        </w:rPr>
        <w:t>c rose from 0.840 V at 1.3 eV to 1.002 V at 1.7 eV, as expected from increased quasi-Fermi-level splitting, while J</w:t>
      </w:r>
      <w:r>
        <w:rPr>
          <w:rFonts w:ascii="Times New Roman" w:hAnsi="Times New Roman"/>
          <w:b w:val="0"/>
          <w:i w:val="0"/>
          <w:sz w:val="24"/>
          <w:vertAlign w:val="subscript"/>
        </w:rPr>
        <w:t>s</w:t>
      </w:r>
      <w:r>
        <w:rPr>
          <w:rFonts w:ascii="Times New Roman" w:hAnsi="Times New Roman"/>
          <w:b w:val="0"/>
          <w:i w:val="0"/>
          <w:sz w:val="24"/>
        </w:rPr>
        <w:t>c dropped from 33.59 to 20.30 mA/cm² because the wider gap excludes more of the solar spectrum.</w:t>
      </w:r>
    </w:p>
    <w:p>
      <w:pPr>
        <w:spacing w:line="360" w:lineRule="auto" w:before="120" w:after="120"/>
        <w:ind w:firstLine="283"/>
        <w:jc w:val="both"/>
      </w:pPr>
      <w:r>
        <w:rPr>
          <w:rFonts w:ascii="Times New Roman" w:hAnsi="Times New Roman" w:cs="Times New Roman"/>
          <w:b w:val="0"/>
          <w:i w:val="0"/>
          <w:sz w:val="24"/>
        </w:rPr>
        <w:t xml:space="preserve">The maximum thus sits at 1.4 eV, within 0.06 eV of the Shockley–Queisser (SQ) optimum of ≈1.34 eV for a single junction [35,36,37], so 1.4 eV is kept; tabulated SQ limits imply an ideal </w:t>
      </w:r>
      <w:r>
        <w:rPr>
          <w:rFonts w:ascii="Times New Roman" w:hAnsi="Times New Roman" w:cs="Times New Roman"/>
          <w:b w:val="0"/>
          <w:i w:val="0"/>
          <w:sz w:val="24"/>
        </w:rPr>
        <w:t xml:space="preserve">J</w:t>
      </w:r>
      <w:r>
        <w:rPr>
          <w:rFonts w:ascii="Times New Roman" w:hAnsi="Times New Roman" w:cs="Times New Roman"/>
          <w:b w:val="0"/>
          <w:i w:val="0"/>
          <w:sz w:val="24"/>
          <w:vertAlign w:val="subscript"/>
        </w:rPr>
        <w:t xml:space="preserve">SC</w:t>
      </w:r>
      <w:r>
        <w:rPr>
          <w:rFonts w:ascii="Times New Roman" w:hAnsi="Times New Roman" w:cs="Times New Roman"/>
          <w:b w:val="0"/>
          <w:i w:val="0"/>
          <w:sz w:val="24"/>
        </w:rPr>
        <w:t xml:space="preserve"> of ≈29.0 mA/cm² and a maximum efficiency of ≈33% at this bandgap [36]. On both sides of the SQ optimum the limiting efficiency declines, steeply for wider bandgaps because fewer photons are absorbed [36,37]: a 2.0 eV absorber would shift its absorption edge to λc ≈ 620 nm and exclude most of the visible spectrum, and our sweep already shows </w:t>
      </w:r>
      <w:r>
        <w:rPr>
          <w:rFonts w:ascii="Times New Roman" w:hAnsi="Times New Roman" w:cs="Times New Roman"/>
          <w:b w:val="0"/>
          <w:i w:val="0"/>
          <w:sz w:val="24"/>
        </w:rPr>
        <w:t xml:space="preserve">J</w:t>
      </w:r>
      <w:r>
        <w:rPr>
          <w:rFonts w:ascii="Times New Roman" w:hAnsi="Times New Roman" w:cs="Times New Roman"/>
          <w:b w:val="0"/>
          <w:i w:val="0"/>
          <w:sz w:val="24"/>
          <w:vertAlign w:val="subscript"/>
        </w:rPr>
        <w:t xml:space="preserve">SC</w:t>
      </w:r>
      <w:r>
        <w:rPr>
          <w:rFonts w:ascii="Times New Roman" w:hAnsi="Times New Roman" w:cs="Times New Roman"/>
          <w:b w:val="0"/>
          <w:i w:val="0"/>
          <w:sz w:val="24"/>
        </w:rPr>
        <w:t xml:space="preserve"> falling to 20.30 mA/cm² at 1.7 eV, whereas at 1.3 eV the higher </w:t>
      </w:r>
      <w:r>
        <w:rPr>
          <w:rFonts w:ascii="Times New Roman" w:hAnsi="Times New Roman" w:cs="Times New Roman"/>
          <w:b w:val="0"/>
          <w:i w:val="0"/>
          <w:sz w:val="24"/>
        </w:rPr>
        <w:t xml:space="preserve">J</w:t>
      </w:r>
      <w:r>
        <w:rPr>
          <w:rFonts w:ascii="Times New Roman" w:hAnsi="Times New Roman" w:cs="Times New Roman"/>
          <w:b w:val="0"/>
          <w:i w:val="0"/>
          <w:sz w:val="24"/>
          <w:vertAlign w:val="subscript"/>
        </w:rPr>
        <w:t xml:space="preserve">SC</w:t>
      </w:r>
      <w:r>
        <w:rPr>
          <w:rFonts w:ascii="Times New Roman" w:hAnsi="Times New Roman" w:cs="Times New Roman"/>
          <w:b w:val="0"/>
          <w:i w:val="0"/>
          <w:sz w:val="24"/>
        </w:rPr>
        <w:t xml:space="preserve"> (33.59 mA/cm²) does not offset the </w:t>
      </w:r>
      <w:r>
        <w:rPr>
          <w:rFonts w:ascii="Times New Roman" w:hAnsi="Times New Roman" w:cs="Times New Roman"/>
          <w:b w:val="0"/>
          <w:i w:val="0"/>
          <w:sz w:val="24"/>
        </w:rPr>
        <w:t xml:space="preserve">V</w:t>
      </w:r>
      <w:r>
        <w:rPr>
          <w:rFonts w:ascii="Times New Roman" w:hAnsi="Times New Roman" w:cs="Times New Roman"/>
          <w:b w:val="0"/>
          <w:i w:val="0"/>
          <w:sz w:val="24"/>
          <w:vertAlign w:val="subscript"/>
        </w:rPr>
        <w:t xml:space="preserve">OC</w:t>
      </w:r>
      <w:r>
        <w:rPr>
          <w:rFonts w:ascii="Times New Roman" w:hAnsi="Times New Roman" w:cs="Times New Roman"/>
          <w:b w:val="0"/>
          <w:i w:val="0"/>
          <w:sz w:val="24"/>
        </w:rPr>
        <w:t xml:space="preserve"> loss (0.840 V). The corresponding cutoff wavelength is λc = 1240 / 1.4 ≈ 886 nm, consistent with the absorption edge observed in the quantum-efficiency spectrum of Section V.M. Note that the consolidated final device applies an absorption grading across the absorber layer (absorption cutoff graded from ≈885.7 nm at the front to ≈1033.3 nm at the back in seven linear steps): the electrical bandgap remains 1.4 eV, which sets </w:t>
      </w:r>
      <w:r>
        <w:rPr>
          <w:rFonts w:ascii="Times New Roman" w:hAnsi="Times New Roman" w:cs="Times New Roman"/>
          <w:b w:val="0"/>
          <w:i w:val="0"/>
          <w:sz w:val="24"/>
        </w:rPr>
        <w:t xml:space="preserve">V</w:t>
      </w:r>
      <w:r>
        <w:rPr>
          <w:rFonts w:ascii="Times New Roman" w:hAnsi="Times New Roman" w:cs="Times New Roman"/>
          <w:b w:val="0"/>
          <w:i w:val="0"/>
          <w:sz w:val="24"/>
          <w:vertAlign w:val="subscript"/>
        </w:rPr>
        <w:t xml:space="preserve">OC</w:t>
      </w:r>
      <w:r>
        <w:rPr>
          <w:rFonts w:ascii="Times New Roman" w:hAnsi="Times New Roman" w:cs="Times New Roman"/>
          <w:b w:val="0"/>
          <w:i w:val="0"/>
          <w:sz w:val="24"/>
        </w:rPr>
        <w:t xml:space="preserve">, while the effective absorption cutoff extends toward 1.2 eV and increases </w:t>
      </w:r>
      <w:r>
        <w:rPr>
          <w:rFonts w:ascii="Times New Roman" w:hAnsi="Times New Roman" w:cs="Times New Roman"/>
          <w:b w:val="0"/>
          <w:i w:val="0"/>
          <w:sz w:val="24"/>
        </w:rPr>
        <w:t xml:space="preserve">J</w:t>
      </w:r>
      <w:r>
        <w:rPr>
          <w:rFonts w:ascii="Times New Roman" w:hAnsi="Times New Roman" w:cs="Times New Roman"/>
          <w:b w:val="0"/>
          <w:i w:val="0"/>
          <w:sz w:val="24"/>
          <w:vertAlign w:val="subscript"/>
        </w:rPr>
        <w:t xml:space="preserve">SC</w:t>
      </w:r>
      <w:r>
        <w:rPr>
          <w:rFonts w:ascii="Times New Roman" w:hAnsi="Times New Roman" w:cs="Times New Roman"/>
          <w:b w:val="0"/>
          <w:i w:val="0"/>
          <w:sz w:val="24"/>
        </w:rPr>
        <w:t xml:space="preserve"> by ≈3 mA/cm² relative to a uniform 1.4 eV absorption model.</w:t>
      </w:r>
    </w:p>
    <w:p>
      <w:pPr>
        <w:keepNext/>
        <w:keepLines/>
        <w:spacing w:before="120" w:after="4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9.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RbGeI</w:t>
      </w:r>
      <w:r>
        <w:rPr>
          <w:rFonts w:ascii="Times New Roman" w:hAnsi="Times New Roman"/>
          <w:b w:val="0"/>
          <w:i/>
          <w:sz w:val="20"/>
          <w:vertAlign w:val="subscript"/>
        </w:rPr>
        <w:t>3</w:t>
      </w:r>
      <w:r>
        <w:rPr>
          <w:rFonts w:ascii="Times New Roman" w:hAnsi="Times New Roman"/>
          <w:b w:val="0"/>
          <w:i/>
          <w:sz w:val="20"/>
        </w:rPr>
        <w:t xml:space="preserve"> absorber bandgap. PCE peaks at 1.4 eV, close to the Shockley–Queisser optimum.</w:t>
      </w:r>
    </w:p>
    <w:p>
      <w:pPr>
        <w:pStyle w:val="Heading2"/>
        <w:keepNext/>
        <w:spacing w:before="120" w:after="40" w:line="360" w:lineRule="auto"/>
      </w:pPr>
      <w:r>
        <w:rPr>
          <w:rFonts w:ascii="Times New Roman" w:hAnsi="Times New Roman"/>
          <w:b/>
          <w:i/>
          <w:sz w:val="24"/>
        </w:rPr>
        <w:t>I. Effect of TiO</w:t>
      </w:r>
      <w:r>
        <w:rPr>
          <w:rFonts w:ascii="Times New Roman" w:hAnsi="Times New Roman"/>
          <w:b/>
          <w:i/>
          <w:sz w:val="24"/>
          <w:vertAlign w:val="subscript"/>
        </w:rPr>
        <w:t>2</w:t>
      </w:r>
      <w:r>
        <w:rPr>
          <w:rFonts w:ascii="Times New Roman" w:hAnsi="Times New Roman"/>
          <w:b/>
          <w:i/>
          <w:sz w:val="24"/>
        </w:rPr>
        <w:t xml:space="preserve"> ETL thickness</w:t>
      </w:r>
    </w:p>
    <w:p>
      <w:pPr>
        <w:spacing w:line="360" w:lineRule="auto" w:before="120" w:after="120"/>
        <w:ind w:firstLine="283"/>
        <w:jc w:val="both"/>
      </w:pP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thickness affects electron extraction, carrier transport, and optical transmission. It was varied from 0.01 to 0.09 µm with all other parameters held constant. PCE was highest at 10 nm (21.12%), declining to a local minimum of 18.72% at 0.04 µm before partially recovering to 19.97% at 0.09 µm. Thin (≤50 nm)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ETLs are typical in comparable planar SCAPS studies, where thicker ETLs add series resistance and parasitic absorption.</w:t>
      </w:r>
    </w:p>
    <w:p>
      <w:pPr>
        <w:keepNext/>
        <w:keepLines/>
        <w:spacing w:before="120" w:after="40"/>
        <w:jc w:val="center"/>
      </w:pPr>
      <w:r>
        <w:drawing>
          <wp:inline xmlns:a="http://schemas.openxmlformats.org/drawingml/2006/main" xmlns:pic="http://schemas.openxmlformats.org/drawingml/2006/picture">
            <wp:extent cx="4680000" cy="2861040"/>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b w:val="0"/>
          <w:i/>
          <w:sz w:val="20"/>
        </w:rPr>
        <w:t>Fig. 10. Variation of PCE, V</w:t>
      </w:r>
      <w:r>
        <w:rPr>
          <w:rFonts w:ascii="Times New Roman" w:hAnsi="Times New Roman"/>
          <w:b w:val="0"/>
          <w:i/>
          <w:sz w:val="20"/>
          <w:vertAlign w:val="subscript"/>
        </w:rPr>
        <w:t>OC</w:t>
      </w:r>
      <w:r>
        <w:rPr>
          <w:rFonts w:ascii="Times New Roman" w:hAnsi="Times New Roman"/>
          <w:b w:val="0"/>
          <w:i/>
          <w:sz w:val="20"/>
        </w:rPr>
        <w:t>, J</w:t>
      </w:r>
      <w:r>
        <w:rPr>
          <w:rFonts w:ascii="Times New Roman" w:hAnsi="Times New Roman"/>
          <w:b w:val="0"/>
          <w:i/>
          <w:sz w:val="20"/>
          <w:vertAlign w:val="subscript"/>
        </w:rPr>
        <w:t>SC</w:t>
      </w:r>
      <w:r>
        <w:rPr>
          <w:rFonts w:ascii="Times New Roman" w:hAnsi="Times New Roman"/>
          <w:b w:val="0"/>
          <w:i/>
          <w:sz w:val="20"/>
        </w:rPr>
        <w:t>, and FF with TiO</w:t>
      </w:r>
      <w:r>
        <w:rPr>
          <w:rFonts w:ascii="Times New Roman" w:hAnsi="Times New Roman"/>
          <w:b w:val="0"/>
          <w:i/>
          <w:sz w:val="20"/>
          <w:vertAlign w:val="subscript"/>
        </w:rPr>
        <w:t>2</w:t>
      </w:r>
      <w:r>
        <w:rPr>
          <w:rFonts w:ascii="Times New Roman" w:hAnsi="Times New Roman"/>
          <w:b w:val="0"/>
          <w:i/>
          <w:sz w:val="20"/>
        </w:rPr>
        <w:t xml:space="preserve"> ETL thickness. PCE is highest at the thinnest ETL (10 nm), reflecting the shorter electron transport path.</w:t>
      </w:r>
    </w:p>
    <w:p>
      <w:pPr>
        <w:pStyle w:val="Heading2"/>
        <w:keepNext/>
        <w:spacing w:before="120" w:after="4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b w:val="0"/>
          <w:i w:val="0"/>
          <w:sz w:val="24"/>
        </w:rPr>
        <w:t xml:space="preserve">The CuI HTL thickness was swept from 0.1 to 1.9 µm. The effect on device performance was negligible: PCE varied by less than 0.002 percentage points, and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and FF were essentially constant. A thickness of 100 nm was selected to minimize material usage. This lies at the lower end of the 0.1–1.0 µm HTL thickness range explored in comparable studies, which likewise reported a weak thickness dependence.</w:t>
      </w:r>
    </w:p>
    <w:p>
      <w:pPr>
        <w:keepNext/>
        <w:keepLines/>
        <w:jc w:val="center"/>
      </w:pPr>
      <w:r/>
      <w:r>
        <w:drawing>
          <wp:inline xmlns:a="http://schemas.openxmlformats.org/drawingml/2006/main" xmlns:pic="http://schemas.openxmlformats.org/drawingml/2006/picture">
            <wp:extent cx="4457700" cy="2725141"/>
            <wp:docPr id="20" name="Picture 2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57700" cy="2940562"/>
                    </a:xfrm>
                    <a:prstGeom prst="rect"/>
                  </pic:spPr>
                </pic:pic>
              </a:graphicData>
            </a:graphic>
          </wp:inline>
        </w:drawing>
      </w:r>
    </w:p>
    <w:p>
      <w:pPr>
        <w:jc w:val="center"/>
      </w:pPr>
      <w:r>
        <w:rPr>
          <w:sz w:val="20"/>
        </w:rPr>
        <w:t>Fig. 11. Variation of PCE, V</w:t>
      </w:r>
      <w:r>
        <w:rPr>
          <w:sz w:val="20"/>
          <w:vertAlign w:val="subscript"/>
        </w:rPr>
        <w:t>OC</w:t>
      </w:r>
      <w:r>
        <w:rPr>
          <w:sz w:val="20"/>
        </w:rPr>
        <w:t>, J</w:t>
      </w:r>
      <w:r>
        <w:rPr>
          <w:sz w:val="20"/>
          <w:vertAlign w:val="subscript"/>
        </w:rPr>
        <w:t>SC</w:t>
      </w:r>
      <w:r>
        <w:rPr>
          <w:sz w:val="20"/>
        </w:rPr>
        <w:t>, and FF with CuI HTL thickness. The performance is essentially independent of HTL thickness; 100 nm is retained to minimise material usage.</w:t>
      </w:r>
    </w:p>
    <w:p>
      <w:pPr>
        <w:pStyle w:val="Heading2"/>
        <w:keepNext/>
        <w:spacing w:before="120" w:after="40" w:line="360" w:lineRule="auto"/>
      </w:pPr>
      <w:r>
        <w:rPr>
          <w:rFonts w:ascii="Times New Roman" w:hAnsi="Times New Roman"/>
          <w:b/>
          <w:i/>
          <w:sz w:val="24"/>
        </w:rPr>
        <w:t>K. Effect of conduction-band effective density of states N</w:t>
      </w:r>
      <w:r>
        <w:rPr>
          <w:rFonts w:ascii="Times New Roman" w:hAnsi="Times New Roman"/>
          <w:b/>
          <w:i/>
          <w:sz w:val="24"/>
          <w:vertAlign w:val="subscript"/>
        </w:rPr>
        <w:t>C</w:t>
      </w:r>
    </w:p>
    <w:p>
      <w:pPr>
        <w:spacing w:line="360" w:lineRule="auto" w:before="120" w:after="120"/>
        <w:ind w:firstLine="283"/>
        <w:jc w:val="both"/>
      </w:pPr>
      <w:r>
        <w:rPr>
          <w:rFonts w:ascii="Times New Roman" w:hAnsi="Times New Roman"/>
          <w:b w:val="0"/>
          <w:i w:val="0"/>
          <w:sz w:val="24"/>
        </w:rPr>
        <w:t xml:space="preserve">NC was varied from 1×10¹⁷ to 1×10²⁰ cm⁻³. PCE decreased monotonically from 20.65% to 18.15%, driven by a drop in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(0.859 to 0.764 V), while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remained constant at ~30.46 mA/cm². The lowest NC in the sweep, 1×10¹⁷ cm⁻³, is used in the final device. Effective densities of states of ≈10¹⁸ cm⁻³ are commonly assumed for lead-free perovskite absorbers in SCAPS studies; lowering NC reduces the intrinsic carrier density and thereby raises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so the sweep optimum is retained.</w:t>
      </w:r>
    </w:p>
    <w:p>
      <w:pPr>
        <w:keepNext/>
        <w:keepLines/>
        <w:jc w:val="center"/>
      </w:pPr>
      <w:r/>
      <w:r>
        <w:drawing>
          <wp:inline xmlns:a="http://schemas.openxmlformats.org/drawingml/2006/main" xmlns:pic="http://schemas.openxmlformats.org/drawingml/2006/picture">
            <wp:extent cx="4457700" cy="2725141"/>
            <wp:docPr id="21" name="Picture 2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457700" cy="2940562"/>
                    </a:xfrm>
                    <a:prstGeom prst="rect"/>
                  </pic:spPr>
                </pic:pic>
              </a:graphicData>
            </a:graphic>
          </wp:inline>
        </w:drawing>
      </w:r>
    </w:p>
    <w:p>
      <w:pPr>
        <w:jc w:val="center"/>
      </w:pPr>
      <w:r>
        <w:rPr>
          <w:sz w:val="20"/>
        </w:rPr>
        <w:t>Fig. 12. Variation of PCE, V</w:t>
      </w:r>
      <w:r>
        <w:rPr>
          <w:sz w:val="20"/>
          <w:vertAlign w:val="subscript"/>
        </w:rPr>
        <w:t>OC</w:t>
      </w:r>
      <w:r>
        <w:rPr>
          <w:sz w:val="20"/>
        </w:rPr>
        <w:t>, J</w:t>
      </w:r>
      <w:r>
        <w:rPr>
          <w:sz w:val="20"/>
          <w:vertAlign w:val="subscript"/>
        </w:rPr>
        <w:t>SC</w:t>
      </w:r>
      <w:r>
        <w:rPr>
          <w:sz w:val="20"/>
        </w:rPr>
        <w:t>, and FF with conduction-band effective density of states N</w:t>
      </w:r>
      <w:r>
        <w:rPr>
          <w:sz w:val="20"/>
          <w:vertAlign w:val="subscript"/>
        </w:rPr>
        <w:t>C</w:t>
      </w:r>
      <w:r>
        <w:rPr>
          <w:sz w:val="20"/>
        </w:rPr>
        <w:t>. Lower N</w:t>
      </w:r>
      <w:r>
        <w:rPr>
          <w:sz w:val="20"/>
          <w:vertAlign w:val="subscript"/>
        </w:rPr>
        <w:t>C</w:t>
      </w:r>
      <w:r>
        <w:rPr>
          <w:sz w:val="20"/>
        </w:rPr>
        <w:t xml:space="preserve"> is preferred; the best value of 10¹⁷ cm⁻³ is retained.</w:t>
      </w:r>
    </w:p>
    <w:p>
      <w:pPr>
        <w:pStyle w:val="Heading2"/>
        <w:keepNext/>
        <w:spacing w:before="120" w:after="40" w:line="360" w:lineRule="auto"/>
      </w:pPr>
      <w:r>
        <w:rPr>
          <w:rFonts w:ascii="Times New Roman" w:hAnsi="Times New Roman"/>
          <w:b/>
          <w:i/>
          <w:sz w:val="24"/>
        </w:rPr>
        <w:t>L. Effect of valence-band effective density of states N</w:t>
      </w:r>
      <w:r>
        <w:rPr>
          <w:rFonts w:ascii="Times New Roman" w:hAnsi="Times New Roman"/>
          <w:b/>
          <w:i/>
          <w:sz w:val="24"/>
          <w:vertAlign w:val="subscript"/>
        </w:rPr>
        <w:t>V</w:t>
      </w:r>
    </w:p>
    <w:p>
      <w:pPr>
        <w:spacing w:line="360" w:lineRule="auto" w:before="120" w:after="120"/>
        <w:ind w:firstLine="283"/>
        <w:jc w:val="both"/>
      </w:pPr>
      <w:r>
        <w:rPr>
          <w:rFonts w:ascii="Times New Roman" w:hAnsi="Times New Roman"/>
          <w:b w:val="0"/>
          <w:i w:val="0"/>
          <w:sz w:val="24"/>
        </w:rPr>
        <w:t xml:space="preserve">NV was varied from 1×10¹⁷ to 1×10²⁰ cm⁻³. PCE decreased from 23.54% to 18.86% as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dropped from 0.945 to 0.780 V, with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unchanged. The effect was stronger than for NC, and the lowest value again performs best. NV = 1×10¹⁷ cm⁻³ is therefore retained.</w:t>
      </w:r>
    </w:p>
    <w:p>
      <w:pPr>
        <w:keepNext/>
        <w:keepLines/>
        <w:jc w:val="center"/>
      </w:pPr>
      <w:r/>
      <w:r>
        <w:drawing>
          <wp:inline xmlns:a="http://schemas.openxmlformats.org/drawingml/2006/main" xmlns:pic="http://schemas.openxmlformats.org/drawingml/2006/picture">
            <wp:extent cx="4457700" cy="2726049"/>
            <wp:docPr id="22" name="Picture 2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57700" cy="2940562"/>
                    </a:xfrm>
                    <a:prstGeom prst="rect"/>
                  </pic:spPr>
                </pic:pic>
              </a:graphicData>
            </a:graphic>
          </wp:inline>
        </w:drawing>
      </w:r>
    </w:p>
    <w:p>
      <w:pPr>
        <w:jc w:val="center"/>
      </w:pPr>
      <w:r>
        <w:rPr>
          <w:sz w:val="20"/>
        </w:rPr>
        <w:t>Fig. 13. Variation of PCE, V</w:t>
      </w:r>
      <w:r>
        <w:rPr>
          <w:sz w:val="20"/>
          <w:vertAlign w:val="subscript"/>
        </w:rPr>
        <w:t>OC</w:t>
      </w:r>
      <w:r>
        <w:rPr>
          <w:sz w:val="20"/>
        </w:rPr>
        <w:t>, J</w:t>
      </w:r>
      <w:r>
        <w:rPr>
          <w:sz w:val="20"/>
          <w:vertAlign w:val="subscript"/>
        </w:rPr>
        <w:t>SC</w:t>
      </w:r>
      <w:r>
        <w:rPr>
          <w:sz w:val="20"/>
        </w:rPr>
        <w:t>, and FF with valence-band effective density of states N</w:t>
      </w:r>
      <w:r>
        <w:rPr>
          <w:sz w:val="20"/>
          <w:vertAlign w:val="subscript"/>
        </w:rPr>
        <w:t>V</w:t>
      </w:r>
      <w:r>
        <w:rPr>
          <w:sz w:val="20"/>
        </w:rPr>
        <w:t>. The effect is more pronounced than for N</w:t>
      </w:r>
      <w:r>
        <w:rPr>
          <w:sz w:val="20"/>
          <w:vertAlign w:val="subscript"/>
        </w:rPr>
        <w:t>C</w:t>
      </w:r>
      <w:r>
        <w:rPr>
          <w:sz w:val="20"/>
        </w:rPr>
        <w:t>; the best value of 10¹⁷ cm⁻³ is retained.</w:t>
      </w:r>
    </w:p>
    <w:p>
      <w:pPr>
        <w:pStyle w:val="Heading2"/>
        <w:keepNext/>
        <w:spacing w:before="120" w:after="4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 xml:space="preserve">The quantum efficiency spectrum of the optimized device (Figure 14) shows the ratio of collected carriers to incident photons across wavelength. QE rises from 34.52% at 300 nm to 49.18% at 350 nm and reaches approximately 100% at 400 nm. The lower ultraviolet QE reflects surface recombination: high-energy photons are absorbed near the front interface, where some carriers recombine before collection [21,38].</w:t>
      </w:r>
    </w:p>
    <w:p>
      <w:pPr>
        <w:spacing w:line="360" w:lineRule="auto" w:before="120" w:after="120"/>
        <w:ind w:firstLine="283"/>
        <w:jc w:val="both"/>
      </w:pPr>
      <w:r>
        <w:rPr>
          <w:rFonts w:ascii="Times New Roman" w:hAnsi="Times New Roman" w:cs="Times New Roman"/>
          <w:b w:val="0"/>
          <w:i w:val="0"/>
          <w:sz w:val="24"/>
        </w:rPr>
        <w:t>QE remains near 100% between 400 and 650 nm, indicating excellent visible-range absorption. Beyond 650 nm, QE declines to 76% at 850 nm. A sharp cutoff near 900 nm corresponds to the absorber bandgap of 1.4 eV (λc ≈ 886 nm). Integrating the QE spectrum yields ≈23.3 mA/cm², which differs from the J–V short-circuit density of 30.32 mA/cm² because the QE spectrum was computed with a uniform absorption model, whereas the consolidated final device uses the graded absorption profile described in Section V.H; the two values therefore correspond to different absorption models.</w:t>
      </w:r>
    </w:p>
    <w:p>
      <w:pPr>
        <w:keepNext/>
        <w:keepLines/>
        <w:spacing w:before="120" w:after="4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14. Variation of quantum efficiency (QE) with incident wavelength of the optimized solar cell. The cutoff at ≈886 nm corresponds to the absorber bandgap of 1.4 eV.</w:t>
      </w:r>
    </w:p>
    <w:p>
      <w:pPr>
        <w:pStyle w:val="Heading2"/>
        <w:keepNext/>
        <w:spacing w:before="120" w:after="4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b w:val="0"/>
          <w:i w:val="0"/>
          <w:sz w:val="24"/>
        </w:rPr>
        <w:t xml:space="preserve">The equilibrium band diagram (Figure 15) shows the energy alignment across the device: the 1.8 eV conduction-band offset at CuI/</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blocks electron leakage to the back contact, while the 0.1 eV offset at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facilitates electron extraction; both interfaces are thus electronically well passivated.</w:t>
      </w:r>
    </w:p>
    <w:p>
      <w:pPr>
        <w:spacing w:line="360" w:lineRule="auto" w:before="120" w:after="120"/>
        <w:ind w:firstLine="283"/>
        <w:jc w:val="both"/>
      </w:pPr>
      <w:r>
        <w:rPr>
          <w:rFonts w:ascii="Times New Roman" w:hAnsi="Times New Roman"/>
          <w:b w:val="0"/>
          <w:i w:val="0"/>
          <w:sz w:val="24"/>
        </w:rPr>
        <w:t>The CuI/RbGeI</w:t>
      </w:r>
      <w:r>
        <w:rPr>
          <w:rFonts w:ascii="Times New Roman" w:hAnsi="Times New Roman"/>
          <w:b w:val="0"/>
          <w:i w:val="0"/>
          <w:sz w:val="24"/>
          <w:vertAlign w:val="subscript"/>
        </w:rPr>
        <w:t>3</w:t>
      </w:r>
      <w:r>
        <w:rPr>
          <w:rFonts w:ascii="Times New Roman" w:hAnsi="Times New Roman"/>
          <w:b w:val="0"/>
          <w:i w:val="0"/>
          <w:sz w:val="24"/>
        </w:rPr>
        <w:t xml:space="preserve"> interface exhibits a pronounced conduction-band discontinuity. Based on the electron-affinity values of CuI (χ = 2.1 eV) and RbGeI</w:t>
      </w:r>
      <w:r>
        <w:rPr>
          <w:rFonts w:ascii="Times New Roman" w:hAnsi="Times New Roman"/>
          <w:b w:val="0"/>
          <w:i w:val="0"/>
          <w:sz w:val="24"/>
          <w:vertAlign w:val="subscript"/>
        </w:rPr>
        <w:t>3</w:t>
      </w:r>
      <w:r>
        <w:rPr>
          <w:rFonts w:ascii="Times New Roman" w:hAnsi="Times New Roman"/>
          <w:b w:val="0"/>
          <w:i w:val="0"/>
          <w:sz w:val="24"/>
        </w:rPr>
        <w:t xml:space="preserve"> (χ = 3.9 eV), the conduction-band offset is ΔE</w:t>
      </w:r>
      <w:r>
        <w:rPr>
          <w:rFonts w:ascii="Times New Roman" w:hAnsi="Times New Roman"/>
          <w:b w:val="0"/>
          <w:i w:val="0"/>
          <w:sz w:val="24"/>
          <w:vertAlign w:val="subscript"/>
        </w:rPr>
        <w:t>c</w:t>
      </w:r>
      <w:r>
        <w:rPr>
          <w:rFonts w:ascii="Times New Roman" w:hAnsi="Times New Roman"/>
          <w:b w:val="0"/>
          <w:i w:val="0"/>
          <w:sz w:val="24"/>
        </w:rPr>
        <w:t xml:space="preserve"> ≈ |2.1 − 3.9| = 1.8 eV, which acts as an effective electron-blocking barrier. The corresponding valence-band offset, computed using E</w:t>
      </w:r>
      <w:r>
        <w:rPr>
          <w:rFonts w:ascii="Times New Roman" w:hAnsi="Times New Roman"/>
          <w:b w:val="0"/>
          <w:i w:val="0"/>
          <w:sz w:val="24"/>
          <w:vertAlign w:val="subscript"/>
        </w:rPr>
        <w:t>v</w:t>
      </w:r>
      <w:r>
        <w:rPr>
          <w:rFonts w:ascii="Times New Roman" w:hAnsi="Times New Roman"/>
          <w:b w:val="0"/>
          <w:i w:val="0"/>
          <w:sz w:val="24"/>
        </w:rPr>
        <w:t xml:space="preserve"> = −(E</w:t>
      </w:r>
      <w:r>
        <w:rPr>
          <w:rFonts w:ascii="Times New Roman" w:hAnsi="Times New Roman"/>
          <w:b w:val="0"/>
          <w:i w:val="0"/>
          <w:sz w:val="24"/>
          <w:vertAlign w:val="subscript"/>
        </w:rPr>
        <w:t>g</w:t>
      </w:r>
      <w:r>
        <w:rPr>
          <w:rFonts w:ascii="Times New Roman" w:hAnsi="Times New Roman"/>
          <w:b w:val="0"/>
          <w:i w:val="0"/>
          <w:sz w:val="24"/>
        </w:rPr>
        <w:t xml:space="preserve"> + χ), is ΔE</w:t>
      </w:r>
      <w:r>
        <w:rPr>
          <w:rFonts w:ascii="Times New Roman" w:hAnsi="Times New Roman"/>
          <w:b w:val="0"/>
          <w:i w:val="0"/>
          <w:sz w:val="24"/>
          <w:vertAlign w:val="subscript"/>
        </w:rPr>
        <w:t>v</w:t>
      </w:r>
      <w:r>
        <w:rPr>
          <w:rFonts w:ascii="Times New Roman" w:hAnsi="Times New Roman"/>
          <w:b w:val="0"/>
          <w:i w:val="0"/>
          <w:sz w:val="24"/>
        </w:rPr>
        <w:t xml:space="preserve"> ≈ |(−5.30) − (−5.20)| ≈ 0.10 eV, indicating that the valence bands of CuI and RbGeI</w:t>
      </w:r>
      <w:r>
        <w:rPr>
          <w:rFonts w:ascii="Times New Roman" w:hAnsi="Times New Roman"/>
          <w:b w:val="0"/>
          <w:i w:val="0"/>
          <w:sz w:val="24"/>
          <w:vertAlign w:val="subscript"/>
        </w:rPr>
        <w:t>3</w:t>
      </w:r>
      <w:r>
        <w:rPr>
          <w:rFonts w:ascii="Times New Roman" w:hAnsi="Times New Roman"/>
          <w:b w:val="0"/>
          <w:i w:val="0"/>
          <w:sz w:val="24"/>
        </w:rPr>
        <w:t xml:space="preserve"> are nearly aligned. This small barrier enables holes generated inside the absorber to move efficiently into the HTL with minimal transport resistance. Within the 700 nm RbGeI</w:t>
      </w:r>
      <w:r>
        <w:rPr>
          <w:rFonts w:ascii="Times New Roman" w:hAnsi="Times New Roman"/>
          <w:b w:val="0"/>
          <w:i w:val="0"/>
          <w:sz w:val="24"/>
          <w:vertAlign w:val="subscript"/>
        </w:rPr>
        <w:t>3</w:t>
      </w:r>
      <w:r>
        <w:rPr>
          <w:rFonts w:ascii="Times New Roman" w:hAnsi="Times New Roman"/>
          <w:b w:val="0"/>
          <w:i w:val="0"/>
          <w:sz w:val="24"/>
        </w:rPr>
        <w:t xml:space="preserve"> absorber layer, both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remain nearly constant, indicating a relatively uniform electrostatic potential throughout the bulk absorber. The energy difference between E</w:t>
      </w:r>
      <w:r>
        <w:rPr>
          <w:rFonts w:ascii="Times New Roman" w:hAnsi="Times New Roman"/>
          <w:b w:val="0"/>
          <w:i w:val="0"/>
          <w:sz w:val="24"/>
          <w:vertAlign w:val="subscript"/>
        </w:rPr>
        <w:t>c</w:t>
      </w:r>
      <w:r>
        <w:rPr>
          <w:rFonts w:ascii="Times New Roman" w:hAnsi="Times New Roman"/>
          <w:b w:val="0"/>
          <w:i w:val="0"/>
          <w:sz w:val="24"/>
        </w:rPr>
        <w:t xml:space="preserve"> and E</w:t>
      </w:r>
      <w:r>
        <w:rPr>
          <w:rFonts w:ascii="Times New Roman" w:hAnsi="Times New Roman"/>
          <w:b w:val="0"/>
          <w:i w:val="0"/>
          <w:sz w:val="24"/>
          <w:vertAlign w:val="subscript"/>
        </w:rPr>
        <w:t>v</w:t>
      </w:r>
      <w:r>
        <w:rPr>
          <w:rFonts w:ascii="Times New Roman" w:hAnsi="Times New Roman"/>
          <w:b w:val="0"/>
          <w:i w:val="0"/>
          <w:sz w:val="24"/>
        </w:rPr>
        <w:t xml:space="preserve">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b w:val="0"/>
          <w:i w:val="0"/>
          <w:sz w:val="24"/>
        </w:rPr>
        <w:t xml:space="preserve">A second band discontinuity appears at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interface located approximately 800 nm from the back contact. Because the electron affinities of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and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are 3.9 eV and 4.0 eV respectively, the conduction-band offset is only about 0.10 eV, forming a 0.10 eV downward step at the interface that assists electron extraction and suppresses interfacial recombination. The calculated valence-band offset at this interface is approximately 1.90 eV (using </w:t>
      </w:r>
      <w:r>
        <w:rPr>
          <w:rFonts w:ascii="Times New Roman" w:hAnsi="Times New Roman"/>
          <w:b w:val="0"/>
          <w:i w:val="0"/>
          <w:sz w:val="24"/>
        </w:rPr>
        <w:t xml:space="preserve">E</w:t>
      </w:r>
      <w:r>
        <w:rPr>
          <w:rFonts w:ascii="Times New Roman" w:hAnsi="Times New Roman"/>
          <w:b w:val="0"/>
          <w:i w:val="0"/>
          <w:sz w:val="24"/>
          <w:vertAlign w:val="subscript"/>
        </w:rPr>
        <w:t xml:space="preserve">v</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 −5.30 eV and </w:t>
      </w:r>
      <w:r>
        <w:rPr>
          <w:rFonts w:ascii="Times New Roman" w:hAnsi="Times New Roman"/>
          <w:b w:val="0"/>
          <w:i w:val="0"/>
          <w:sz w:val="24"/>
        </w:rPr>
        <w:t xml:space="preserve">E</w:t>
      </w:r>
      <w:r>
        <w:rPr>
          <w:rFonts w:ascii="Times New Roman" w:hAnsi="Times New Roman"/>
          <w:b w:val="0"/>
          <w:i w:val="0"/>
          <w:sz w:val="24"/>
          <w:vertAlign w:val="subscript"/>
        </w:rPr>
        <w:t xml:space="preserve">v</w:t>
      </w:r>
      <w:r>
        <w:rPr>
          <w:rFonts w:ascii="Times New Roman" w:hAnsi="Times New Roman"/>
          <w:b w:val="0"/>
          <w:i w:val="0"/>
          <w:sz w:val="24"/>
        </w:rPr>
        <w:t xml:space="preserve">(</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 −(4.0+3.2) = −7.2 eV, giving </w:t>
      </w:r>
      <w:r>
        <w:rPr>
          <w:rFonts w:ascii="Times New Roman" w:hAnsi="Times New Roman"/>
          <w:b w:val="0"/>
          <w:i w:val="0"/>
          <w:sz w:val="24"/>
        </w:rPr>
        <w:t xml:space="preserve">ΔE</w:t>
      </w:r>
      <w:r>
        <w:rPr>
          <w:rFonts w:ascii="Times New Roman" w:hAnsi="Times New Roman"/>
          <w:b w:val="0"/>
          <w:i w:val="0"/>
          <w:sz w:val="24"/>
          <w:vertAlign w:val="subscript"/>
        </w:rPr>
        <w:t xml:space="preserve">v</w:t>
      </w:r>
      <w:r>
        <w:rPr>
          <w:rFonts w:ascii="Times New Roman" w:hAnsi="Times New Roman"/>
          <w:b w:val="0"/>
          <w:i w:val="0"/>
          <w:sz w:val="24"/>
        </w:rPr>
        <w:t xml:space="preserve"> = |−5.30 − (−7.2)| = 1.90 eV), creating a substantial energetic barrier that effectively blocks holes from entering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 layer. Under illumination, the quasi-Fermi levels split apart across the device, with the electron quasi-Fermi level Fn lying close to the conduction band in the absorber and ETL and the hole quasi-Fermi level Fp following the valence band. The Fn − Fp splitting sets the photovoltage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 1.12 V) and is consistent with the high open-circuit voltage of the optimized device. Slight band bending near both heterojunctions reflects the built-in electric field established after contact formation, which drives photogenerated electrons toward the </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/FTO electrode and holes toward the CuI HTL.</w:t>
      </w:r>
    </w:p>
    <w:p>
      <w:pPr>
        <w:keepNext/>
        <w:keepLines/>
        <w:spacing w:before="120" w:after="40"/>
        <w:jc w:val="center"/>
      </w:pPr>
      <w:r>
        <w:drawing>
          <wp:inline xmlns:a="http://schemas.openxmlformats.org/drawingml/2006/main" xmlns:pic="http://schemas.openxmlformats.org/drawingml/2006/picture">
            <wp:extent cx="5040000" cy="3168000"/>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b w:val="0"/>
          <w:i/>
          <w:sz w:val="20"/>
        </w:rPr>
        <w:t xml:space="preserve">Fig. 15. Equilibrium energy band diagram of the optimized CuI/</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w:t>
      </w:r>
      <w:r>
        <w:rPr>
          <w:rFonts w:ascii="Times New Roman" w:hAnsi="Times New Roman"/>
          <w:b w:val="0"/>
          <w:i/>
          <w:sz w:val="20"/>
        </w:rPr>
        <w:t xml:space="preserve">TiO</w:t>
      </w:r>
      <w:r>
        <w:rPr>
          <w:rFonts w:ascii="Times New Roman" w:hAnsi="Times New Roman"/>
          <w:b w:val="0"/>
          <w:i/>
          <w:sz w:val="20"/>
          <w:vertAlign w:val="subscript"/>
        </w:rPr>
        <w:t xml:space="preserve">2</w:t>
      </w:r>
      <w:r>
        <w:rPr>
          <w:rFonts w:ascii="Times New Roman" w:hAnsi="Times New Roman"/>
          <w:b w:val="0"/>
          <w:i/>
          <w:sz w:val="20"/>
        </w:rPr>
        <w:t xml:space="preserve">/FTO solar cell, showing the conduction-band edge (</w:t>
      </w:r>
      <w:r>
        <w:rPr>
          <w:rFonts w:ascii="Times New Roman" w:hAnsi="Times New Roman"/>
          <w:b w:val="0"/>
          <w:i/>
          <w:sz w:val="20"/>
        </w:rPr>
        <w:t xml:space="preserve">E</w:t>
      </w:r>
      <w:r>
        <w:rPr>
          <w:rFonts w:ascii="Times New Roman" w:hAnsi="Times New Roman"/>
          <w:b w:val="0"/>
          <w:i/>
          <w:sz w:val="20"/>
          <w:vertAlign w:val="subscript"/>
        </w:rPr>
        <w:t xml:space="preserve">c</w:t>
      </w:r>
      <w:r>
        <w:rPr>
          <w:rFonts w:ascii="Times New Roman" w:hAnsi="Times New Roman"/>
          <w:b w:val="0"/>
          <w:i/>
          <w:sz w:val="20"/>
        </w:rPr>
        <w:t xml:space="preserve">, blue) and valence-band edge (</w:t>
      </w:r>
      <w:r>
        <w:rPr>
          <w:rFonts w:ascii="Times New Roman" w:hAnsi="Times New Roman"/>
          <w:b w:val="0"/>
          <w:i/>
          <w:sz w:val="20"/>
        </w:rPr>
        <w:t xml:space="preserve">E</w:t>
      </w:r>
      <w:r>
        <w:rPr>
          <w:rFonts w:ascii="Times New Roman" w:hAnsi="Times New Roman"/>
          <w:b w:val="0"/>
          <w:i/>
          <w:sz w:val="20"/>
          <w:vertAlign w:val="subscript"/>
        </w:rPr>
        <w:t xml:space="preserve">v</w:t>
      </w:r>
      <w:r>
        <w:rPr>
          <w:rFonts w:ascii="Times New Roman" w:hAnsi="Times New Roman"/>
          <w:b w:val="0"/>
          <w:i/>
          <w:sz w:val="20"/>
        </w:rPr>
        <w:t xml:space="preserve">, red) across all four layers. The 1.8 eV conduction-band offset at CuI/</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 blocks electron back-transfer, while the 0.10 eV conduction-band step at </w:t>
      </w:r>
      <w:r>
        <w:rPr>
          <w:rFonts w:ascii="Times New Roman" w:hAnsi="Times New Roman"/>
          <w:b w:val="0"/>
          <w:i/>
          <w:sz w:val="20"/>
        </w:rPr>
        <w:t xml:space="preserve">RbGeI</w:t>
      </w:r>
      <w:r>
        <w:rPr>
          <w:rFonts w:ascii="Times New Roman" w:hAnsi="Times New Roman"/>
          <w:b w:val="0"/>
          <w:i/>
          <w:sz w:val="20"/>
          <w:vertAlign w:val="subscript"/>
        </w:rPr>
        <w:t xml:space="preserve">3</w:t>
      </w:r>
      <w:r>
        <w:rPr>
          <w:rFonts w:ascii="Times New Roman" w:hAnsi="Times New Roman"/>
          <w:b w:val="0"/>
          <w:i/>
          <w:sz w:val="20"/>
        </w:rPr>
        <w:t xml:space="preserve">/</w:t>
      </w:r>
      <w:r>
        <w:rPr>
          <w:rFonts w:ascii="Times New Roman" w:hAnsi="Times New Roman"/>
          <w:b w:val="0"/>
          <w:i/>
          <w:sz w:val="20"/>
        </w:rPr>
        <w:t xml:space="preserve">TiO</w:t>
      </w:r>
      <w:r>
        <w:rPr>
          <w:rFonts w:ascii="Times New Roman" w:hAnsi="Times New Roman"/>
          <w:b w:val="0"/>
          <w:i/>
          <w:sz w:val="20"/>
          <w:vertAlign w:val="subscript"/>
        </w:rPr>
        <w:t xml:space="preserve">2</w:t>
      </w:r>
      <w:r>
        <w:rPr>
          <w:rFonts w:ascii="Times New Roman" w:hAnsi="Times New Roman"/>
          <w:b w:val="0"/>
          <w:i/>
          <w:sz w:val="20"/>
        </w:rPr>
        <w:t xml:space="preserve"> supports efficient electron extraction.</w:t>
      </w:r>
    </w:p>
    <w:p>
      <w:pPr>
        <w:pStyle w:val="Heading2"/>
      </w:pPr>
      <w:r>
        <w:t>O. Current density–voltage characteristics</w:t>
      </w:r>
    </w:p>
    <w:p>
      <w:r>
        <w:rPr/>
        <w:t>The current density–voltage (J–V) characteristic of the consolidated optimized device under AM 1.5G illumination is shown in Figure 16. The curve is sharply rectangular, with an open-circuit voltage of V</w:t>
      </w:r>
      <w:r>
        <w:rPr>
          <w:vertAlign w:val="subscript"/>
        </w:rPr>
        <w:t>OC</w:t>
      </w:r>
      <w:r>
        <w:rPr/>
        <w:t xml:space="preserve"> = 1.12 V, a short-circuit current density of J</w:t>
      </w:r>
      <w:r>
        <w:rPr>
          <w:vertAlign w:val="subscript"/>
        </w:rPr>
        <w:t>SC</w:t>
      </w:r>
      <w:r>
        <w:rPr/>
        <w:t xml:space="preserve"> = 30.32 mA/cm², and a fill factor of 78.92%, yielding a PCE of 26.80%. The maximum-power point occurs near V = 0.96 V with J ≈ 27.9 mA/cm², where the instantaneous power density reaches 26.8 mW/cm². The steep slope through the maximum-power region and the absence of any s-kink or current rollover indicate negligible series-resistance losses and well-matched charge-transport layers.</w:t>
      </w:r>
    </w:p>
    <w:p>
      <w:pPr>
        <w:keepNext/>
        <w:keepLines/>
        <w:jc w:val="center"/>
      </w:pPr>
      <w:r/>
      <w:r>
        <w:drawing>
          <wp:inline xmlns:a="http://schemas.openxmlformats.org/drawingml/2006/main" xmlns:pic="http://schemas.openxmlformats.org/drawingml/2006/picture">
            <wp:extent cx="4457700" cy="2971800"/>
            <wp:docPr id="23" name="Picture 23"/>
            <wp:cNvGraphicFramePr>
              <a:graphicFrameLocks noChangeAspect="1"/>
            </wp:cNvGraphicFramePr>
            <a:graphic>
              <a:graphicData uri="http://schemas.openxmlformats.org/drawingml/2006/picture">
                <pic:pic>
                  <pic:nvPicPr>
                    <pic:cNvPr id="0" name="fig_jv_final.png"/>
                    <pic:cNvPicPr/>
                  </pic:nvPicPr>
                  <pic:blipFill>
                    <a:blip r:embed="rId37"/>
                    <a:stretch>
                      <a:fillRect/>
                    </a:stretch>
                  </pic:blipFill>
                  <pic:spPr>
                    <a:xfrm>
                      <a:off x="0" y="0"/>
                      <a:ext cx="4457700" cy="2971800"/>
                    </a:xfrm>
                    <a:prstGeom prst="rect"/>
                  </pic:spPr>
                </pic:pic>
              </a:graphicData>
            </a:graphic>
          </wp:inline>
        </w:drawing>
      </w:r>
    </w:p>
    <w:p>
      <w:pPr>
        <w:jc w:val="center"/>
      </w:pPr>
      <w:r>
        <w:rPr>
          <w:sz w:val="20"/>
        </w:rPr>
        <w:t>Fig. 16. Current density–voltage (J–V) curve of the optimized FTO/TiO</w:t>
      </w:r>
      <w:r>
        <w:rPr>
          <w:sz w:val="20"/>
          <w:vertAlign w:val="subscript"/>
        </w:rPr>
        <w:t>2</w:t>
      </w:r>
      <w:r>
        <w:rPr>
          <w:sz w:val="20"/>
        </w:rPr>
        <w:t>/RbGeI</w:t>
      </w:r>
      <w:r>
        <w:rPr>
          <w:sz w:val="20"/>
          <w:vertAlign w:val="subscript"/>
        </w:rPr>
        <w:t>3</w:t>
      </w:r>
      <w:r>
        <w:rPr>
          <w:sz w:val="20"/>
        </w:rPr>
        <w:t>/CuI/Au device under AM 1.5G illumination. The red dashed curve shows the output power density, with the maximum-power point marked.</w:t>
      </w:r>
    </w:p>
    <w:p>
      <w:pPr>
        <w:pStyle w:val="Heading2"/>
        <w:keepNext/>
        <w:spacing w:before="120" w:after="40" w:line="360" w:lineRule="auto"/>
      </w:pPr>
      <w:r>
        <w:rPr>
          <w:rFonts w:ascii="Times New Roman" w:hAnsi="Times New Roman" w:cs="Times New Roman"/>
          <w:b/>
          <w:i/>
          <w:sz w:val="24"/>
        </w:rPr>
        <w:t>P. Summary of optimized device parameters and final performance</w:t>
      </w:r>
    </w:p>
    <w:p>
      <w:pPr>
        <w:spacing w:line="360" w:lineRule="auto" w:before="120" w:after="120"/>
        <w:ind w:firstLine="283"/>
        <w:jc w:val="both"/>
      </w:pPr>
      <w:r>
        <w:rPr>
          <w:rFonts w:ascii="Times New Roman" w:hAnsi="Times New Roman"/>
          <w:b w:val="0"/>
          <w:i w:val="0"/>
          <w:sz w:val="24"/>
        </w:rPr>
        <w:t>After completing the optimization of all eleven selected device parameters, the final optimized values were incorporated into the proposed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solar cell. Table VII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w:t>
      </w:r>
      <w:r>
        <w:rPr>
          <w:rFonts w:ascii="Times New Roman" w:hAnsi="Times New Roman"/>
          <w:b w:val="0"/>
          <w:i w:val="0"/>
          <w:sz w:val="24"/>
          <w:vertAlign w:val="subscript"/>
        </w:rPr>
        <w:t>OC</w:t>
      </w:r>
      <w:r>
        <w:rPr>
          <w:rFonts w:ascii="Times New Roman" w:hAnsi="Times New Roman"/>
          <w:b w:val="0"/>
          <w:i w:val="0"/>
          <w:sz w:val="24"/>
        </w:rPr>
        <w:t xml:space="preserve"> = 1.12 V, J</w:t>
      </w:r>
      <w:r>
        <w:rPr>
          <w:rFonts w:ascii="Times New Roman" w:hAnsi="Times New Roman"/>
          <w:b w:val="0"/>
          <w:i w:val="0"/>
          <w:sz w:val="24"/>
          <w:vertAlign w:val="subscript"/>
        </w:rPr>
        <w:t>SC</w:t>
      </w:r>
      <w:r>
        <w:rPr>
          <w:rFonts w:ascii="Times New Roman" w:hAnsi="Times New Roman"/>
          <w:b w:val="0"/>
          <w:i w:val="0"/>
          <w:sz w:val="24"/>
        </w:rPr>
        <w:t xml:space="preserve"> = 30.32 mA/cm², FF = 78.92%, and PCE = 26.80%. Note that the consolidated final-device values are obtained from this single SCAPS-1D simulation run and are not a simple arithmetic combination of the per-step optima reported in Figs. 3–13. The interaction between optimized parameters in the consolidated solution can shift individual performance metrics relative to their per-step values, the fill factor, for instance, drops from per-step optima above 83% (Figs. 7 and 10) to 78.92% in the consolidated device because the combined effect of the optimized bandgap, defect densities, DOS values, and ETL/HTL thicknesses produces a different J–V curve shape than any single-parameter optimum.</w:t>
      </w:r>
    </w:p>
    <w:p>
      <w:pPr>
        <w:keepNext/>
        <w:spacing w:before="120" w:after="40"/>
        <w:jc w:val="center"/>
      </w:pPr>
      <w:r>
        <w:rPr>
          <w:rFonts w:ascii="Times New Roman" w:hAnsi="Times New Roman"/>
          <w:b/>
          <w:i w:val="0"/>
          <w:sz w:val="20"/>
        </w:rPr>
        <w:t>Table VII. Optimized material parameters of the proposed FTO/TiO</w:t>
      </w:r>
      <w:r>
        <w:rPr>
          <w:rFonts w:ascii="Times New Roman" w:hAnsi="Times New Roman"/>
          <w:b/>
          <w:i w:val="0"/>
          <w:sz w:val="20"/>
          <w:vertAlign w:val="subscript"/>
        </w:rPr>
        <w:t>2</w:t>
      </w:r>
      <w:r>
        <w:rPr>
          <w:rFonts w:ascii="Times New Roman" w:hAnsi="Times New Roman"/>
          <w:b/>
          <w:i w:val="0"/>
          <w:sz w:val="20"/>
        </w:rPr>
        <w:t>/RbGeI</w:t>
      </w:r>
      <w:r>
        <w:rPr>
          <w:rFonts w:ascii="Times New Roman" w:hAnsi="Times New Roman"/>
          <w:b/>
          <w:i w:val="0"/>
          <w:sz w:val="20"/>
          <w:vertAlign w:val="subscript"/>
        </w:rPr>
        <w:t>3</w:t>
      </w:r>
      <w:r>
        <w:rPr>
          <w:rFonts w:ascii="Times New Roman" w:hAnsi="Times New Roman"/>
          <w:b/>
          <w:i w:val="0"/>
          <w:sz w:val="20"/>
        </w:rPr>
        <w:t>/CuI/Au perovskite solar cell.</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872"/>
        <w:gridCol w:w="1872"/>
        <w:gridCol w:w="1872"/>
        <w:gridCol w:w="1872"/>
        <w:gridCol w:w="1872"/>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Parameter</w:t>
            </w:r>
          </w:p>
        </w:tc>
        <w:tc>
          <w:tcPr>
            <w:tcW w:type="dxa" w:w="1361"/>
            <w:tcBorders>
              <w:bottom w:val="single" w:sz="4" w:space="0" w:color="000000"/>
            </w:tcBorders>
          </w:tcPr>
          <w:p>
            <w:pPr>
              <w:jc w:val="center"/>
            </w:pPr>
            <w:r>
              <w:rPr>
                <w:rFonts w:ascii="Times New Roman" w:hAnsi="Times New Roman" w:cs="Times New Roman"/>
                <w:sz w:val="20"/>
                <w:b w:val="0"/>
                <w:i w:val="0"/>
              </w:rPr>
              <w:t>TiO</w:t>
            </w:r>
            <w:r>
              <w:rPr>
                <w:rFonts w:ascii="Times New Roman" w:hAnsi="Times New Roman" w:cs="Times New Roman"/>
                <w:vertAlign w:val="subscript"/>
                <w:sz w:val="20"/>
                <w:b w:val="0"/>
                <w:i w:val="0"/>
              </w:rPr>
              <w:t>2</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FTO</w:t>
            </w:r>
          </w:p>
        </w:tc>
        <w:tc>
          <w:tcPr>
            <w:tcW w:type="dxa" w:w="1361"/>
            <w:tcBorders>
              <w:bottom w:val="single" w:sz="4" w:space="0" w:color="000000"/>
            </w:tcBorders>
          </w:tcPr>
          <w:p>
            <w:pPr>
              <w:jc w:val="center"/>
            </w:pPr>
            <w:r>
              <w:rPr>
                <w:rFonts w:ascii="Times New Roman" w:hAnsi="Times New Roman" w:cs="Times New Roman"/>
                <w:sz w:val="20"/>
                <w:b w:val="0"/>
                <w:i w:val="0"/>
              </w:rPr>
              <w:t>RbGeI</w:t>
            </w:r>
            <w:r>
              <w:rPr>
                <w:rFonts w:ascii="Times New Roman" w:hAnsi="Times New Roman" w:cs="Times New Roman"/>
                <w:vertAlign w:val="subscript"/>
                <w:sz w:val="20"/>
                <w:b w:val="0"/>
                <w:i w:val="0"/>
              </w:rPr>
              <w:t>3</w:t>
            </w:r>
          </w:p>
        </w:tc>
        <w:tc>
          <w:tcPr>
            <w:tcW w:type="dxa" w:w="1361"/>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CuI</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Thickness (nm)</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500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700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Bandgap E</w:t>
            </w:r>
            <w:r>
              <w:rPr>
                <w:rFonts w:ascii="Times New Roman" w:hAnsi="Times New Roman" w:cs="Times New Roman"/>
                <w:vertAlign w:val="subscript"/>
                <w:sz w:val="18"/>
                <w:b w:val="0"/>
                <w:i w:val="0"/>
              </w:rPr>
              <w:t>g</w:t>
            </w:r>
            <w:r>
              <w:rPr>
                <w:rFonts w:ascii="Times New Roman" w:hAnsi="Times New Roman" w:cs="Times New Roman"/>
                <w:sz w:val="18"/>
                <w:b w:val="0"/>
                <w:i w:val="0"/>
              </w:rPr>
              <w:t xml:space="preserve">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3.2</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3.1</w:t>
            </w:r>
          </w:p>
        </w:tc>
      </w:tr>
      <w:tr>
        <w:trPr>
          <w:cantSplit w:val="true"/>
        </w:trPr>
        <w:tc>
          <w:tcPr>
            <w:tcW w:type="dxa" w:w="3118"/>
          </w:tcPr>
          <w:p>
            <w:pPr>
              <w:jc w:val="left"/>
            </w:pPr>
            <w:r>
              <w:rPr>
                <w:rFonts w:ascii="Times New Roman" w:hAnsi="Times New Roman" w:cs="Times New Roman"/>
                <w:b w:val="0"/>
                <w:i w:val="0"/>
                <w:sz w:val="18"/>
              </w:rPr>
            </w:r>
            <w:r>
              <w:rPr>
                <w:rFonts w:ascii="Times New Roman" w:hAnsi="Times New Roman" w:cs="Times New Roman"/>
                <w:b w:val="0"/>
                <w:i w:val="0"/>
                <w:sz w:val="18"/>
              </w:rPr>
              <w:t>Electron affinity χ (eV)</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4.4</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3.9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w:t>
            </w:r>
          </w:p>
        </w:tc>
      </w:tr>
      <w:tr>
        <w:trPr>
          <w:cantSplit w:val="true"/>
        </w:trPr>
        <w:tc>
          <w:tcPr>
            <w:tcW w:type="dxa" w:w="3118"/>
          </w:tcPr>
          <w:p>
            <w:pPr>
              <w:jc w:val="left"/>
            </w:pPr>
            <w:r>
              <w:rPr>
                <w:rFonts w:ascii="Times New Roman" w:hAnsi="Times New Roman" w:cs="Times New Roman"/>
                <w:sz w:val="18"/>
                <w:b w:val="0"/>
                <w:i w:val="0"/>
              </w:rPr>
              <w:t>Dielectric permittivity ε</w:t>
            </w:r>
            <w:r>
              <w:rPr>
                <w:rFonts w:ascii="Times New Roman" w:hAnsi="Times New Roman" w:cs="Times New Roman"/>
                <w:vertAlign w:val="subscript"/>
                <w:sz w:val="18"/>
                <w:b w:val="0"/>
                <w:i w:val="0"/>
              </w:rPr>
              <w:t>r</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15</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6.5</w:t>
            </w:r>
          </w:p>
        </w:tc>
      </w:tr>
      <w:tr>
        <w:trPr>
          <w:cantSplit w:val="true"/>
        </w:trPr>
        <w:tc>
          <w:tcPr>
            <w:tcW w:type="dxa" w:w="3118"/>
          </w:tcPr>
          <w:p>
            <w:pPr>
              <w:jc w:val="left"/>
            </w:pPr>
            <w:r>
              <w:rPr>
                <w:rFonts w:ascii="Times New Roman" w:hAnsi="Times New Roman" w:cs="Times New Roman"/>
                <w:sz w:val="18"/>
                <w:b w:val="0"/>
                <w:i w:val="0"/>
              </w:rPr>
              <w:t>CB effective DOS N</w:t>
            </w:r>
            <w:r>
              <w:rPr>
                <w:rFonts w:ascii="Times New Roman" w:hAnsi="Times New Roman" w:cs="Times New Roman"/>
                <w:vertAlign w:val="subscript"/>
                <w:sz w:val="18"/>
                <w:b w:val="0"/>
                <w:i w:val="0"/>
              </w:rPr>
              <w:t>C</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2.2×10¹⁸</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1×10¹⁷</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2.8×10¹⁹</w:t>
            </w:r>
          </w:p>
        </w:tc>
      </w:tr>
      <w:tr>
        <w:trPr>
          <w:cantSplit w:val="true"/>
        </w:trPr>
        <w:tc>
          <w:tcPr>
            <w:tcW w:type="dxa" w:w="3118"/>
          </w:tcPr>
          <w:p>
            <w:pPr>
              <w:jc w:val="left"/>
            </w:pPr>
            <w:r>
              <w:rPr>
                <w:rFonts w:ascii="Times New Roman" w:hAnsi="Times New Roman" w:cs="Times New Roman"/>
                <w:sz w:val="18"/>
                <w:b w:val="0"/>
                <w:i w:val="0"/>
              </w:rPr>
              <w:t>VB effective DOS N</w:t>
            </w:r>
            <w:r>
              <w:rPr>
                <w:rFonts w:ascii="Times New Roman" w:hAnsi="Times New Roman" w:cs="Times New Roman"/>
                <w:vertAlign w:val="subscript"/>
                <w:sz w:val="18"/>
                <w:b w:val="0"/>
                <w:i w:val="0"/>
              </w:rPr>
              <w:t>V</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1.8×10¹⁹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1×10¹⁷</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r>
      <w:tr>
        <w:trPr>
          <w:cantSplit w:val="true"/>
        </w:trPr>
        <w:tc>
          <w:tcPr>
            <w:tcW w:type="dxa" w:w="3118"/>
          </w:tcPr>
          <w:p>
            <w:pPr>
              <w:jc w:val="left"/>
            </w:pPr>
            <w:r>
              <w:rPr>
                <w:rFonts w:ascii="Times New Roman" w:hAnsi="Times New Roman" w:cs="Times New Roman"/>
                <w:sz w:val="18"/>
                <w:b w:val="0"/>
                <w:i w:val="0"/>
              </w:rPr>
              <w:t>Electron mobility μ</w:t>
            </w:r>
            <w:r>
              <w:rPr>
                <w:rFonts w:ascii="Times New Roman" w:hAnsi="Times New Roman" w:cs="Times New Roman"/>
                <w:vertAlign w:val="subscript"/>
                <w:sz w:val="18"/>
                <w:b w:val="0"/>
                <w:i w:val="0"/>
              </w:rPr>
              <w:t>e</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28.6</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100</w:t>
            </w:r>
          </w:p>
        </w:tc>
      </w:tr>
      <w:tr>
        <w:trPr>
          <w:cantSplit w:val="true"/>
        </w:trPr>
        <w:tc>
          <w:tcPr>
            <w:tcW w:type="dxa" w:w="3118"/>
          </w:tcPr>
          <w:p>
            <w:pPr>
              <w:jc w:val="left"/>
            </w:pPr>
            <w:r>
              <w:rPr>
                <w:rFonts w:ascii="Times New Roman" w:hAnsi="Times New Roman" w:cs="Times New Roman"/>
                <w:sz w:val="18"/>
                <w:b w:val="0"/>
                <w:i w:val="0"/>
              </w:rPr>
              <w:t>Hole mobility μ</w:t>
            </w:r>
            <w:r>
              <w:rPr>
                <w:rFonts w:ascii="Times New Roman" w:hAnsi="Times New Roman" w:cs="Times New Roman"/>
                <w:vertAlign w:val="subscript"/>
                <w:sz w:val="18"/>
                <w:b w:val="0"/>
                <w:i w:val="0"/>
              </w:rPr>
              <w:t>p</w:t>
            </w:r>
            <w:r>
              <w:rPr>
                <w:rFonts w:ascii="Times New Roman" w:hAnsi="Times New Roman" w:cs="Times New Roman"/>
                <w:sz w:val="18"/>
                <w:b w:val="0"/>
                <w:i w:val="0"/>
              </w:rPr>
              <w:t xml:space="preserve"> (cm² V⁻¹ s⁻¹)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27.3</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43.9</w:t>
            </w:r>
          </w:p>
        </w:tc>
      </w:tr>
      <w:tr>
        <w:trPr>
          <w:cantSplit w:val="true"/>
        </w:trPr>
        <w:tc>
          <w:tcPr>
            <w:tcW w:type="dxa" w:w="3118"/>
          </w:tcPr>
          <w:p>
            <w:pPr>
              <w:jc w:val="left"/>
            </w:pPr>
            <w:r>
              <w:rPr>
                <w:rFonts w:ascii="Times New Roman" w:hAnsi="Times New Roman" w:cs="Times New Roman"/>
                <w:sz w:val="18"/>
                <w:b w:val="0"/>
                <w:i w:val="0"/>
              </w:rPr>
              <w:t>Donor density N</w:t>
            </w:r>
            <w:r>
              <w:rPr>
                <w:rFonts w:ascii="Times New Roman" w:hAnsi="Times New Roman" w:cs="Times New Roman"/>
                <w:vertAlign w:val="subscript"/>
                <w:sz w:val="18"/>
                <w:b w:val="0"/>
                <w:i w:val="0"/>
              </w:rPr>
              <w:t>D</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9×10¹⁶</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r>
      <w:tr>
        <w:trPr>
          <w:cantSplit w:val="true"/>
        </w:trPr>
        <w:tc>
          <w:tcPr>
            <w:tcW w:type="dxa" w:w="3118"/>
          </w:tcPr>
          <w:p>
            <w:pPr>
              <w:jc w:val="left"/>
            </w:pPr>
            <w:r>
              <w:rPr>
                <w:rFonts w:ascii="Times New Roman" w:hAnsi="Times New Roman" w:cs="Times New Roman"/>
                <w:sz w:val="18"/>
                <w:b w:val="0"/>
                <w:i w:val="0"/>
              </w:rPr>
              <w:t>Acceptor density N</w:t>
            </w:r>
            <w:r>
              <w:rPr>
                <w:rFonts w:ascii="Times New Roman" w:hAnsi="Times New Roman" w:cs="Times New Roman"/>
                <w:vertAlign w:val="subscript"/>
                <w:sz w:val="18"/>
                <w:b w:val="0"/>
                <w:i w:val="0"/>
              </w:rPr>
              <w:t>a</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0</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1×10⁹</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1×10¹⁸</w:t>
            </w:r>
          </w:p>
        </w:tc>
      </w:tr>
      <w:tr>
        <w:trPr>
          <w:cantSplit w:val="true"/>
        </w:trPr>
        <w:tc>
          <w:tcPr>
            <w:tcW w:type="dxa" w:w="3118"/>
          </w:tcPr>
          <w:p>
            <w:pPr>
              <w:jc w:val="left"/>
            </w:pPr>
            <w:r>
              <w:rPr>
                <w:rFonts w:ascii="Times New Roman" w:hAnsi="Times New Roman" w:cs="Times New Roman"/>
                <w:sz w:val="18"/>
                <w:b w:val="0"/>
                <w:i w:val="0"/>
              </w:rPr>
              <w:t>Bulk defect density N</w:t>
            </w:r>
            <w:r>
              <w:rPr>
                <w:rFonts w:ascii="Times New Roman" w:hAnsi="Times New Roman" w:cs="Times New Roman"/>
                <w:vertAlign w:val="subscript"/>
                <w:sz w:val="18"/>
                <w:b w:val="0"/>
                <w:i w:val="0"/>
              </w:rPr>
              <w:t>t</w:t>
            </w:r>
            <w:r>
              <w:rPr>
                <w:rFonts w:ascii="Times New Roman" w:hAnsi="Times New Roman" w:cs="Times New Roman"/>
                <w:sz w:val="18"/>
                <w:b w:val="0"/>
                <w:i w:val="0"/>
              </w:rPr>
              <w:t xml:space="preserve"> (cm⁻³)</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1×10¹⁵</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c>
          <w:tcPr>
            <w:tcW w:type="dxa" w:w="1361"/>
          </w:tcPr>
          <w:p>
            <w:pPr>
              <w:jc w:val="center"/>
            </w:pPr>
            <w:r>
              <w:rPr>
                <w:rFonts w:ascii="Times New Roman" w:hAnsi="Times New Roman" w:cs="Times New Roman"/>
                <w:b w:val="0"/>
                <w:i w:val="0"/>
                <w:sz w:val="18"/>
              </w:r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b w:val="0"/>
          <w:i/>
          <w:sz w:val="20"/>
        </w:rPr>
        <w:t>Note: The optimized interface defect density was 1 × 10¹⁴ cm⁻² for both the TiO</w:t>
      </w:r>
      <w:r>
        <w:rPr>
          <w:rFonts w:ascii="Times New Roman" w:hAnsi="Times New Roman"/>
          <w:b w:val="0"/>
          <w:i/>
          <w:sz w:val="20"/>
          <w:vertAlign w:val="subscript"/>
        </w:rPr>
        <w:t>2</w:t>
      </w:r>
      <w:r>
        <w:rPr>
          <w:rFonts w:ascii="Times New Roman" w:hAnsi="Times New Roman"/>
          <w:b w:val="0"/>
          <w:i/>
          <w:sz w:val="20"/>
        </w:rPr>
        <w:t>/RbGeI</w:t>
      </w:r>
      <w:r>
        <w:rPr>
          <w:rFonts w:ascii="Times New Roman" w:hAnsi="Times New Roman"/>
          <w:b w:val="0"/>
          <w:i/>
          <w:sz w:val="20"/>
          <w:vertAlign w:val="subscript"/>
        </w:rPr>
        <w:t>3</w:t>
      </w:r>
      <w:r>
        <w:rPr>
          <w:rFonts w:ascii="Times New Roman" w:hAnsi="Times New Roman"/>
          <w:b w:val="0"/>
          <w:i/>
          <w:sz w:val="20"/>
        </w:rPr>
        <w:t xml:space="preserve"> and RbGeI</w:t>
      </w:r>
      <w:r>
        <w:rPr>
          <w:rFonts w:ascii="Times New Roman" w:hAnsi="Times New Roman"/>
          <w:b w:val="0"/>
          <w:i/>
          <w:sz w:val="20"/>
          <w:vertAlign w:val="subscript"/>
        </w:rPr>
        <w:t>3</w:t>
      </w:r>
      <w:r>
        <w:rPr>
          <w:rFonts w:ascii="Times New Roman" w:hAnsi="Times New Roman"/>
          <w:b w:val="0"/>
          <w:i/>
          <w:sz w:val="20"/>
        </w:rPr>
        <w:t>/CuI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(1.12 × 30.32 × 0.7892) / 100 = 26.79%, which matches the SCAPS-1D output of 26.80% to within rounding, confirming the internal arithmetical consistency of the final reported device.</w:t>
      </w:r>
    </w:p>
    <w:p>
      <w:pPr>
        <w:pStyle w:val="Heading2"/>
      </w:pPr>
      <w:r>
        <w:t>Q.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w:t>
      </w:r>
      <w:r>
        <w:rPr>
          <w:rFonts w:ascii="Times New Roman" w:hAnsi="Times New Roman"/>
          <w:sz w:val="22"/>
          <w:vertAlign w:val="subscript"/>
        </w:rPr>
        <w:t>C</w:t>
      </w:r>
      <w:r>
        <w:rPr>
          <w:rFonts w:ascii="Times New Roman" w:hAnsi="Times New Roman"/>
          <w:sz w:val="22"/>
        </w:rPr>
        <w:t xml:space="preserve"> and N</w:t>
      </w:r>
      <w:r>
        <w:rPr>
          <w:rFonts w:ascii="Times New Roman" w:hAnsi="Times New Roman"/>
          <w:sz w:val="22"/>
          <w:vertAlign w:val="subscript"/>
        </w:rPr>
        <w:t>V</w:t>
      </w:r>
      <w:r>
        <w:rPr>
          <w:rFonts w:ascii="Times New Roman" w:hAnsi="Times New Roman"/>
          <w:sz w:val="22"/>
        </w:rPr>
        <w:t xml:space="preserve"> (1×10¹⁷–1×10¹⁹ cm⁻³ each), and dielectric constant (15–23).</w:t>
      </w:r>
    </w:p>
    <w:p>
      <w:pPr>
        <w:keepNext/>
        <w:keepLines/>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17. Uncertainty quantification results (N = 200). Histograms of PCE, V</w:t>
      </w:r>
      <w:r>
        <w:rPr>
          <w:rFonts w:ascii="Times New Roman" w:hAnsi="Times New Roman"/>
          <w:i/>
          <w:sz w:val="20"/>
          <w:vertAlign w:val="subscript"/>
        </w:rPr>
        <w:t>OC</w:t>
      </w:r>
      <w:r>
        <w:rPr>
          <w:rFonts w:ascii="Times New Roman" w:hAnsi="Times New Roman"/>
          <w:i/>
          <w:sz w:val="20"/>
        </w:rPr>
        <w:t>, J</w:t>
      </w:r>
      <w:r>
        <w:rPr>
          <w:rFonts w:ascii="Times New Roman" w:hAnsi="Times New Roman"/>
          <w:i/>
          <w:sz w:val="20"/>
          <w:vertAlign w:val="subscript"/>
        </w:rPr>
        <w:t>SC</w:t>
      </w:r>
      <w:r>
        <w:rPr>
          <w:rFonts w:ascii="Times New Roman" w:hAnsi="Times New Roman"/>
          <w:i/>
          <w:sz w:val="20"/>
        </w:rPr>
        <w:t>, and FF.</w:t>
      </w:r>
    </w:p>
    <w:p>
      <w:pPr>
        <w:jc w:val="both"/>
      </w:pPr>
      <w:r>
        <w:rPr>
          <w:rFonts w:ascii="Times New Roman" w:hAnsi="Times New Roman"/>
          <w:sz w:val="22"/>
        </w:rPr>
        <w:t xml:space="preserve">Mean PCE = 25.92 ± 1.78 % (median 25.85 %), with 5th/95th percentiles 23.38 % / 28.81 %. Mean </w:t>
      </w:r>
      <w:r>
        <w:rPr>
          <w:rFonts w:ascii="Times New Roman" w:hAnsi="Times New Roman"/>
          <w:sz w:val="22"/>
        </w:rPr>
        <w:t xml:space="preserve">V</w:t>
      </w:r>
      <w:r>
        <w:rPr>
          <w:rFonts w:ascii="Times New Roman" w:hAnsi="Times New Roman"/>
          <w:sz w:val="22"/>
          <w:vertAlign w:val="subscript"/>
        </w:rPr>
        <w:t xml:space="preserve">OC</w:t>
      </w:r>
      <w:r>
        <w:rPr>
          <w:rFonts w:ascii="Times New Roman" w:hAnsi="Times New Roman"/>
          <w:sz w:val="22"/>
        </w:rPr>
        <w:t xml:space="preserve"> = 1.087 ± 0.021 V. The UQ gives a 5th-to-95th percentile window of 23.38–28.81 %.</w:t>
      </w:r>
    </w:p>
    <w:p>
      <w:pPr>
        <w:pStyle w:val="Heading2"/>
      </w:pPr>
      <w:r>
        <w:t>R. Illumination dependence</w:t>
      </w:r>
    </w:p>
    <w:p>
      <w:r>
        <w:rPr/>
        <w:t>The performance of the optimized device was evaluated under illumination intensities ranging from 0.1 to 1.5 suns (Figure 18). J</w:t>
      </w:r>
      <w:r>
        <w:rPr>
          <w:vertAlign w:val="subscript"/>
        </w:rPr>
        <w:t>SC</w:t>
      </w:r>
      <w:r>
        <w:rPr/>
        <w:t xml:space="preserve"> scales almost linearly with intensity, as expected from the linear dependence of the photogenerated carrier density on the photon flux, whereas V</w:t>
      </w:r>
      <w:r>
        <w:rPr>
          <w:vertAlign w:val="subscript"/>
        </w:rPr>
        <w:t>OC</w:t>
      </w:r>
      <w:r>
        <w:rPr/>
        <w:t xml:space="preserve"> increases logarithmically with intensity. The logarithmic slope of V</w:t>
      </w:r>
      <w:r>
        <w:rPr>
          <w:vertAlign w:val="subscript"/>
        </w:rPr>
        <w:t>OC</w:t>
      </w:r>
      <w:r>
        <w:rPr/>
        <w:t xml:space="preserve"> versus illumination intensity corresponds to an ideality factor of n ≈ 1.17, indicating that Shockley–Read–Hall recombination through deep defects is not dominant under operating conditions. The device therefore operates efficiently across the full 0.1–1.5 sun range tested.</w:t>
      </w:r>
    </w:p>
    <w:p>
      <w:pPr>
        <w:keepNext/>
        <w:keepLines/>
        <w:jc w:val="center"/>
      </w:pPr>
      <w:r/>
      <w:r>
        <w:drawing>
          <wp:inline xmlns:a="http://schemas.openxmlformats.org/drawingml/2006/main" xmlns:pic="http://schemas.openxmlformats.org/drawingml/2006/picture">
            <wp:extent cx="4457700" cy="3109133"/>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457700" cy="3109133"/>
                    </a:xfrm>
                    <a:prstGeom prst="rect"/>
                  </pic:spPr>
                </pic:pic>
              </a:graphicData>
            </a:graphic>
          </wp:inline>
        </w:drawing>
      </w:r>
    </w:p>
    <w:p>
      <w:pPr>
        <w:jc w:val="center"/>
      </w:pPr>
      <w:r>
        <w:rPr>
          <w:sz w:val="20"/>
        </w:rPr>
        <w:t>Fig. 18. Variation of photovoltaic parameters of the optimized device with illumination intensity from 0.1 to 1.5 suns.</w:t>
      </w:r>
    </w:p>
    <w:p>
      <w:pPr>
        <w:pStyle w:val="Heading2"/>
      </w:pPr>
      <w:r>
        <w:t>S. Dark J–V characteristics</w:t>
      </w:r>
    </w:p>
    <w:p>
      <w:r>
        <w:rPr/>
        <w:t xml:space="preserve">The dark J–V characteristic of the optimized device (Figure 19) exhibits strong rectifying behavior. Over the recorded bias window (−0.5 to +1.3 V), the forward current density at +1 V exceeds the reverse current density at −0.5 V by a factor of 1.8×10¹⁰, indicating strong rectification. The reverse leakage current density remains below 10⁻¹⁰ A/cm² throughout the recorded reverse-bias range. Fitting the exponential forward region yields an ideality factor of n ≈ 1.5 and a reverse saturation current density of approximately J0 ≈ 5×10⁻¹¹ A/cm², confirming the high quality of the optimized bulk and interface layers and the absence of measurable shunt paths.</w:t>
      </w:r>
    </w:p>
    <w:p>
      <w:pPr>
        <w:keepNext/>
        <w:keepLines/>
        <w:jc w:val="center"/>
      </w:pPr>
      <w:r/>
      <w:r>
        <w:drawing>
          <wp:inline xmlns:a="http://schemas.openxmlformats.org/drawingml/2006/main" xmlns:pic="http://schemas.openxmlformats.org/drawingml/2006/picture">
            <wp:extent cx="4457700" cy="1853159"/>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457700" cy="1853159"/>
                    </a:xfrm>
                    <a:prstGeom prst="rect"/>
                  </pic:spPr>
                </pic:pic>
              </a:graphicData>
            </a:graphic>
          </wp:inline>
        </w:drawing>
      </w:r>
    </w:p>
    <w:p>
      <w:pPr>
        <w:jc w:val="center"/>
      </w:pPr>
      <w:r>
        <w:rPr>
          <w:sz w:val="20"/>
        </w:rPr>
        <w:t>Fig. 19. Dark J–V characteristic of the optimized device. The forward branch is exponential over nearly three decades; the reverse branch remains below 10⁻¹⁰ A/cm².</w:t>
      </w:r>
    </w:p>
    <w:p>
      <w:pPr>
        <w:pStyle w:val="Heading2"/>
      </w:pPr>
      <w:r>
        <w:t>T. Temperature Dependence</w:t>
      </w:r>
    </w:p>
    <w:p>
      <w:pPr>
        <w:jc w:val="both"/>
      </w:pPr>
      <w:r>
        <w:rPr>
          <w:rFonts w:ascii="Times New Roman" w:hAnsi="Times New Roman"/>
          <w:sz w:val="22"/>
        </w:rPr>
        <w:t>Temperature dependence from 280 K to 400 K (20 K increments) under AM 1.5G.</w:t>
      </w:r>
    </w:p>
    <w:p>
      <w:pPr>
        <w:keepNext/>
        <w:keepLines/>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20. Temperature dependence of photovoltaic parameters from 280 K to 400 K.</w:t>
      </w:r>
    </w:p>
    <w:p>
      <w:pPr>
        <w:jc w:val="both"/>
      </w:pPr>
      <w:r>
        <w:rPr>
          <w:rFonts w:ascii="Times New Roman" w:hAnsi="Times New Roman"/>
          <w:sz w:val="22"/>
        </w:rPr>
        <w:t>dV</w:t>
      </w:r>
      <w:r>
        <w:rPr>
          <w:rFonts w:ascii="Times New Roman" w:hAnsi="Times New Roman"/>
          <w:sz w:val="22"/>
          <w:vertAlign w:val="subscript"/>
        </w:rPr>
        <w:t>OC</w:t>
      </w:r>
      <w:r>
        <w:rPr>
          <w:rFonts w:ascii="Times New Roman" w:hAnsi="Times New Roman"/>
          <w:sz w:val="22"/>
        </w:rPr>
        <w:t>/dT = −1.10 mV/K, dPCE/dT = −0.0304 %/K. J</w:t>
      </w:r>
      <w:r>
        <w:rPr>
          <w:rFonts w:ascii="Times New Roman" w:hAnsi="Times New Roman"/>
          <w:sz w:val="22"/>
          <w:vertAlign w:val="subscript"/>
        </w:rPr>
        <w:t>SC</w:t>
      </w:r>
      <w:r>
        <w:rPr>
          <w:rFonts w:ascii="Times New Roman" w:hAnsi="Times New Roman"/>
          <w:sz w:val="22"/>
        </w:rPr>
        <w:t xml:space="preserve"> increases marginally. FF peaks at 340 K (80.27 %). Device retains &gt;85 % of RT PCE at 400 K.</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b w:val="0"/>
          <w:i w:val="0"/>
          <w:sz w:val="24"/>
        </w:rPr>
        <w:t xml:space="preserve">Table VIII compares the optimized FTO/</w:t>
      </w:r>
      <w:r>
        <w:rPr>
          <w:rFonts w:ascii="Times New Roman" w:hAnsi="Times New Roman"/>
          <w:b w:val="0"/>
          <w:i w:val="0"/>
          <w:sz w:val="24"/>
        </w:rPr>
        <w:t xml:space="preserve">TiO</w:t>
      </w:r>
      <w:r>
        <w:rPr>
          <w:rFonts w:ascii="Times New Roman" w:hAnsi="Times New Roman"/>
          <w:b w:val="0"/>
          <w:i w:val="0"/>
          <w:sz w:val="24"/>
          <w:vertAlign w:val="subscript"/>
        </w:rPr>
        <w:t xml:space="preserve">2</w:t>
      </w:r>
      <w:r>
        <w:rPr>
          <w:rFonts w:ascii="Times New Roman" w:hAnsi="Times New Roman"/>
          <w:b w:val="0"/>
          <w:i w:val="0"/>
          <w:sz w:val="24"/>
        </w:rPr>
        <w:t xml:space="preserve">/</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/CuI/Au device with recently reported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-based and related lead-free Ge/Sn-based perovskite solar cells. The proposed device delivers the highest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(1.12 V) among the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simulation studies and a PCE of 26.80%, within 0.41 pp of the best reported value (27.21%, Loumachi et al. [22]) and exceeding the 26.47% of Pathak et al. [23] by 0.33 pp, the 18.60% of Raj et al. [39] by 8.20 pp, and the 9.77% simulation baseline of Pindolia et al. [14] by 17 pp. The performance is competitive with the best tin-based lead-free devices (including the 26.40% </w:t>
      </w:r>
      <w:r>
        <w:rPr>
          <w:rFonts w:ascii="Times New Roman" w:hAnsi="Times New Roman"/>
          <w:b w:val="0"/>
          <w:i w:val="0"/>
          <w:sz w:val="24"/>
        </w:rPr>
        <w:t xml:space="preserve">CsSnI</w:t>
      </w:r>
      <w:r>
        <w:rPr>
          <w:rFonts w:ascii="Times New Roman" w:hAnsi="Times New Roman"/>
          <w:b w:val="0"/>
          <w:i w:val="0"/>
          <w:sz w:val="24"/>
          <w:vertAlign w:val="subscript"/>
        </w:rPr>
        <w:t xml:space="preserve">3</w:t>
      </w:r>
      <w:r>
        <w:rPr>
          <w:rFonts w:ascii="Times New Roman" w:hAnsi="Times New Roman"/>
          <w:b w:val="0"/>
          <w:i w:val="0"/>
          <w:sz w:val="24"/>
        </w:rPr>
        <w:t xml:space="preserve"> device of Park et al. [40] and the 25.98% </w:t>
      </w:r>
      <w:r>
        <w:rPr>
          <w:rFonts w:ascii="Times New Roman" w:hAnsi="Times New Roman"/>
          <w:b w:val="0"/>
          <w:i w:val="0"/>
          <w:sz w:val="24"/>
        </w:rPr>
        <w:t xml:space="preserve">MASnI</w:t>
      </w:r>
      <w:r>
        <w:rPr>
          <w:rFonts w:ascii="Times New Roman" w:hAnsi="Times New Roman"/>
          <w:b w:val="0"/>
          <w:i w:val="0"/>
          <w:sz w:val="24"/>
          <w:vertAlign w:val="subscript"/>
        </w:rPr>
        <w:t xml:space="preserve">3</w:t>
      </w:r>
      <w:r>
        <w:rPr>
          <w:rFonts w:ascii="Times New Roman" w:hAnsi="Times New Roman"/>
          <w:b w:val="0"/>
          <w:i w:val="0"/>
          <w:sz w:val="24"/>
        </w:rPr>
        <w:t xml:space="preserve"> device of Islam et al. [41]), while avoiding the Sn²⁺ → Sn⁴⁺ oxidation that limits the long-term stability of tin-based absorbers. The proposed PCE also exceeds that of CZTS-HTL lead-free devices reported by Piñón Reyes et al. [42], confirming the competitiveness of the all-inorganic CuI HTL approach adopted here.</w:t>
      </w:r>
    </w:p>
    <w:p>
      <w:pPr>
        <w:spacing w:line="360" w:lineRule="auto" w:before="120" w:after="120"/>
        <w:ind w:firstLine="283"/>
        <w:jc w:val="both"/>
      </w:pPr>
      <w:r>
        <w:rPr>
          <w:rFonts w:ascii="Times New Roman" w:hAnsi="Times New Roman"/>
          <w:b w:val="0"/>
          <w:i w:val="0"/>
          <w:sz w:val="24"/>
        </w:rPr>
        <w:t xml:space="preserve">All comparator values in Table VIII were cross-checked against the primary sources; where an entry was internally inconsistent, the efficiency consistent with its reported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and FF was adopted. All entries are SCAPS-1D simulation studies, including the Pindolia et al. entry (not an experimental study, despite occasional mischaracterization); the Loumachi et al. device string is ITO/C60/</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/CBTS/Ag (Section II).</w:t>
      </w:r>
    </w:p>
    <w:p>
      <w:pPr>
        <w:keepNext/>
        <w:spacing w:before="120" w:after="40"/>
        <w:jc w:val="center"/>
      </w:pPr>
      <w:r>
        <w:rPr>
          <w:rFonts w:ascii="Times New Roman" w:hAnsi="Times New Roman" w:cs="Times New Roman"/>
          <w:b/>
          <w:i w:val="0"/>
          <w:sz w:val="20"/>
        </w:rPr>
        <w:t>Table VIII. Comparison of the proposed device with recently reported lead-free perovskite solar cells. All comparator values verified against primary sources. All entries are SCAPS-1D simulation studies.</w:t>
      </w:r>
    </w:p>
    <w:tbl>
      <w:tblPr>
        <w:tblStyle w:val="TableNormal"/>
        <w:tblLook w:firstColumn="1" w:firstRow="1" w:lastColumn="0" w:lastRow="0" w:noHBand="0" w:noVBand="1" w:val="04A0"/>
        <w:tblW w:type="pct" w:w="5000"/>
        <w:tblBorders>
          <w:top w:val="single" w:sz="4" w:space="0" w:color="000000"/>
          <w:bottom w:val="single" w:sz="4" w:space="0" w:color="000000"/>
          <w:left w:val="none"/>
          <w:right w:val="none"/>
          <w:insideH w:val="none"/>
          <w:insideV w:val="none"/>
        </w:tblBorders>
        <w:tblLayout w:type="autofit"/>
      </w:tblPr>
      <w:tblGrid>
        <w:gridCol w:w="1337"/>
        <w:gridCol w:w="1337"/>
        <w:gridCol w:w="1337"/>
        <w:gridCol w:w="1337"/>
        <w:gridCol w:w="1337"/>
        <w:gridCol w:w="1337"/>
        <w:gridCol w:w="1337"/>
      </w:tblGrid>
      <w:tr>
        <w:trPr>
          <w:tblHeader w:val="true"/>
          <w:cantSplit w:val="true"/>
        </w:trPr>
        <w:tc>
          <w:tcPr>
            <w:tcW w:type="dxa" w:w="3118"/>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Device Structure</w:t>
            </w:r>
          </w:p>
        </w:tc>
        <w:tc>
          <w:tcPr>
            <w:tcW w:type="dxa" w:w="964"/>
            <w:tcBorders>
              <w:bottom w:val="single" w:sz="4" w:space="0" w:color="000000"/>
            </w:tcBorders>
          </w:tcPr>
          <w:p>
            <w:pPr>
              <w:jc w:val="center"/>
            </w:pPr>
            <w:r>
              <w:rPr>
                <w:rFonts w:ascii="Times New Roman" w:hAnsi="Times New Roman" w:cs="Times New Roman"/>
                <w:sz w:val="20"/>
                <w:b w:val="0"/>
                <w:i w:val="0"/>
              </w:rPr>
              <w:t>V</w:t>
            </w:r>
            <w:r>
              <w:rPr>
                <w:rFonts w:ascii="Times New Roman" w:hAnsi="Times New Roman" w:cs="Times New Roman"/>
                <w:vertAlign w:val="subscript"/>
                <w:sz w:val="20"/>
                <w:b w:val="0"/>
                <w:i w:val="0"/>
              </w:rPr>
              <w:t>OC</w:t>
            </w:r>
            <w:r>
              <w:rPr>
                <w:rFonts w:ascii="Times New Roman" w:hAnsi="Times New Roman" w:cs="Times New Roman"/>
                <w:sz w:val="20"/>
                <w:b w:val="0"/>
                <w:i w:val="0"/>
              </w:rPr>
              <w:t xml:space="preserve"> (V)</w:t>
            </w:r>
          </w:p>
        </w:tc>
        <w:tc>
          <w:tcPr>
            <w:tcW w:type="dxa" w:w="1134"/>
            <w:tcBorders>
              <w:bottom w:val="single" w:sz="4" w:space="0" w:color="000000"/>
            </w:tcBorders>
          </w:tcPr>
          <w:p>
            <w:pPr>
              <w:jc w:val="center"/>
            </w:pPr>
            <w:r>
              <w:rPr>
                <w:rFonts w:ascii="Times New Roman" w:hAnsi="Times New Roman" w:cs="Times New Roman"/>
                <w:sz w:val="20"/>
                <w:b w:val="0"/>
                <w:i w:val="0"/>
              </w:rPr>
              <w:t>J</w:t>
            </w:r>
            <w:r>
              <w:rPr>
                <w:rFonts w:ascii="Times New Roman" w:hAnsi="Times New Roman" w:cs="Times New Roman"/>
                <w:vertAlign w:val="subscript"/>
                <w:sz w:val="20"/>
                <w:b w:val="0"/>
                <w:i w:val="0"/>
              </w:rPr>
              <w:t>SC</w:t>
            </w:r>
            <w:r>
              <w:rPr>
                <w:rFonts w:ascii="Times New Roman" w:hAnsi="Times New Roman" w:cs="Times New Roman"/>
                <w:sz w:val="20"/>
                <w:b w:val="0"/>
                <w:i w:val="0"/>
              </w:rPr>
              <w:t xml:space="preserve"> (mA/cm²)</w:t>
            </w:r>
          </w:p>
        </w:tc>
        <w:tc>
          <w:tcPr>
            <w:tcW w:type="dxa" w:w="7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FF (%)</w:t>
            </w:r>
          </w:p>
        </w:tc>
        <w:tc>
          <w:tcPr>
            <w:tcW w:type="dxa" w:w="79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PCE (%)</w:t>
            </w:r>
          </w:p>
        </w:tc>
        <w:tc>
          <w:tcPr>
            <w:tcW w:type="dxa" w:w="1134"/>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Year [Ref.]</w:t>
            </w:r>
          </w:p>
        </w:tc>
        <w:tc>
          <w:tcPr>
            <w:tcW w:type="dxa" w:w="850"/>
            <w:tcBorders>
              <w:bottom w:val="single" w:sz="4" w:space="0" w:color="000000"/>
            </w:tcBorders>
          </w:tcPr>
          <w:p>
            <w:pPr>
              <w:jc w:val="center"/>
            </w:pPr>
            <w:r>
              <w:rPr>
                <w:rFonts w:ascii="Times New Roman" w:hAnsi="Times New Roman" w:cs="Times New Roman"/>
                <w:b w:val="0"/>
                <w:i w:val="0"/>
                <w:sz w:val="20"/>
              </w:rPr>
            </w:r>
            <w:r>
              <w:rPr>
                <w:rFonts w:ascii="Times New Roman" w:hAnsi="Times New Roman" w:cs="Times New Roman"/>
                <w:b w:val="0"/>
                <w:i w:val="0"/>
                <w:sz w:val="20"/>
              </w:rPr>
              <w:t>Method</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/NiO/Ag</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0.5311</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28.89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63.68</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9.77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2022 [14]</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/CsGeI</w:t>
            </w:r>
            <w:r>
              <w:rPr>
                <w:rFonts w:ascii="Times New Roman" w:hAnsi="Times New Roman" w:cs="Times New Roman"/>
                <w:vertAlign w:val="subscript"/>
                <w:sz w:val="18"/>
                <w:b w:val="0"/>
                <w:i w:val="0"/>
              </w:rPr>
              <w:t>3</w:t>
            </w:r>
            <w:r>
              <w:rPr>
                <w:rFonts w:ascii="Times New Roman" w:hAnsi="Times New Roman" w:cs="Times New Roman"/>
                <w:sz w:val="18"/>
                <w:b w:val="0"/>
                <w:i w:val="0"/>
              </w:rPr>
              <w:t>/CuI/Au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0.667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22.06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73.49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10.80</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2022 [24]</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ITO/C</w:t>
            </w:r>
            <w:r>
              <w:rPr>
                <w:rFonts w:ascii="Times New Roman" w:hAnsi="Times New Roman" w:cs="Times New Roman"/>
                <w:vertAlign w:val="subscript"/>
                <w:sz w:val="18"/>
                <w:b w:val="0"/>
                <w:i w:val="0"/>
              </w:rPr>
              <w:t>60</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/CBTS/Ag</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0.99</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33.20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82.80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27.21</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2024 [22]</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/PEDOT:PSS/Au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0.813</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30.84</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74.19</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18.60</w:t>
            </w:r>
          </w:p>
        </w:tc>
        <w:tc>
          <w:tcPr>
            <w:tcW w:type="dxa" w:w="1134"/>
          </w:tcPr>
          <w:p>
            <w:pPr>
              <w:jc w:val="center"/>
            </w:pPr>
            <w:r>
              <w:rPr>
                <w:rFonts w:ascii="Times New Roman" w:hAnsi="Times New Roman" w:cs="Times New Roman"/>
                <w:b w:val="0"/>
                <w:i w:val="0"/>
                <w:sz w:val="18"/>
              </w:rPr>
              <w:t xml:space="preserve">2025 [39]</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/MASnI</w:t>
            </w:r>
            <w:r>
              <w:rPr>
                <w:rFonts w:ascii="Times New Roman" w:hAnsi="Times New Roman" w:cs="Times New Roman"/>
                <w:vertAlign w:val="subscript"/>
                <w:sz w:val="18"/>
                <w:b w:val="0"/>
                <w:i w:val="0"/>
              </w:rPr>
              <w:t>3</w:t>
            </w:r>
            <w:r>
              <w:rPr>
                <w:rFonts w:ascii="Times New Roman" w:hAnsi="Times New Roman" w:cs="Times New Roman"/>
                <w:sz w:val="18"/>
                <w:b w:val="0"/>
                <w:i w:val="0"/>
              </w:rPr>
              <w:t>/CBTS/Au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1.030</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30.24</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83.41</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25.98</w:t>
            </w:r>
          </w:p>
        </w:tc>
        <w:tc>
          <w:tcPr>
            <w:tcW w:type="dxa" w:w="1134"/>
          </w:tcPr>
          <w:p>
            <w:pPr>
              <w:jc w:val="center"/>
            </w:pPr>
            <w:r>
              <w:rPr>
                <w:rFonts w:ascii="Times New Roman" w:hAnsi="Times New Roman" w:cs="Times New Roman"/>
                <w:b w:val="0"/>
                <w:i w:val="0"/>
                <w:sz w:val="18"/>
              </w:rPr>
              <w:t xml:space="preserve">2026 [41]</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/MASnI</w:t>
            </w:r>
            <w:r>
              <w:rPr>
                <w:rFonts w:ascii="Times New Roman" w:hAnsi="Times New Roman" w:cs="Times New Roman"/>
                <w:vertAlign w:val="subscript"/>
                <w:sz w:val="18"/>
                <w:b w:val="0"/>
                <w:i w:val="0"/>
              </w:rPr>
              <w:t>3</w:t>
            </w:r>
            <w:r>
              <w:rPr>
                <w:rFonts w:ascii="Times New Roman" w:hAnsi="Times New Roman" w:cs="Times New Roman"/>
                <w:sz w:val="18"/>
                <w:b w:val="0"/>
                <w:i w:val="0"/>
              </w:rPr>
              <w:t>/CZTS/Au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0.96</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31.66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67.00</w:t>
            </w:r>
          </w:p>
        </w:tc>
        <w:tc>
          <w:tcPr>
            <w:tcW w:type="dxa" w:w="794"/>
          </w:tcPr>
          <w:p>
            <w:pPr>
              <w:jc w:val="center"/>
            </w:pPr>
            <w:r>
              <w:rPr>
                <w:rFonts w:ascii="Times New Roman" w:hAnsi="Times New Roman" w:cs="Times New Roman"/>
                <w:b w:val="0"/>
                <w:i w:val="0"/>
                <w:sz w:val="18"/>
              </w:rPr>
              <w:t xml:space="preserve">20.36</w:t>
            </w:r>
          </w:p>
        </w:tc>
        <w:tc>
          <w:tcPr>
            <w:tcW w:type="dxa" w:w="1134"/>
          </w:tcPr>
          <w:p>
            <w:pPr>
              <w:jc w:val="center"/>
            </w:pPr>
            <w:r>
              <w:rPr>
                <w:rFonts w:ascii="Times New Roman" w:hAnsi="Times New Roman" w:cs="Times New Roman"/>
                <w:b w:val="0"/>
                <w:i w:val="0"/>
                <w:sz w:val="18"/>
              </w:rPr>
              <w:t xml:space="preserve">2025 [42]</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/CsSnI</w:t>
            </w:r>
            <w:r>
              <w:rPr>
                <w:rFonts w:ascii="Times New Roman" w:hAnsi="Times New Roman" w:cs="Times New Roman"/>
                <w:vertAlign w:val="subscript"/>
                <w:sz w:val="18"/>
                <w:b w:val="0"/>
                <w:i w:val="0"/>
              </w:rPr>
              <w:t>3</w:t>
            </w:r>
            <w:r>
              <w:rPr>
                <w:rFonts w:ascii="Times New Roman" w:hAnsi="Times New Roman" w:cs="Times New Roman"/>
                <w:sz w:val="18"/>
                <w:b w:val="0"/>
                <w:i w:val="0"/>
              </w:rPr>
              <w:t>/P3HT/Au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0.972</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34.70</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78.21</w:t>
            </w:r>
          </w:p>
        </w:tc>
        <w:tc>
          <w:tcPr>
            <w:tcW w:type="dxa" w:w="794"/>
          </w:tcPr>
          <w:p>
            <w:pPr>
              <w:jc w:val="center"/>
            </w:pPr>
            <w:r>
              <w:rPr>
                <w:rFonts w:ascii="Times New Roman" w:hAnsi="Times New Roman" w:cs="Times New Roman"/>
                <w:b w:val="0"/>
                <w:i w:val="0"/>
                <w:sz w:val="18"/>
              </w:rPr>
              <w:t xml:space="preserve">26.38</w:t>
            </w:r>
          </w:p>
        </w:tc>
        <w:tc>
          <w:tcPr>
            <w:tcW w:type="dxa" w:w="1134"/>
          </w:tcPr>
          <w:p>
            <w:pPr>
              <w:jc w:val="center"/>
            </w:pPr>
            <w:r>
              <w:rPr>
                <w:rFonts w:ascii="Times New Roman" w:hAnsi="Times New Roman" w:cs="Times New Roman"/>
                <w:b w:val="0"/>
                <w:i w:val="0"/>
                <w:sz w:val="18"/>
              </w:rPr>
              <w:t xml:space="preserve">2024 [40]</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/Spiro-OMeTAD/Au</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1.1813</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26.31</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85.16</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26.47</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2026 [23]</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r>
        <w:trPr>
          <w:cantSplit w:val="true"/>
        </w:trPr>
        <w:tc>
          <w:tcPr>
            <w:tcW w:type="dxa" w:w="3118"/>
          </w:tcPr>
          <w:p>
            <w:pPr>
              <w:jc w:val="left"/>
            </w:pPr>
            <w:r>
              <w:rPr>
                <w:rFonts w:ascii="Times New Roman" w:hAnsi="Times New Roman" w:cs="Times New Roman"/>
                <w:sz w:val="18"/>
                <w:b w:val="0"/>
                <w:i w:val="0"/>
              </w:rPr>
              <w:t>FTO/TiO</w:t>
            </w:r>
            <w:r>
              <w:rPr>
                <w:rFonts w:ascii="Times New Roman" w:hAnsi="Times New Roman" w:cs="Times New Roman"/>
                <w:vertAlign w:val="subscript"/>
                <w:sz w:val="18"/>
                <w:b w:val="0"/>
                <w:i w:val="0"/>
              </w:rPr>
              <w:t>2</w:t>
            </w:r>
            <w:r>
              <w:rPr>
                <w:rFonts w:ascii="Times New Roman" w:hAnsi="Times New Roman" w:cs="Times New Roman"/>
                <w:sz w:val="18"/>
                <w:b w:val="0"/>
                <w:i w:val="0"/>
              </w:rPr>
              <w:t>/RbGeI</w:t>
            </w:r>
            <w:r>
              <w:rPr>
                <w:rFonts w:ascii="Times New Roman" w:hAnsi="Times New Roman" w:cs="Times New Roman"/>
                <w:vertAlign w:val="subscript"/>
                <w:sz w:val="18"/>
                <w:b w:val="0"/>
                <w:i w:val="0"/>
              </w:rPr>
              <w:t>3</w:t>
            </w:r>
            <w:r>
              <w:rPr>
                <w:rFonts w:ascii="Times New Roman" w:hAnsi="Times New Roman" w:cs="Times New Roman"/>
                <w:sz w:val="18"/>
                <w:b w:val="0"/>
                <w:i w:val="0"/>
              </w:rPr>
              <w:t>/CuI/Au (this work)</w:t>
            </w:r>
          </w:p>
        </w:tc>
        <w:tc>
          <w:tcPr>
            <w:tcW w:type="dxa" w:w="964"/>
          </w:tcPr>
          <w:p>
            <w:pPr>
              <w:jc w:val="center"/>
            </w:pPr>
            <w:r>
              <w:rPr>
                <w:rFonts w:ascii="Times New Roman" w:hAnsi="Times New Roman" w:cs="Times New Roman"/>
                <w:b w:val="0"/>
                <w:i w:val="0"/>
                <w:sz w:val="18"/>
              </w:rPr>
            </w:r>
            <w:r>
              <w:rPr>
                <w:rFonts w:ascii="Times New Roman" w:hAnsi="Times New Roman" w:cs="Times New Roman"/>
                <w:b w:val="0"/>
                <w:i w:val="0"/>
                <w:sz w:val="18"/>
              </w:rPr>
              <w:t>1.12</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30.32</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78.92</w:t>
            </w:r>
          </w:p>
        </w:tc>
        <w:tc>
          <w:tcPr>
            <w:tcW w:type="dxa" w:w="794"/>
          </w:tcPr>
          <w:p>
            <w:pPr>
              <w:jc w:val="center"/>
            </w:pPr>
            <w:r>
              <w:rPr>
                <w:rFonts w:ascii="Times New Roman" w:hAnsi="Times New Roman" w:cs="Times New Roman"/>
                <w:b w:val="0"/>
                <w:i w:val="0"/>
                <w:sz w:val="18"/>
              </w:rPr>
            </w:r>
            <w:r>
              <w:rPr>
                <w:rFonts w:ascii="Times New Roman" w:hAnsi="Times New Roman" w:cs="Times New Roman"/>
                <w:b w:val="0"/>
                <w:i w:val="0"/>
                <w:sz w:val="18"/>
              </w:rPr>
              <w:t>26.80</w:t>
            </w:r>
          </w:p>
        </w:tc>
        <w:tc>
          <w:tcPr>
            <w:tcW w:type="dxa" w:w="1134"/>
          </w:tcPr>
          <w:p>
            <w:pPr>
              <w:jc w:val="center"/>
            </w:pPr>
            <w:r>
              <w:rPr>
                <w:rFonts w:ascii="Times New Roman" w:hAnsi="Times New Roman" w:cs="Times New Roman"/>
                <w:b w:val="0"/>
                <w:i w:val="0"/>
                <w:sz w:val="18"/>
              </w:rPr>
            </w:r>
            <w:r>
              <w:rPr>
                <w:rFonts w:ascii="Times New Roman" w:hAnsi="Times New Roman" w:cs="Times New Roman"/>
                <w:b w:val="0"/>
                <w:i w:val="0"/>
                <w:sz w:val="18"/>
              </w:rPr>
              <w:t>This work</w:t>
            </w:r>
          </w:p>
        </w:tc>
        <w:tc>
          <w:tcPr>
            <w:tcW w:type="dxa" w:w="850"/>
          </w:tcPr>
          <w:p>
            <w:pPr>
              <w:jc w:val="center"/>
            </w:pPr>
            <w:r>
              <w:rPr>
                <w:rFonts w:ascii="Times New Roman" w:hAnsi="Times New Roman" w:cs="Times New Roman"/>
                <w:b w:val="0"/>
                <w:i w:val="0"/>
                <w:sz w:val="18"/>
              </w:r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b w:val="0"/>
          <w:i w:val="0"/>
          <w:sz w:val="24"/>
        </w:rPr>
        <w:t xml:space="preserve">The optimized device attains a PCE within 0.41 pp of the best reported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simulation result, delivers the highest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among those studies, and remains competitive with the best tin-based lead-free devices, with an all-inorganic transport-layer architecture.</w:t>
      </w:r>
    </w:p>
    <w:p>
      <w:pPr>
        <w:spacing w:line="360" w:lineRule="auto" w:before="120" w:after="120"/>
        <w:ind w:firstLine="283"/>
        <w:jc w:val="both"/>
      </w:pPr>
      <w:r>
        <w:rPr>
          <w:rFonts w:ascii="Times New Roman" w:hAnsi="Times New Roman"/>
          <w:b w:val="0"/>
          <w:i w:val="0"/>
          <w:sz w:val="24"/>
          <w:vertAlign w:val="subscript"/>
        </w:rPr>
      </w:r>
      <w:r>
        <w:rPr>
          <w:rFonts w:ascii="Times New Roman" w:hAnsi="Times New Roman"/>
          <w:b w:val="0"/>
          <w:i w:val="0"/>
          <w:sz w:val="24"/>
        </w:rPr>
        <w:t xml:space="preserve"> The Pindolia et al. [14] simulation baseline of 9.77% leaves ample room for the improvement demonstrated in this work.</w:t>
      </w:r>
      <w:r>
        <w:rPr>
          <w:rFonts w:ascii="Times New Roman" w:hAnsi="Times New Roman"/>
          <w:b w:val="0"/>
          <w:i w:val="0"/>
          <w:sz w:val="24"/>
        </w:rPr>
        <w:t xml:space="preserve">Experimental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solar cells are still rare.</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120" w:after="40" w:line="360" w:lineRule="auto"/>
      </w:pPr>
      <w:r>
        <w:rPr>
          <w:rFonts w:ascii="Times New Roman" w:hAnsi="Times New Roman" w:cs="Times New Roman"/>
          <w:b/>
          <w:i/>
          <w:sz w:val="24"/>
        </w:rPr>
        <w:t>A. Limitations of the present study</w:t>
      </w:r>
    </w:p>
    <w:p>
      <w:pPr>
        <w:spacing w:line="360" w:lineRule="auto" w:before="120" w:after="120"/>
        <w:ind w:firstLine="283"/>
        <w:jc w:val="both"/>
      </w:pPr>
      <w:r>
        <w:rPr/>
        <w:t xml:space="preserve">First, SCAPS-1D assumes idealized conditions (uniform composition, abrupt interfaces, stable parameters) not strictly reproducible experimentally. Second, the adopted defect densities (10¹⁴ cm⁻³ absorber, 10¹⁴ cm⁻² interfaces), while realistic for well-passivated films, are challenging in </w:t>
      </w:r>
      <w:r>
        <w:rPr/>
        <w:t xml:space="preserve">RbGeI</w:t>
      </w:r>
      <w:r>
        <w:rPr>
          <w:vertAlign w:val="subscript"/>
        </w:rPr>
        <w:t xml:space="preserve">3</w:t>
      </w:r>
      <w:r>
        <w:rPr/>
        <w:t xml:space="preserve"> owing to Ge²⁺ oxidation. Third, the model omits optical losses (front-surface reflection, parasitic absorption in transport layers), which would refine </w:t>
      </w:r>
      <w:r>
        <w:rPr/>
        <w:t xml:space="preserve">J</w:t>
      </w:r>
      <w:r>
        <w:rPr>
          <w:vertAlign w:val="subscript"/>
        </w:rPr>
        <w:t xml:space="preserve">SC</w:t>
      </w:r>
      <w:r>
        <w:rPr/>
        <w:t xml:space="preserve">.</w:t>
      </w:r>
    </w:p>
    <w:p>
      <w:pPr>
        <w:pStyle w:val="Heading2"/>
        <w:keepNext/>
        <w:spacing w:before="120" w:after="40" w:line="360" w:lineRule="auto"/>
      </w:pPr>
      <w:r>
        <w:t xml:space="preserve">B. Future work</w:t>
      </w:r>
    </w:p>
    <w:p>
      <w:pPr>
        <w:spacing w:line="360" w:lineRule="auto" w:before="120" w:after="120"/>
        <w:ind w:firstLine="283"/>
        <w:jc w:val="both"/>
      </w:pPr>
      <w:r>
        <w:rPr/>
        <w:t xml:space="preserve">Experimental validation of the optimized device is the most critical next step. Global optimization methods (e.g., Bayesian or genetic algorithms) could identify parameter combinations the one-at-a-time approach misses, and long-term stability testing would assess the practical viability of the </w:t>
      </w:r>
      <w:r>
        <w:rPr/>
        <w:t xml:space="preserve">RbGeI</w:t>
      </w:r>
      <w:r>
        <w:rPr>
          <w:vertAlign w:val="subscript"/>
        </w:rPr>
        <w:t xml:space="preserve">3</w:t>
      </w:r>
      <w:r>
        <w:rPr/>
        <w:t xml:space="preserve">/CuI architecture.</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b w:val="0"/>
          <w:i w:val="0"/>
          <w:sz w:val="24"/>
        </w:rPr>
        <w:t>This work has presented a numerical investigation of a lead-free RbGeI</w:t>
      </w:r>
      <w:r>
        <w:rPr>
          <w:rFonts w:ascii="Times New Roman" w:hAnsi="Times New Roman"/>
          <w:b w:val="0"/>
          <w:i w:val="0"/>
          <w:sz w:val="24"/>
          <w:vertAlign w:val="subscript"/>
        </w:rPr>
        <w:t>3</w:t>
      </w:r>
      <w:r>
        <w:rPr>
          <w:rFonts w:ascii="Times New Roman" w:hAnsi="Times New Roman"/>
          <w:b w:val="0"/>
          <w:i w:val="0"/>
          <w:sz w:val="24"/>
        </w:rPr>
        <w:t xml:space="preserve">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w:t>
      </w:r>
      <w:r>
        <w:rPr>
          <w:rFonts w:ascii="Times New Roman" w:hAnsi="Times New Roman"/>
          <w:b w:val="0"/>
          <w:i w:val="0"/>
          <w:sz w:val="24"/>
          <w:vertAlign w:val="subscript"/>
        </w:rPr>
        <w:t>3</w:t>
      </w:r>
      <w:r>
        <w:rPr>
          <w:rFonts w:ascii="Times New Roman" w:hAnsi="Times New Roman"/>
          <w:b w:val="0"/>
          <w:i w:val="0"/>
          <w:sz w:val="24"/>
        </w:rPr>
        <w:t xml:space="preserve"> is non-toxic and keeps the optoelectronic properties a solar absorber needs, which makes it a credible candidate for future photovoltaic applications.</w:t>
      </w:r>
    </w:p>
    <w:p>
      <w:pPr>
        <w:spacing w:line="360" w:lineRule="auto" w:before="120" w:after="120"/>
        <w:ind w:firstLine="283"/>
        <w:jc w:val="both"/>
      </w:pPr>
      <w:r>
        <w:rPr>
          <w:rFonts w:ascii="Times New Roman" w:hAnsi="Times New Roman"/>
          <w:b w:val="0"/>
          <w:i w:val="0"/>
          <w:sz w:val="24"/>
        </w:rPr>
        <w:t>Initially, eight different device configurations comprising various combinations of electron transport layers (TiO</w:t>
      </w:r>
      <w:r>
        <w:rPr>
          <w:rFonts w:ascii="Times New Roman" w:hAnsi="Times New Roman"/>
          <w:b w:val="0"/>
          <w:i w:val="0"/>
          <w:sz w:val="24"/>
          <w:vertAlign w:val="subscript"/>
        </w:rPr>
        <w:t>2</w:t>
      </w:r>
      <w:r>
        <w:rPr>
          <w:rFonts w:ascii="Times New Roman" w:hAnsi="Times New Roman"/>
          <w:b w:val="0"/>
          <w:i w:val="0"/>
          <w:sz w:val="24"/>
        </w:rPr>
        <w:t xml:space="preserve"> and PCBM) and hole transport layers (NiO, CuI, CBTS, and Spiro-OMeTAD) were systematically evaluated. The comparative analysis demonstrated that the device employing FTO/TiO</w:t>
      </w:r>
      <w:r>
        <w:rPr>
          <w:rFonts w:ascii="Times New Roman" w:hAnsi="Times New Roman"/>
          <w:b w:val="0"/>
          <w:i w:val="0"/>
          <w:sz w:val="24"/>
          <w:vertAlign w:val="subscript"/>
        </w:rPr>
        <w:t>2</w:t>
      </w:r>
      <w:r>
        <w:rPr>
          <w:rFonts w:ascii="Times New Roman" w:hAnsi="Times New Roman"/>
          <w:b w:val="0"/>
          <w:i w:val="0"/>
          <w:sz w:val="24"/>
        </w:rPr>
        <w:t>/RbGeI</w:t>
      </w:r>
      <w:r>
        <w:rPr>
          <w:rFonts w:ascii="Times New Roman" w:hAnsi="Times New Roman"/>
          <w:b w:val="0"/>
          <w:i w:val="0"/>
          <w:sz w:val="24"/>
          <w:vertAlign w:val="subscript"/>
        </w:rPr>
        <w:t>3</w:t>
      </w:r>
      <w:r>
        <w:rPr>
          <w:rFonts w:ascii="Times New Roman" w:hAnsi="Times New Roman"/>
          <w:b w:val="0"/>
          <w:i w:val="0"/>
          <w:sz w:val="24"/>
        </w:rPr>
        <w:t>/CuI/Au delivered competitive photovoltaic characteristics and was selected as the baseline for optimization on the grounds of long-term stability, fabrication cost, and hole-mobility advantages of the inorganic CuI HTL, although its initial efficiency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b w:val="0"/>
          <w:i w:val="0"/>
          <w:sz w:val="24"/>
        </w:rPr>
        <w:t xml:space="preserve">After sequential optimization of eleven device parameters, the consolidated device achieved a PCE of 26.80% (</w:t>
      </w:r>
      <w:r>
        <w:rPr>
          <w:rFonts w:ascii="Times New Roman" w:hAnsi="Times New Roman"/>
          <w:b w:val="0"/>
          <w:i w:val="0"/>
          <w:sz w:val="24"/>
        </w:rPr>
        <w:t xml:space="preserve">V</w:t>
      </w:r>
      <w:r>
        <w:rPr>
          <w:rFonts w:ascii="Times New Roman" w:hAnsi="Times New Roman"/>
          <w:b w:val="0"/>
          <w:i w:val="0"/>
          <w:sz w:val="24"/>
          <w:vertAlign w:val="subscript"/>
        </w:rPr>
        <w:t xml:space="preserve">OC</w:t>
      </w:r>
      <w:r>
        <w:rPr>
          <w:rFonts w:ascii="Times New Roman" w:hAnsi="Times New Roman"/>
          <w:b w:val="0"/>
          <w:i w:val="0"/>
          <w:sz w:val="24"/>
        </w:rPr>
        <w:t xml:space="preserve"> = 1.12 V, </w:t>
      </w:r>
      <w:r>
        <w:rPr>
          <w:rFonts w:ascii="Times New Roman" w:hAnsi="Times New Roman"/>
          <w:b w:val="0"/>
          <w:i w:val="0"/>
          <w:sz w:val="24"/>
        </w:rPr>
        <w:t xml:space="preserve">J</w:t>
      </w:r>
      <w:r>
        <w:rPr>
          <w:rFonts w:ascii="Times New Roman" w:hAnsi="Times New Roman"/>
          <w:b w:val="0"/>
          <w:i w:val="0"/>
          <w:sz w:val="24"/>
          <w:vertAlign w:val="subscript"/>
        </w:rPr>
        <w:t xml:space="preserve">SC</w:t>
      </w:r>
      <w:r>
        <w:rPr>
          <w:rFonts w:ascii="Times New Roman" w:hAnsi="Times New Roman"/>
          <w:b w:val="0"/>
          <w:i w:val="0"/>
          <w:sz w:val="24"/>
        </w:rPr>
        <w:t xml:space="preserve"> = 30.32 mA/cm², FF = 78.92%). This places the device within 0.4 percentage points of the best previously reported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simulation result and confirms that </w:t>
      </w:r>
      <w:r>
        <w:rPr>
          <w:rFonts w:ascii="Times New Roman" w:hAnsi="Times New Roman"/>
          <w:b w:val="0"/>
          <w:i w:val="0"/>
          <w:sz w:val="24"/>
        </w:rPr>
        <w:t xml:space="preserve">RbGeI</w:t>
      </w:r>
      <w:r>
        <w:rPr>
          <w:rFonts w:ascii="Times New Roman" w:hAnsi="Times New Roman"/>
          <w:b w:val="0"/>
          <w:i w:val="0"/>
          <w:sz w:val="24"/>
          <w:vertAlign w:val="subscript"/>
        </w:rPr>
        <w:t xml:space="preserve">3</w:t>
      </w:r>
      <w:r>
        <w:rPr>
          <w:rFonts w:ascii="Times New Roman" w:hAnsi="Times New Roman"/>
          <w:b w:val="0"/>
          <w:i w:val="0"/>
          <w:sz w:val="24"/>
        </w:rPr>
        <w:t xml:space="preserve"> with a bandgap of 1.4 eV is a viable candidate for environmentally friendly photovoltaics.</w:t>
      </w:r>
    </w:p>
    <w:p>
      <w:pPr>
        <w:pStyle w:val="Heading1"/>
        <w:keepNext/>
        <w:spacing w:before="320" w:after="120" w:line="360" w:lineRule="auto"/>
      </w:pPr>
      <w:r>
        <w:rPr>
          <w:rFonts w:ascii="Times New Roman" w:hAnsi="Times New Roman" w:cs="Times New Roman"/>
          <w:b/>
          <w:i w:val="0"/>
          <w:sz w:val="28"/>
        </w:rPr>
        <w:t>References</w:t>
      </w:r>
    </w:p>
    <w:p>
      <w:pPr>
        <w:spacing w:line="192" w:lineRule="auto" w:before="10" w:after="1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w:r>
    </w:p>
    <w:p>
      <w:pPr>
        <w:spacing w:line="192" w:lineRule="auto" w:before="10" w:after="1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w:r>
    </w:p>
    <w:p>
      <w:pPr>
        <w:spacing w:line="192" w:lineRule="auto" w:before="10" w:after="1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192" w:lineRule="auto" w:before="10" w:after="1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192" w:lineRule="auto" w:before="10" w:after="1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192" w:lineRule="auto" w:before="10" w:after="1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192" w:lineRule="auto" w:before="10" w:after="1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192" w:lineRule="auto" w:before="10" w:after="1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192" w:lineRule="auto" w:before="10" w:after="1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192" w:lineRule="auto" w:before="10" w:after="1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doi:9.7726/science.1228604.</w:t>
      </w:r>
    </w:p>
    <w:p>
      <w:pPr>
        <w:spacing w:line="192" w:lineRule="auto" w:before="10" w:after="1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192" w:lineRule="auto" w:before="10" w:after="1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192" w:lineRule="auto" w:before="10" w:after="10"/>
        <w:ind w:left="454" w:hanging="454"/>
      </w:pPr>
      <w:r>
        <w:rPr>
          <w:rFonts w:ascii="Times New Roman" w:hAnsi="Times New Roman"/>
          <w:b w:val="0"/>
          <w:i w:val="0"/>
          <w:sz w:val="20"/>
        </w:rPr>
        <w:t>[13] S. Samaki, F. Tchangnwa Nya, G. M. Dzifack Kenfack, and A. Laref, “Materials and interfaces properties optimization for high-efficient and more stable RbGeI</w:t>
      </w:r>
      <w:r>
        <w:rPr>
          <w:rFonts w:ascii="Times New Roman" w:hAnsi="Times New Roman"/>
          <w:b w:val="0"/>
          <w:i w:val="0"/>
          <w:sz w:val="20"/>
          <w:vertAlign w:val="subscript"/>
        </w:rPr>
        <w:t>3</w:t>
      </w:r>
      <w:r>
        <w:rPr>
          <w:rFonts w:ascii="Times New Roman" w:hAnsi="Times New Roman"/>
          <w:b w:val="0"/>
          <w:i w:val="0"/>
          <w:sz w:val="20"/>
        </w:rPr>
        <w:t xml:space="preserve"> perovskite solar cells: optoelectrical modelling,” Sci. Rep. 13, 15517 (2023). doi:10.1038/s41598-023-42471-w.</w:t>
      </w:r>
    </w:p>
    <w:p>
      <w:pPr>
        <w:spacing w:line="192" w:lineRule="auto" w:before="10" w:after="10"/>
        <w:ind w:left="454" w:hanging="454"/>
      </w:pPr>
      <w:r>
        <w:rPr>
          <w:rFonts w:ascii="Times New Roman" w:hAnsi="Times New Roman"/>
          <w:b w:val="0"/>
          <w:i w:val="0"/>
          <w:sz w:val="20"/>
        </w:rPr>
        <w:t>[14] G. Pindolia, S. M. Shinde, and P. K. Jha, “Optimization of an inorganic lead-free RbGeI</w:t>
      </w:r>
      <w:r>
        <w:rPr>
          <w:rFonts w:ascii="Times New Roman" w:hAnsi="Times New Roman"/>
          <w:b w:val="0"/>
          <w:i w:val="0"/>
          <w:sz w:val="20"/>
          <w:vertAlign w:val="subscript"/>
        </w:rPr>
        <w:t>3</w:t>
      </w:r>
      <w:r>
        <w:rPr>
          <w:rFonts w:ascii="Times New Roman" w:hAnsi="Times New Roman"/>
          <w:b w:val="0"/>
          <w:i w:val="0"/>
          <w:sz w:val="20"/>
        </w:rPr>
        <w:t xml:space="preserve"> based perovskite solar cell by SCAPS-1D simulation,” Sol. Energy 236, 802–821 (2022). doi:10.1016/j.solener.2022.03.053.</w:t>
      </w:r>
    </w:p>
    <w:p>
      <w:pPr>
        <w:spacing w:line="192" w:lineRule="auto" w:before="10" w:after="1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192" w:lineRule="auto" w:before="10" w:after="1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192" w:lineRule="auto" w:before="10" w:after="10"/>
        <w:ind w:left="454" w:hanging="454"/>
      </w:pPr>
      <w:r>
        <w:rPr>
          <w:rFonts w:ascii="Times New Roman" w:hAnsi="Times New Roman"/>
          <w:b w:val="0"/>
          <w:i w:val="0"/>
          <w:sz w:val="20"/>
        </w:rPr>
        <w:t>[17] P. K. Dash, P. Banarjee, A. Nyayban, and S. Panda, “Optoelectronic properties and performance optimization for photovoltaic applications of R3m-RbGeX</w:t>
      </w:r>
      <w:r>
        <w:rPr>
          <w:rFonts w:ascii="Times New Roman" w:hAnsi="Times New Roman"/>
          <w:b w:val="0"/>
          <w:i w:val="0"/>
          <w:sz w:val="20"/>
          <w:vertAlign w:val="subscript"/>
        </w:rPr>
        <w:t>3</w:t>
      </w:r>
      <w:r>
        <w:rPr>
          <w:rFonts w:ascii="Times New Roman" w:hAnsi="Times New Roman"/>
          <w:b w:val="0"/>
          <w:i w:val="0"/>
          <w:sz w:val="20"/>
        </w:rPr>
        <w:t xml:space="preserve"> (X = Cl, Br, I) perovskites: A combined DFT and SCAPS-1D study,” arXiv:2505.09362 (2025).</w:t>
      </w:r>
    </w:p>
    <w:p>
      <w:pPr>
        <w:spacing w:line="192" w:lineRule="auto" w:before="10" w:after="10"/>
        <w:ind w:left="454" w:hanging="454"/>
      </w:pPr>
      <w:r>
        <w:rPr>
          <w:rFonts w:ascii="Times New Roman" w:hAnsi="Times New Roman"/>
          <w:b w:val="0"/>
          <w:i w:val="0"/>
          <w:sz w:val="20"/>
        </w:rPr>
        <w:t>[18] N. A. Abdulkareem, “A DFT study of structural, electronic and optical properties of lead-free and Ge-based cubic perovskite RbGeX</w:t>
      </w:r>
      <w:r>
        <w:rPr>
          <w:rFonts w:ascii="Times New Roman" w:hAnsi="Times New Roman"/>
          <w:b w:val="0"/>
          <w:i w:val="0"/>
          <w:sz w:val="20"/>
          <w:vertAlign w:val="subscript"/>
        </w:rPr>
        <w:t>3</w:t>
      </w:r>
      <w:r>
        <w:rPr>
          <w:rFonts w:ascii="Times New Roman" w:hAnsi="Times New Roman"/>
          <w:b w:val="0"/>
          <w:i w:val="0"/>
          <w:sz w:val="20"/>
        </w:rPr>
        <w:t xml:space="preserve"> (X = I, Br and Cl),” Passer J. Basic Appl. Sci. 5(1), 46–51 (2023). doi:10.24271/psr.2023.371069.1187.</w:t>
      </w:r>
    </w:p>
    <w:p>
      <w:pPr>
        <w:spacing w:line="192" w:lineRule="auto" w:before="10" w:after="1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192" w:lineRule="auto" w:before="10" w:after="10"/>
        <w:ind w:left="454" w:hanging="454"/>
      </w:pPr>
      <w:r>
        <w:rPr>
          <w:rFonts w:ascii="Times New Roman" w:hAnsi="Times New Roman" w:cs="Times New Roman"/>
          <w:b w:val="0"/>
          <w:i w:val="0"/>
          <w:sz w:val="20"/>
        </w:rPr>
        <w:t xml:space="preserve">[20] M. Burgelman, M. Debucquoy, K. Decock, J. Verschraegen, and S. Degrave, SCAPS-1D simulation program for thin film solar cells, version 3.3.10 (ELIS, University of Gent, Belgium, 2024).</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192" w:lineRule="auto" w:before="10" w:after="10"/>
        <w:ind w:left="454" w:hanging="454"/>
      </w:pPr>
      <w:r>
        <w:rPr>
          <w:rFonts w:ascii="Times New Roman" w:hAnsi="Times New Roman" w:cs="Times New Roman"/>
          <w:b w:val="0"/>
          <w:i w:val="0"/>
          <w:sz w:val="20"/>
        </w:rPr>
        <w:t xml:space="preserve">[21] 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192" w:lineRule="auto" w:before="10" w:after="10"/>
        <w:ind w:left="454" w:hanging="454"/>
      </w:pPr>
      <w:r>
        <w:rPr>
          <w:rFonts w:ascii="Times New Roman" w:hAnsi="Times New Roman"/>
          <w:b w:val="0"/>
          <w:i w:val="0"/>
          <w:sz w:val="20"/>
        </w:rPr>
        <w:t>[22] L. Loumachi, A. Yousfi, O. Saidani, and A. S. Alsubaie, “Strengthen the power conversion efficiency of solar cell based RbGeI</w:t>
      </w:r>
      <w:r>
        <w:rPr>
          <w:rFonts w:ascii="Times New Roman" w:hAnsi="Times New Roman"/>
          <w:b w:val="0"/>
          <w:i w:val="0"/>
          <w:sz w:val="20"/>
          <w:vertAlign w:val="subscript"/>
        </w:rPr>
        <w:t>3</w:t>
      </w:r>
      <w:r>
        <w:rPr>
          <w:rFonts w:ascii="Times New Roman" w:hAnsi="Times New Roman"/>
          <w:b w:val="0"/>
          <w:i w:val="0"/>
          <w:sz w:val="20"/>
        </w:rPr>
        <w:t>: Numerical approach,” East Eur. J. Phys. (3), 416–424 (2024). doi:10.26565/2312-4334-2024-3-50</w:t>
      </w:r>
    </w:p>
    <w:p>
      <w:pPr>
        <w:spacing w:line="192" w:lineRule="auto" w:before="10" w:after="10"/>
        <w:ind w:left="454" w:hanging="454"/>
      </w:pPr>
      <w:r>
        <w:rPr>
          <w:rFonts w:ascii="Times New Roman" w:hAnsi="Times New Roman"/>
          <w:b w:val="0"/>
          <w:i w:val="0"/>
          <w:sz w:val="20"/>
        </w:rPr>
        <w:t>[23] A. Pathak, K. M. D. Pravalli, R. Madaka, B. Pandey, D. Shankar, C. S. Beera, and D. J. Rao, “Computational analysis of germanium-based perovskites (MAGeI</w:t>
      </w:r>
      <w:r>
        <w:rPr>
          <w:rFonts w:ascii="Times New Roman" w:hAnsi="Times New Roman"/>
          <w:b w:val="0"/>
          <w:i w:val="0"/>
          <w:sz w:val="20"/>
          <w:vertAlign w:val="subscript"/>
        </w:rPr>
        <w:t>3</w:t>
      </w:r>
      <w:r>
        <w:rPr>
          <w:rFonts w:ascii="Times New Roman" w:hAnsi="Times New Roman"/>
          <w:b w:val="0"/>
          <w:i w:val="0"/>
          <w:sz w:val="20"/>
        </w:rPr>
        <w:t>, FAGeI</w:t>
      </w:r>
      <w:r>
        <w:rPr>
          <w:rFonts w:ascii="Times New Roman" w:hAnsi="Times New Roman"/>
          <w:b w:val="0"/>
          <w:i w:val="0"/>
          <w:sz w:val="20"/>
          <w:vertAlign w:val="subscript"/>
        </w:rPr>
        <w:t>3</w:t>
      </w:r>
      <w:r>
        <w:rPr>
          <w:rFonts w:ascii="Times New Roman" w:hAnsi="Times New Roman"/>
          <w:b w:val="0"/>
          <w:i w:val="0"/>
          <w:sz w:val="20"/>
        </w:rPr>
        <w:t>, CsGeI</w:t>
      </w:r>
      <w:r>
        <w:rPr>
          <w:rFonts w:ascii="Times New Roman" w:hAnsi="Times New Roman"/>
          <w:b w:val="0"/>
          <w:i w:val="0"/>
          <w:sz w:val="20"/>
          <w:vertAlign w:val="subscript"/>
        </w:rPr>
        <w:t>3</w:t>
      </w:r>
      <w:r>
        <w:rPr>
          <w:rFonts w:ascii="Times New Roman" w:hAnsi="Times New Roman"/>
          <w:b w:val="0"/>
          <w:i w:val="0"/>
          <w:sz w:val="20"/>
        </w:rPr>
        <w:t>, RbGeI</w:t>
      </w:r>
      <w:r>
        <w:rPr>
          <w:rFonts w:ascii="Times New Roman" w:hAnsi="Times New Roman"/>
          <w:b w:val="0"/>
          <w:i w:val="0"/>
          <w:sz w:val="20"/>
          <w:vertAlign w:val="subscript"/>
        </w:rPr>
        <w:t>3</w:t>
      </w:r>
      <w:r>
        <w:rPr>
          <w:rFonts w:ascii="Times New Roman" w:hAnsi="Times New Roman"/>
          <w:b w:val="0"/>
          <w:i w:val="0"/>
          <w:sz w:val="20"/>
        </w:rPr>
        <w:t>) for high-efficiency solar cells using SCAPS-1D,” Research Square (2026). doi:10.21203/rs.3.rs-8749975/</w:t>
      </w:r>
    </w:p>
    <w:p>
      <w:pPr>
        <w:spacing w:line="192" w:lineRule="auto" w:before="10" w:after="10"/>
        <w:ind w:left="454" w:hanging="454"/>
      </w:pPr>
      <w:r>
        <w:rPr>
          <w:rFonts w:ascii="Times New Roman" w:hAnsi="Times New Roman"/>
          <w:b w:val="0"/>
          <w:i w:val="0"/>
          <w:sz w:val="20"/>
        </w:rPr>
        <w:t>[24] D. Saikia, J. Bera, A. Betal, and S. Sahu, “Performance evaluation of an all inorganic CsGeI</w:t>
      </w:r>
      <w:r>
        <w:rPr>
          <w:rFonts w:ascii="Times New Roman" w:hAnsi="Times New Roman"/>
          <w:b w:val="0"/>
          <w:i w:val="0"/>
          <w:sz w:val="20"/>
          <w:vertAlign w:val="subscript"/>
        </w:rPr>
        <w:t>3</w:t>
      </w:r>
      <w:r>
        <w:rPr>
          <w:rFonts w:ascii="Times New Roman" w:hAnsi="Times New Roman"/>
          <w:b w:val="0"/>
          <w:i w:val="0"/>
          <w:sz w:val="20"/>
        </w:rPr>
        <w:t xml:space="preserve"> based perovskite solar cell by numerical simulation,” Opt. Mater. 123, 111839 (2022). doi:10.1016/j.optmat.2021.111839.</w:t>
      </w:r>
    </w:p>
    <w:p>
      <w:pPr>
        <w:spacing w:line="192" w:lineRule="auto" w:before="10" w:after="10"/>
        <w:ind w:left="454" w:hanging="454"/>
      </w:pPr>
      <w:r>
        <w:rPr>
          <w:rFonts w:ascii="Times New Roman" w:hAnsi="Times New Roman" w:cs="Times New Roman"/>
          <w:b w:val="0"/>
          <w:i w:val="0"/>
          <w:sz w:val="20"/>
        </w:rPr>
        <w:t xml:space="preserve">[25] R. Pau et al., “Solution-processed CuI as a hole transport layer for Sn–Pb perovskite solar cells,” J. Mater. Chem. A 13(48), 42118–42127 (2025). doi:10.1039/D5TA06770G.</w:t>
      </w:r>
    </w:p>
    <w:p>
      <w:pPr>
        <w:spacing w:line="192" w:lineRule="auto" w:before="10" w:after="10"/>
        <w:ind w:left="454" w:hanging="454"/>
      </w:pPr>
      <w:r>
        <w:rPr>
          <w:rFonts w:ascii="Times New Roman" w:hAnsi="Times New Roman" w:cs="Times New Roman"/>
          <w:b w:val="0"/>
          <w:i w:val="0"/>
          <w:sz w:val="20"/>
        </w:rPr>
        <w:t xml:space="preserve">[26] Q. Sun, A. Sadhu, S. Lie, and L. H. Wong, “Critical review of Cu-based hole transport materials for perovskite solar cells: From theoretical insights to experimental validation,” Adv. Mater. (2024). doi:10.1002/adma.202402412.</w:t>
      </w:r>
    </w:p>
    <w:p>
      <w:pPr>
        <w:spacing w:line="192" w:lineRule="auto" w:before="10" w:after="10"/>
        <w:ind w:left="454" w:hanging="454"/>
      </w:pPr>
      <w:r>
        <w:rPr>
          <w:rFonts w:ascii="Times New Roman" w:hAnsi="Times New Roman" w:cs="Times New Roman"/>
          <w:b w:val="0"/>
          <w:i w:val="0"/>
          <w:sz w:val="20"/>
        </w:rPr>
        <w:t xml:space="preserve">[27] J. Z. Mbese, “Advancements in inorganic hole-transport materials for perovskite solar cells: A comparative review,” Energies 18(9), 2374 (2025). doi:10.3390/en18092374.</w:t>
      </w:r>
    </w:p>
    <w:p>
      <w:pPr>
        <w:spacing w:line="192" w:lineRule="auto" w:before="10" w:after="10"/>
        <w:ind w:left="454" w:hanging="454"/>
      </w:pPr>
      <w:r>
        <w:rPr>
          <w:rFonts w:ascii="Times New Roman" w:hAnsi="Times New Roman" w:cs="Times New Roman"/>
          <w:b w:val="0"/>
          <w:i w:val="0"/>
          <w:sz w:val="20"/>
        </w:rPr>
        <w:t xml:space="preserve">[28] L. T. C. Tuyen, S.-R. Jian, N. T. Tien, and P. H. Le, “Nanomechanical and material properties of fluorine-doped tin oxide thin films prepared by ultrasonic spray pyrolysis: Effects of F-doping,” Materials 12(10), 1665 (2019). doi:10.3390/ma12101665.</w:t>
      </w:r>
    </w:p>
    <w:p>
      <w:pPr>
        <w:spacing w:line="192" w:lineRule="auto" w:before="10" w:after="10"/>
        <w:ind w:left="454" w:hanging="454"/>
      </w:pPr>
      <w:r>
        <w:rPr>
          <w:rFonts w:ascii="Times New Roman" w:hAnsi="Times New Roman" w:cs="Times New Roman"/>
          <w:b w:val="0"/>
          <w:i w:val="0"/>
          <w:sz w:val="20"/>
        </w:rPr>
        <w:t xml:space="preserve">[29] W. Yang et al., “The CuI/NiO gradient hole transport layer for enhanced carrier efficiency in large-area perovskite solar cell,” Appl. Phys. Lett. 128(14) (2026). doi:10.1063/5.0326539.</w:t>
      </w:r>
    </w:p>
    <w:p>
      <w:pPr>
        <w:spacing w:line="192" w:lineRule="auto" w:before="10" w:after="10"/>
        <w:ind w:left="454" w:hanging="454"/>
      </w:pPr>
      <w:r>
        <w:rPr>
          <w:rFonts w:ascii="Times New Roman" w:hAnsi="Times New Roman"/>
          <w:b w:val="0"/>
          <w:i w:val="0"/>
          <w:sz w:val="20"/>
        </w:rPr>
        <w:t xml:space="preserve">[30] A. J. Olasoji and S. H. Im, “Perspective chapter: </w:t>
      </w:r>
      <w:r>
        <w:rPr>
          <w:rFonts w:ascii="Times New Roman" w:hAnsi="Times New Roman"/>
          <w:b w:val="0"/>
          <w:i w:val="0"/>
          <w:sz w:val="20"/>
        </w:rPr>
        <w:t xml:space="preserve">TiO</w:t>
      </w:r>
      <w:r>
        <w:rPr>
          <w:rFonts w:ascii="Times New Roman" w:hAnsi="Times New Roman"/>
          <w:b w:val="0"/>
          <w:i w:val="0"/>
          <w:sz w:val="20"/>
          <w:vertAlign w:val="subscript"/>
        </w:rPr>
        <w:t xml:space="preserve">2</w:t>
      </w:r>
      <w:r>
        <w:rPr>
          <w:rFonts w:ascii="Times New Roman" w:hAnsi="Times New Roman"/>
          <w:b w:val="0"/>
          <w:i w:val="0"/>
          <w:sz w:val="20"/>
        </w:rPr>
        <w:t xml:space="preserve"> electron transporting layers for perovskite solar cells,” in Titanium Dioxide – Uses, Applications, and Advances (IntechOpen, 2024). doi:10.5772/intechopen.1007266.</w:t>
      </w:r>
    </w:p>
    <w:p>
      <w:pPr>
        <w:spacing w:line="192" w:lineRule="auto" w:before="10" w:after="10"/>
        <w:ind w:left="454" w:hanging="454"/>
      </w:pPr>
      <w:r>
        <w:rPr>
          <w:rFonts w:ascii="Times New Roman" w:hAnsi="Times New Roman" w:cs="Times New Roman"/>
          <w:b w:val="0"/>
          <w:i w:val="0"/>
          <w:sz w:val="20"/>
        </w:rPr>
        <w:t xml:space="preserve">[31] K. Valadi, S. Gharibi, R. Taheri-Ledari, S. Akin, A. Maleki, and A. E. Shalan, “Metal oxide electron transport materials for perovskite solar cells: A review,” Environ. Chem. Lett. 19(3), 2185–2207 (2021). doi:10.1007/s10311-020-01171-x.</w:t>
      </w:r>
    </w:p>
    <w:p>
      <w:pPr>
        <w:spacing w:line="192" w:lineRule="auto" w:before="10" w:after="10"/>
        <w:ind w:left="454" w:hanging="454"/>
      </w:pPr>
      <w:r>
        <w:rPr>
          <w:rFonts w:ascii="Times New Roman" w:hAnsi="Times New Roman"/>
          <w:b w:val="0"/>
          <w:i w:val="0"/>
          <w:sz w:val="20"/>
        </w:rPr>
        <w:t xml:space="preserve">[32] L. Ji, T. Zhang, and S. Li, “Band alignment of </w:t>
      </w:r>
      <w:r>
        <w:rPr>
          <w:rFonts w:ascii="Times New Roman" w:hAnsi="Times New Roman"/>
          <w:b w:val="0"/>
          <w:i w:val="0"/>
          <w:sz w:val="20"/>
        </w:rPr>
        <w:t xml:space="preserve">TiO</w:t>
      </w:r>
      <w:r>
        <w:rPr>
          <w:rFonts w:ascii="Times New Roman" w:hAnsi="Times New Roman"/>
          <w:b w:val="0"/>
          <w:i w:val="0"/>
          <w:sz w:val="20"/>
          <w:vertAlign w:val="subscript"/>
        </w:rPr>
        <w:t xml:space="preserve">2</w:t>
      </w:r>
      <w:r>
        <w:rPr>
          <w:rFonts w:ascii="Times New Roman" w:hAnsi="Times New Roman"/>
          <w:b w:val="0"/>
          <w:i w:val="0"/>
          <w:sz w:val="20"/>
        </w:rPr>
        <w:t xml:space="preserve"> by controlling Cl content for high-efficiency perovskite solar cells,” J. Mater. Chem. C 12(36), 14597–14604 (2024). doi:10.1039/D4TC01495B.</w:t>
      </w:r>
    </w:p>
    <w:p>
      <w:pPr>
        <w:spacing w:line="192" w:lineRule="auto" w:before="10" w:after="10"/>
        <w:ind w:left="454" w:hanging="454"/>
      </w:pPr>
      <w:r>
        <w:rPr>
          <w:rFonts w:ascii="Times New Roman" w:hAnsi="Times New Roman" w:cs="Times New Roman"/>
          <w:b w:val="0"/>
          <w:i w:val="0"/>
          <w:sz w:val="20"/>
        </w:rPr>
        <w:t xml:space="preserve">[33] A. Ghosh et al., “Solar power conversion: CuI hole transport layer and Ba3NCl3 absorber enable advanced solar cell technology boosting efficiency over 30%,” RSC Adv. 14(33), 24066–24081 (2024). doi:10.1039/D4RA03695F.</w:t>
      </w:r>
    </w:p>
    <w:p>
      <w:pPr>
        <w:spacing w:line="192" w:lineRule="auto" w:before="10" w:after="10"/>
        <w:ind w:left="454" w:hanging="454"/>
      </w:pPr>
      <w:r>
        <w:rPr>
          <w:rFonts w:ascii="Times New Roman" w:hAnsi="Times New Roman" w:cs="Times New Roman"/>
          <w:b w:val="0"/>
          <w:i w:val="0"/>
          <w:sz w:val="20"/>
        </w:rPr>
        <w:t xml:space="preserve">[34] T. Minemoto and M. Murata, “Impact of work function of back contact of perovskite solar cells without hole transport material analyzed by device simulation,” Curr. Appl. Phys. 14(11), 1428–1433 (2014). doi:10.1016/j.cap.2014.08.002.</w:t>
      </w:r>
    </w:p>
    <w:p>
      <w:pPr>
        <w:spacing w:line="192" w:lineRule="auto" w:before="10" w:after="10"/>
        <w:ind w:left="454" w:hanging="454"/>
      </w:pPr>
      <w:r>
        <w:rPr>
          <w:rFonts w:ascii="Times New Roman" w:hAnsi="Times New Roman" w:cs="Times New Roman"/>
          <w:b w:val="0"/>
          <w:i w:val="0"/>
          <w:sz w:val="20"/>
        </w:rPr>
        <w:t xml:space="preserve">[35] W. Shockley and H. J. Queisser, “Detailed balance limit of efficiency of p-n junction solar cells,” J. Appl. Phys. 32(3), 510–519 (1961). doi:10.1063/1.1736034.</w:t>
      </w:r>
    </w:p>
    <w:p>
      <w:pPr>
        <w:spacing w:line="192" w:lineRule="auto" w:before="10" w:after="10"/>
        <w:ind w:left="454" w:hanging="454"/>
      </w:pPr>
      <w:r>
        <w:rPr>
          <w:rFonts w:ascii="Times New Roman" w:hAnsi="Times New Roman"/>
          <w:b w:val="0"/>
          <w:i w:val="0"/>
          <w:sz w:val="20"/>
        </w:rPr>
        <w:t xml:space="preserve">[36] S. Rühle, “Tabulated values of the Shockley–Queisser limit for single junction solar cells,” Sol. Energy 130, 139–147 (2016). doi:10.1016/j.solener.2016.02.015.</w:t>
      </w:r>
    </w:p>
    <w:p>
      <w:pPr>
        <w:spacing w:line="192" w:lineRule="auto" w:before="10" w:after="10"/>
        <w:ind w:left="454" w:hanging="454"/>
      </w:pPr>
      <w:r>
        <w:rPr>
          <w:rFonts w:ascii="Times New Roman" w:hAnsi="Times New Roman"/>
          <w:b w:val="0"/>
          <w:i w:val="0"/>
          <w:sz w:val="20"/>
        </w:rPr>
        <w:t xml:space="preserve">[37] C. H. Henry, “Limiting efficiencies of ideal single and multiple energy gap terrestrial solar cells,” J. Appl. Phys. 51(8), 4494–4500 (1980). doi:10.1063/1.328272.</w:t>
      </w:r>
    </w:p>
    <w:p>
      <w:pPr>
        <w:spacing w:line="192" w:lineRule="auto" w:before="10" w:after="10"/>
        <w:ind w:left="454" w:hanging="454"/>
      </w:pPr>
      <w:r>
        <w:rPr>
          <w:rFonts w:ascii="Times New Roman" w:hAnsi="Times New Roman" w:cs="Times New Roman"/>
          <w:b w:val="0"/>
          <w:i w:val="0"/>
          <w:sz w:val="20"/>
        </w:rPr>
        <w:t xml:space="preserve">[38] O. J. Sandberg and A. Armin, “On the effect of surface recombination in thin film solar cells, light emitting diodes and photodetectors,” arXiv:1905.07291 (2019); published in Synth. Met. 254, 114–121 (2019), doi:10.1016/j.synthmet.2019.06.008.</w:t>
      </w:r>
    </w:p>
    <w:p>
      <w:pPr>
        <w:spacing w:line="192" w:lineRule="auto" w:before="10" w:after="10"/>
        <w:ind w:left="454" w:hanging="454"/>
      </w:pPr>
      <w:r>
        <w:rPr>
          <w:rFonts w:ascii="Times New Roman" w:hAnsi="Times New Roman"/>
          <w:b w:val="0"/>
          <w:i w:val="0"/>
          <w:sz w:val="20"/>
        </w:rPr>
        <w:t xml:space="preserve">[39] M. Raj, A. Aggarwal, A. Kushwaha, and N. Goel, “Moisture-resistant sustainable solar cell with </w:t>
      </w:r>
      <w:r>
        <w:rPr>
          <w:rFonts w:ascii="Times New Roman" w:hAnsi="Times New Roman"/>
          <w:b w:val="0"/>
          <w:i w:val="0"/>
          <w:sz w:val="20"/>
        </w:rPr>
        <w:t xml:space="preserve">RbGeI</w:t>
      </w:r>
      <w:r>
        <w:rPr>
          <w:rFonts w:ascii="Times New Roman" w:hAnsi="Times New Roman"/>
          <w:b w:val="0"/>
          <w:i w:val="0"/>
          <w:sz w:val="20"/>
          <w:vertAlign w:val="subscript"/>
        </w:rPr>
        <w:t xml:space="preserve">3</w:t>
      </w:r>
      <w:r>
        <w:rPr>
          <w:rFonts w:ascii="Times New Roman" w:hAnsi="Times New Roman"/>
          <w:b w:val="0"/>
          <w:i w:val="0"/>
          <w:sz w:val="20"/>
        </w:rPr>
        <w:t xml:space="preserve"> absorber layer,” J. Mater. Sci. 60(22), 9176–9196 (2025). doi:10.1007/s10853-025-11002-5.</w:t>
      </w:r>
    </w:p>
    <w:p>
      <w:pPr>
        <w:spacing w:line="192" w:lineRule="auto" w:before="10" w:after="10"/>
        <w:ind w:left="454" w:hanging="454"/>
      </w:pPr>
      <w:r>
        <w:rPr>
          <w:rFonts w:ascii="Times New Roman" w:hAnsi="Times New Roman"/>
          <w:b w:val="0"/>
          <w:i w:val="0"/>
          <w:sz w:val="20"/>
        </w:rPr>
        <w:t xml:space="preserve">[40] H.-J. Park, H. Son, and B.-S. Jeong, “SCAPS-1D Simulation for Device Optimization to Improve Efficiency in Lead-Free </w:t>
      </w:r>
      <w:r>
        <w:rPr>
          <w:rFonts w:ascii="Times New Roman" w:hAnsi="Times New Roman"/>
          <w:b w:val="0"/>
          <w:i w:val="0"/>
          <w:sz w:val="20"/>
        </w:rPr>
        <w:t xml:space="preserve">CsSnI</w:t>
      </w:r>
      <w:r>
        <w:rPr>
          <w:rFonts w:ascii="Times New Roman" w:hAnsi="Times New Roman"/>
          <w:b w:val="0"/>
          <w:i w:val="0"/>
          <w:sz w:val="20"/>
          <w:vertAlign w:val="subscript"/>
        </w:rPr>
        <w:t xml:space="preserve">3</w:t>
      </w:r>
      <w:r>
        <w:rPr>
          <w:rFonts w:ascii="Times New Roman" w:hAnsi="Times New Roman"/>
          <w:b w:val="0"/>
          <w:i w:val="0"/>
          <w:sz w:val="20"/>
        </w:rPr>
        <w:t xml:space="preserve"> Perovskite Solar Cells,” Inorganics 12(4), 123 (2024). doi:10.3390/inorganics12040123.</w:t>
      </w:r>
    </w:p>
    <w:p>
      <w:pPr>
        <w:spacing w:line="192" w:lineRule="auto" w:before="10" w:after="10"/>
        <w:ind w:left="454" w:hanging="454"/>
      </w:pPr>
      <w:r>
        <w:rPr>
          <w:rFonts w:ascii="Times New Roman" w:hAnsi="Times New Roman"/>
          <w:b w:val="0"/>
          <w:i w:val="0"/>
          <w:sz w:val="20"/>
        </w:rPr>
        <w:t xml:space="preserve">[41] R. Islam, M. N. Uddin, M. J. Hossen, and A. Begum, “Photovoltaic performance of lead-free </w:t>
      </w:r>
      <w:r>
        <w:rPr>
          <w:rFonts w:ascii="Times New Roman" w:hAnsi="Times New Roman"/>
          <w:b w:val="0"/>
          <w:i w:val="0"/>
          <w:sz w:val="20"/>
        </w:rPr>
        <w:t xml:space="preserve">MASnI</w:t>
      </w:r>
      <w:r>
        <w:rPr>
          <w:rFonts w:ascii="Times New Roman" w:hAnsi="Times New Roman"/>
          <w:b w:val="0"/>
          <w:i w:val="0"/>
          <w:sz w:val="20"/>
          <w:vertAlign w:val="subscript"/>
        </w:rPr>
        <w:t xml:space="preserve">3</w:t>
      </w:r>
      <w:r>
        <w:rPr>
          <w:rFonts w:ascii="Times New Roman" w:hAnsi="Times New Roman"/>
          <w:b w:val="0"/>
          <w:i w:val="0"/>
          <w:sz w:val="20"/>
        </w:rPr>
        <w:t xml:space="preserve">-based perovskite solar cells with kesterite hole transport materials,” AIP Adv. 16(5) (2026). doi:10.1063/5.0315071.</w:t>
      </w:r>
    </w:p>
    <w:p>
      <w:pPr>
        <w:spacing w:line="192" w:lineRule="auto" w:before="10" w:after="10"/>
        <w:ind w:left="454" w:hanging="454"/>
      </w:pPr>
      <w:r>
        <w:rPr>
          <w:rFonts w:ascii="Times New Roman" w:hAnsi="Times New Roman" w:cs="Times New Roman"/>
          <w:b w:val="0"/>
          <w:i w:val="0"/>
          <w:sz w:val="20"/>
        </w:rPr>
        <w:t xml:space="preserve">[42] A. C. Piñón Reyes et al., “Study of a lead-free perovskite solar cell using CZTS as HTL to achieve a 20% PCE by SCAPS-1D simulation,” Micromachines 12(12), 1508 (2021). doi:10.3390/mi12121508.</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