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
        <w:t>Defect-Tolerant Design of Lead-Free RbGeI</w:t>
      </w:r>
      <w:r>
        <w:rPr>
          <w:vertAlign w:val="subscript"/>
        </w:rPr>
        <w:t>3</w:t>
      </w:r>
      <w:r>
        <w:t xml:space="preserve"> Solar Cells: From SCAPS-1D Optimization to Manufacturing Tolerances, Benchmarked Against CsGeI</w:t>
      </w:r>
      <w:r>
        <w:rPr>
          <w:vertAlign w:val="subscript"/>
        </w:rPr>
        <w:t>3</w:t>
      </w:r>
    </w:p>
    <w:p>
      <w:pPr/>
      <w:r>
        <w:rPr>
          <w:b/>
        </w:rPr>
        <w:t>Md. Abdul Malek Fahim</w:t>
      </w:r>
      <w:r>
        <w:rPr>
          <w:vertAlign w:val="superscript"/>
        </w:rPr>
      </w:r>
      <w:r/>
      <w:r>
        <w:rPr>
          <w:b/>
        </w:rPr>
      </w:r>
      <w:r>
        <w:rPr>
          <w:vertAlign w:val="superscript"/>
        </w:rPr>
      </w:r>
      <w:r>
        <w:rPr>
          <w:vertAlign w:val="superscript"/>
        </w:rPr>
        <w:t>1</w:t>
      </w:r>
      <w:r>
        <w:t xml:space="preserve">, </w:t>
      </w:r>
      <w:r>
        <w:rPr>
          <w:b/>
        </w:rPr>
        <w:t>Hussain Touhid Siddiquee</w:t>
      </w:r>
      <w:r>
        <w:rPr>
          <w:vertAlign w:val="superscript"/>
        </w:rPr>
        <w:t>1</w:t>
      </w:r>
    </w:p>
    <w:p>
      <w:pPr/>
      <w:r>
        <w:t>touhidsiddiqueeraj@gmail.com; mdabdulmalekfahim@gmail.com</w:t>
      </w:r>
    </w:p>
    <w:p>
      <w:pPr>
        <w:spacing w:line="360" w:lineRule="auto" w:before="0" w:after="120"/>
        <w:jc w:val="center"/>
      </w:pPr>
      <w:r>
        <w:rPr>
          <w:rFonts w:ascii="Times New Roman" w:hAnsi="Times New Roman" w:cs="Times New Roman"/>
          <w:b w:val="0"/>
          <w:i/>
          <w:color w:val="555555"/>
          <w:sz w:val="20"/>
        </w:rPr>
        <w:t>¹ Department of Electrical and Electronic Engineering, Leading University, Sylhet, Bangladesh</w:t>
      </w:r>
    </w:p>
    <w:p>
      <w:pPr>
        <w:spacing w:line="360" w:lineRule="auto" w:before="0" w:after="120"/>
        <w:jc w:val="center"/>
      </w:pPr>
      <w:r>
        <w:t>* Corresponding author. Electronic mail: touhidsiddiqueeraj@gmail.com</w:t>
      </w:r>
    </w:p>
    <w:p>
      <w:pPr>
        <w:spacing w:line="360" w:lineRule="auto" w:before="240" w:after="160"/>
        <w:jc w:val="center"/>
      </w:pPr>
      <w:r>
        <w:rPr>
          <w:rFonts w:ascii="Times New Roman" w:hAnsi="Times New Roman" w:cs="Times New Roman"/>
          <w:b/>
          <w:i w:val="0"/>
          <w:sz w:val="26"/>
        </w:rPr>
        <w:t>Abstract</w:t>
      </w:r>
    </w:p>
    <w:p>
      <w:pPr>
        <w:spacing w:line="360" w:lineRule="auto" w:before="0" w:after="240"/>
        <w:jc w:val="both"/>
      </w:pPr>
      <w:r>
        <w:t>The rapid rise of lead-halide perovskite solar cells has been tempered by lead toxicity, motivating a search for lead-free absorbers with comparable optoelectronics. Rubidium germanium iodide (</w:t>
      </w:r>
      <w:r>
        <w:t>RbGeI</w:t>
      </w:r>
      <w:r>
        <w:rPr>
          <w:vertAlign w:val="subscript"/>
        </w:rPr>
        <w:t>3</w:t>
      </w:r>
      <w:r>
        <w:t xml:space="preserve">) offers a direct, tunable bandgap, strong absorption, and improved environmental compatibility. Here we report a SCAPS-1D (v3.3.10) optimization of an </w:t>
      </w:r>
      <w:r>
        <w:t>RbGeI</w:t>
      </w:r>
      <w:r>
        <w:rPr>
          <w:vertAlign w:val="subscript"/>
        </w:rPr>
        <w:t>3</w:t>
      </w:r>
      <w:r>
        <w:t xml:space="preserve"> cell. After screening eight ETL–HTL combinations sharing the same absorber, the FTO/</w:t>
      </w:r>
      <w:r>
        <w:t>TiO</w:t>
      </w:r>
      <w:r>
        <w:rPr>
          <w:vertAlign w:val="subscript"/>
        </w:rPr>
        <w:t>2</w:t>
      </w:r>
      <w:r>
        <w:t>/</w:t>
      </w:r>
      <w:r>
        <w:t>RbGeI</w:t>
      </w:r>
      <w:r>
        <w:rPr>
          <w:vertAlign w:val="subscript"/>
        </w:rPr>
        <w:t>3</w:t>
      </w:r>
      <w:r>
        <w:t>/</w:t>
      </w:r>
      <w:r>
        <w:t>Cu</w:t>
      </w:r>
      <w:r>
        <w:rPr>
          <w:vertAlign w:val="subscript"/>
        </w:rPr>
        <w:t>I</w:t>
      </w:r>
      <w:r>
        <w:t xml:space="preserve">/Au architecture was carried forward on stability and cost grounds. Eleven parameters (absorber thickness, defect density, dielectric constant, electron affinity, bandgap, effective densities of states, transport-layer thicknesses, both interface defect densities) were varied sequentially under AM 1.5G at 300 K. The optimized device reaches 26.81% PCE, with </w:t>
      </w:r>
      <w:r>
        <w:t>V</w:t>
      </w:r>
      <w:r>
        <w:rPr>
          <w:vertAlign w:val="subscript"/>
        </w:rPr>
        <w:t>OC</w:t>
      </w:r>
      <w:r>
        <w:t xml:space="preserve"> = 1.13 V, </w:t>
      </w:r>
      <w:r>
        <w:t>J</w:t>
      </w:r>
      <w:r>
        <w:rPr>
          <w:vertAlign w:val="subscript"/>
        </w:rPr>
        <w:t>SC</w:t>
      </w:r>
      <w:r>
        <w:t xml:space="preserve"> = 30.32 mA/cm², FF = 78.26%: a 700 nm absorber (Eg = 1.4 eV, χ = 3.9 eV, εr = 15, </w:t>
      </w:r>
      <w:r>
        <w:t>N</w:t>
      </w:r>
      <w:r>
        <w:rPr>
          <w:vertAlign w:val="subscript"/>
        </w:rPr>
        <w:t>C</w:t>
      </w:r>
      <w:r>
        <w:t xml:space="preserve"> = </w:t>
      </w:r>
      <w:r>
        <w:t>N</w:t>
      </w:r>
      <w:r>
        <w:rPr>
          <w:vertAlign w:val="subscript"/>
        </w:rPr>
        <w:t>V</w:t>
      </w:r>
      <w:r>
        <w:t xml:space="preserve"> = 1×10¹⁷ cm⁻³), 10 nm </w:t>
      </w:r>
      <w:r>
        <w:t>TiO</w:t>
      </w:r>
      <w:r>
        <w:rPr>
          <w:vertAlign w:val="subscript"/>
        </w:rPr>
        <w:t>2</w:t>
      </w:r>
      <w:r>
        <w:t xml:space="preserve">, 100 nm </w:t>
      </w:r>
      <w:r>
        <w:t>Cu</w:t>
      </w:r>
      <w:r>
        <w:rPr>
          <w:vertAlign w:val="subscript"/>
        </w:rPr>
        <w:t>I</w:t>
      </w:r>
      <w:r>
        <w:t xml:space="preserve">, and 1×10¹⁴ cm⁻² interface defects. The band diagram confirms favorable alignment: a 1.8 eV offset at </w:t>
      </w:r>
      <w:r>
        <w:t>Cu</w:t>
      </w:r>
      <w:r>
        <w:rPr>
          <w:vertAlign w:val="subscript"/>
        </w:rPr>
        <w:t>I</w:t>
      </w:r>
      <w:r>
        <w:t>/</w:t>
      </w:r>
      <w:r>
        <w:t>RbGeI</w:t>
      </w:r>
      <w:r>
        <w:rPr>
          <w:vertAlign w:val="subscript"/>
        </w:rPr>
        <w:t>3</w:t>
      </w:r>
      <w:r>
        <w:t xml:space="preserve"> blocking electron back-transfer and a 0.10 eV step at </w:t>
      </w:r>
      <w:r>
        <w:t>RbGeI</w:t>
      </w:r>
      <w:r>
        <w:rPr>
          <w:vertAlign w:val="subscript"/>
        </w:rPr>
        <w:t>3</w:t>
      </w:r>
      <w:r>
        <w:t>/</w:t>
      </w:r>
      <w:r>
        <w:t>TiO</w:t>
      </w:r>
      <w:r>
        <w:rPr>
          <w:vertAlign w:val="subscript"/>
        </w:rPr>
        <w:t>2</w:t>
      </w:r>
      <w:r>
        <w:t xml:space="preserve"> aiding extraction. The 26.81% is an ideal-coupling upper bound; optical and defect realism bound the plausible window to ≈20.7–23.5%, and joint optimization places the mathematical maximum at 31.78%.</w:t>
      </w:r>
    </w:p>
    <w:p>
      <w:pPr>
        <w:spacing w:line="360" w:lineRule="auto" w:before="0" w:after="240"/>
        <w:jc w:val="both"/>
      </w:pPr>
      <w:r>
        <w:t>Keywords: lead-free perovskite; RbGeI3; SCAPS-1D; CuI hole transport layer; defect density; interface engineering.</w:t>
      </w:r>
    </w:p>
    <w:p>
      <w:r>
        <w:br w:type="page"/>
      </w:r>
    </w:p>
    <w:p>
      <w:pPr>
        <w:pStyle w:val="Heading1"/>
        <w:keepNext/>
        <w:spacing w:before="320" w:after="120" w:line="360" w:lineRule="auto"/>
      </w:pPr>
      <w:r>
        <w:rPr>
          <w:rFonts w:ascii="Times New Roman" w:hAnsi="Times New Roman" w:cs="Times New Roman"/>
          <w:b/>
          <w:i w:val="0"/>
          <w:sz w:val="28"/>
        </w:rPr>
        <w:t>I. Introduction</w:t>
      </w:r>
    </w:p>
    <w:p>
      <w:pPr>
        <w:pStyle w:val="Heading2"/>
        <w:keepNext/>
        <w:spacing w:before="120" w:after="40" w:line="360" w:lineRule="auto"/>
      </w:pPr>
      <w:r>
        <w:rPr>
          <w:rFonts w:ascii="Times New Roman" w:hAnsi="Times New Roman" w:cs="Times New Roman"/>
          <w:b/>
          <w:i/>
          <w:sz w:val="24"/>
        </w:rPr>
        <w:t>A. Background and motivation</w:t>
      </w:r>
    </w:p>
    <w:p>
      <w:pPr>
        <w:spacing w:line="360" w:lineRule="auto" w:before="120" w:after="120"/>
        <w:ind w:firstLine="283"/>
        <w:jc w:val="both"/>
      </w:pPr>
      <w:r>
        <w:rPr>
          <w:rFonts w:ascii="Times New Roman" w:hAnsi="Times New Roman" w:cs="Times New Roman"/>
          <w:b w:val="0"/>
          <w:i w:val="0"/>
          <w:sz w:val="24"/>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2.2 TW in 2024, and continued growth relies on identifying photovoltaic materials that combine high efficiency with low environmental impact and low fabrication cost. Continued progress in PV technology matters for meeting climate-mitigation targets and for expanding energy access in regions without reliable grid infrastructure [4]. 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 (including CdTe, CIGS, and amorphous silicon) reduce material consumption and offer flexible substrates, but their efficiencies are modest and some rely on scarce or toxic elements. The third generation, which includes dye-sensitized solar cells, organic photovoltaics, quantum-dot cells, and perovskite solar cells (PSCs) [5,6], promises high efficiency at low processing cost and is intensely studied.</w:t>
      </w:r>
    </w:p>
    <w:p>
      <w:pPr>
        <w:pStyle w:val="Heading2"/>
        <w:keepNext/>
        <w:spacing w:before="120" w:after="40" w:line="360" w:lineRule="auto"/>
      </w:pPr>
      <w:r>
        <w:rPr>
          <w:rFonts w:ascii="Times New Roman" w:hAnsi="Times New Roman" w:cs="Times New Roman"/>
          <w:b/>
          <w:i/>
          <w:sz w:val="24"/>
        </w:rPr>
        <w:t>B. Perovskite solar cells and the lead problem</w:t>
      </w:r>
    </w:p>
    <w:p>
      <w:pPr>
        <w:spacing w:line="360" w:lineRule="auto" w:before="120" w:after="120"/>
        <w:ind w:firstLine="283"/>
        <w:jc w:val="both"/>
      </w:pPr>
      <w:r>
        <w:rPr>
          <w:rFonts w:ascii="Times New Roman" w:hAnsi="Times New Roman"/>
          <w:b w:val="0"/>
          <w:i w:val="0"/>
          <w:sz w:val="24"/>
        </w:rPr>
        <w:t>Halide perovskites adopt an ABX</w:t>
      </w:r>
      <w:r>
        <w:rPr>
          <w:rFonts w:ascii="Times New Roman" w:hAnsi="Times New Roman"/>
          <w:b w:val="0"/>
          <w:i w:val="0"/>
          <w:sz w:val="24"/>
          <w:vertAlign w:val="subscript"/>
        </w:rPr>
        <w:t>3</w:t>
      </w:r>
      <w:r>
        <w:rPr>
          <w:rFonts w:ascii="Times New Roman" w:hAnsi="Times New Roman"/>
          <w:b w:val="0"/>
          <w:i w:val="0"/>
          <w:sz w:val="24"/>
        </w:rPr>
        <w:t xml:space="preserve"> crystal structure in which the A-site hosts a monovalent cation, the B-site a divalent metal, and the X-site a halogen. Their attractiveness for photovoltaics stems from strong light absorption, continuously tunable bandgaps, ambipolar carrier transport with long diffusion lengths, and weak exciton binding [7,8]. Certified power conversion efficiencies (PCEs) for single-junction lead-based devices now exceed 26% [3], and perovskite-on-silicon tandems have crossed 33% [3]. The best absorbers, however, are methylammonium lead iodide (MAPbI</w:t>
      </w:r>
      <w:r>
        <w:rPr>
          <w:rFonts w:ascii="Times New Roman" w:hAnsi="Times New Roman"/>
          <w:b w:val="0"/>
          <w:i w:val="0"/>
          <w:sz w:val="24"/>
          <w:vertAlign w:val="subscript"/>
        </w:rPr>
        <w:t>3</w:t>
      </w:r>
      <w:r>
        <w:rPr>
          <w:rFonts w:ascii="Times New Roman" w:hAnsi="Times New Roman"/>
          <w:b w:val="0"/>
          <w:i w:val="0"/>
          <w:sz w:val="24"/>
        </w:rPr>
        <w:t>) and formamidinium lead iodide (FAPbI</w:t>
      </w:r>
      <w:r>
        <w:rPr>
          <w:rFonts w:ascii="Times New Roman" w:hAnsi="Times New Roman"/>
          <w:b w:val="0"/>
          <w:i w:val="0"/>
          <w:sz w:val="24"/>
          <w:vertAlign w:val="subscript"/>
        </w:rPr>
        <w:t>3</w:t>
      </w:r>
      <w:r>
        <w:rPr>
          <w:rFonts w:ascii="Times New Roman" w:hAnsi="Times New Roman"/>
          <w:b w:val="0"/>
          <w:i w:val="0"/>
          <w:sz w:val="24"/>
        </w:rPr>
        <w:t>), both of which contain lead. Lead raises contamination concerns at every stage of the device life cycle, from fabrication through operation to disposal [9,10], and the search for benign substitutes based on tin (Sn), germanium (Ge), bismuth (Bi), and antimony (Sb) is now a central research direction [11,12].</w:t>
      </w:r>
    </w:p>
    <w:p>
      <w:pPr>
        <w:spacing w:line="360" w:lineRule="auto" w:before="120" w:after="120"/>
        <w:ind w:firstLine="283"/>
        <w:jc w:val="both"/>
      </w:pPr>
      <w:r>
        <w:rPr>
          <w:rFonts w:ascii="Times New Roman" w:hAnsi="Times New Roman"/>
          <w:b w:val="0"/>
          <w:i w:val="0"/>
          <w:sz w:val="24"/>
        </w:rPr>
        <w:t xml:space="preserve">Tin-based perovskites initially attracted the most attention as lead substitutes, because Sn²⁺ has a similar lone-pair electronic configuration to Pb²⁺ [11]. Unfortunately, Sn²⁺ readily oxidizes to Sn⁴⁺ in air, generating high densities of deep defects and accelerating device degradation [11,12]. Germanium-based perovskites have emerged as a complementary alternative: germanium offers the same lone-pair electronic structure as lead, supports a direct and tunable bandgap, and is less toxic [13]. Among Ge-based absorbers, rubidium germanium iodide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stands out for its suitable bandgap (≈1.3–1.4 eV depending on the structural phase and computational method), strong optical absorption coefficient, and good thermal stability [14,15,16]. Recent density-functional-theory (DFT) calculations confirm a direct bandgap and a high optical absorption coefficient comparable to that of </w:t>
      </w:r>
      <w:r>
        <w:rPr>
          <w:rFonts w:ascii="Times New Roman" w:hAnsi="Times New Roman"/>
          <w:b w:val="0"/>
          <w:i w:val="0"/>
          <w:sz w:val="24"/>
        </w:rPr>
        <w:t xml:space="preserve">MAPbI</w:t>
      </w:r>
      <w:r>
        <w:rPr>
          <w:rFonts w:ascii="Times New Roman" w:hAnsi="Times New Roman"/>
          <w:b w:val="0"/>
          <w:i w:val="0"/>
          <w:sz w:val="24"/>
          <w:vertAlign w:val="subscript"/>
        </w:rPr>
        <w:t xml:space="preserve">3</w:t>
      </w:r>
      <w:r>
        <w:rPr>
          <w:rFonts w:ascii="Times New Roman" w:hAnsi="Times New Roman"/>
          <w:b w:val="0"/>
          <w:i w:val="0"/>
          <w:sz w:val="24"/>
        </w:rPr>
        <w:t xml:space="preserve"> [13,17,18]. The material is well suited to single-junction photovoltaics.</w:t>
      </w:r>
    </w:p>
    <w:p>
      <w:pPr>
        <w:pStyle w:val="Heading2"/>
        <w:keepNext/>
        <w:spacing w:before="120" w:after="40" w:line="360" w:lineRule="auto"/>
      </w:pPr>
      <w:r>
        <w:rPr>
          <w:rFonts w:ascii="Times New Roman" w:hAnsi="Times New Roman" w:cs="Times New Roman"/>
          <w:b/>
          <w:i/>
          <w:sz w:val="24"/>
        </w:rPr>
        <w:t>C. Role of numerical simulation and research gap</w:t>
      </w:r>
    </w:p>
    <w:p>
      <w:pPr>
        <w:spacing w:line="360" w:lineRule="auto" w:before="120" w:after="120"/>
        <w:ind w:firstLine="283"/>
        <w:jc w:val="both"/>
      </w:pPr>
      <w:r>
        <w:rPr>
          <w:rFonts w:ascii="Times New Roman" w:hAnsi="Times New Roman" w:cs="Times New Roman"/>
          <w:b w:val="0"/>
          <w:i w:val="0"/>
          <w:sz w:val="24"/>
        </w:rPr>
        <w:t>Because experimental optimization of a multilayer photovoltaic device is both time-consuming and expensive, numerical simulation has become the standard tool for screening materials and parameters before fabrication. The Solar Cell Capacitance Simulator in one dimension (SCAPS-1D), developed at the Department of Electronics and Information Systems (ELIS) of Ghent University, Belgium, has been widely adopted for this purpose [19,20,21]. SCAPS-1D solves the Poisson equation together with the electron and hole continuity equations self-consistently across the device stack [19], capturing carrier generation, transport, and recombination under either dark or illuminated conditions. The software allows the user to vary material and interface parameters independently, which makes it possible to disentangle their individual contributions to device performance. Figure 1 shows the graphical user interface of SCAPS-1D version 3.3.10 used in this study.</w:t>
      </w:r>
    </w:p>
    <w:p>
      <w:pPr>
        <w:keepNext/>
        <w:keepLines/>
        <w:spacing w:before="120" w:after="40"/>
        <w:jc w:val="center"/>
      </w:pPr>
      <w:r>
        <w:drawing>
          <wp:inline xmlns:a="http://schemas.openxmlformats.org/drawingml/2006/main" xmlns:pic="http://schemas.openxmlformats.org/drawingml/2006/picture">
            <wp:extent cx="5040000" cy="2255775"/>
            <wp:docPr id="1" name="Picture 1"/>
            <wp:cNvGraphicFramePr>
              <a:graphicFrameLocks noChangeAspect="1"/>
            </wp:cNvGraphicFramePr>
            <a:graphic>
              <a:graphicData uri="http://schemas.openxmlformats.org/drawingml/2006/picture">
                <pic:pic>
                  <pic:nvPicPr>
                    <pic:cNvPr id="0" name="fig1_scaps_gui.png"/>
                    <pic:cNvPicPr/>
                  </pic:nvPicPr>
                  <pic:blipFill>
                    <a:blip r:embed="rId11"/>
                    <a:stretch>
                      <a:fillRect/>
                    </a:stretch>
                  </pic:blipFill>
                  <pic:spPr>
                    <a:xfrm>
                      <a:off x="0" y="0"/>
                      <a:ext cx="5040000" cy="2663286"/>
                    </a:xfrm>
                    <a:prstGeom prst="rect"/>
                  </pic:spPr>
                </pic:pic>
              </a:graphicData>
            </a:graphic>
          </wp:inline>
        </w:drawing>
      </w:r>
    </w:p>
    <w:p>
      <w:pPr>
        <w:spacing w:before="80" w:after="240"/>
        <w:jc w:val="center"/>
      </w:pPr>
      <w:r>
        <w:rPr>
          <w:rFonts w:ascii="Times New Roman" w:hAnsi="Times New Roman" w:cs="Times New Roman"/>
          <w:b w:val="0"/>
          <w:i/>
          <w:sz w:val="20"/>
        </w:rPr>
        <w:t>Fig. 1. Graphical user interface of SCAPS-1D (version 3.3.10) used for device simulation in this study.</w:t>
      </w:r>
    </w:p>
    <w:p>
      <w:pPr>
        <w:spacing w:line="360" w:lineRule="auto" w:before="120" w:after="120"/>
        <w:ind w:firstLine="283"/>
        <w:jc w:val="both"/>
      </w:pPr>
      <w:r>
        <w:rPr>
          <w:rFonts w:ascii="Times New Roman" w:hAnsi="Times New Roman"/>
          <w:b w:val="0"/>
          <w:i w:val="0"/>
          <w:sz w:val="24"/>
        </w:rPr>
        <w:t xml:space="preserve">Although several SCAPS-1D studies of RbGeI</w:t>
      </w:r>
      <w:r>
        <w:rPr>
          <w:rFonts w:ascii="Times New Roman" w:hAnsi="Times New Roman"/>
          <w:b w:val="0"/>
          <w:i w:val="0"/>
          <w:sz w:val="24"/>
          <w:vertAlign w:val="subscript"/>
        </w:rPr>
        <w:t xml:space="preserve">3</w:t>
      </w:r>
      <w:r>
        <w:rPr>
          <w:rFonts w:ascii="Times New Roman" w:hAnsi="Times New Roman"/>
          <w:b w:val="0"/>
          <w:i w:val="0"/>
          <w:sz w:val="24"/>
        </w:rPr>
        <w:t xml:space="preserve"> devices have been reported, most have optimized only a limited subset of device parameters or investigated a single device configuration. The simulation baseline for RbGeI</w:t>
      </w:r>
      <w:r>
        <w:rPr>
          <w:rFonts w:ascii="Times New Roman" w:hAnsi="Times New Roman"/>
          <w:b w:val="0"/>
          <w:i w:val="0"/>
          <w:sz w:val="24"/>
          <w:vertAlign w:val="subscript"/>
        </w:rPr>
        <w:t xml:space="preserve">3</w:t>
      </w:r>
      <w:r>
        <w:rPr>
          <w:rFonts w:ascii="Times New Roman" w:hAnsi="Times New Roman"/>
          <w:b w:val="0"/>
          <w:i w:val="0"/>
          <w:sz w:val="24"/>
        </w:rPr>
        <w:t xml:space="preserve"> devices is still low: Pindolia et al. reported a PCE of 9.77% for the FTO/TiO</w:t>
      </w:r>
      <w:r>
        <w:rPr>
          <w:rFonts w:ascii="Times New Roman" w:hAnsi="Times New Roman"/>
          <w:b w:val="0"/>
          <w:i w:val="0"/>
          <w:sz w:val="24"/>
          <w:vertAlign w:val="subscript"/>
        </w:rPr>
        <w:t xml:space="preserve">2</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/NiO/Ag architecture using SCAPS-1D simulation [14]. The Pindolia study is broader than its shorthand citation in the secondary literature suggests. The paper systematically studied the effect of various HTL and ETL materials, layer thicknesses, doping concentrations, defect densities, back-contact work functions, and operating temperature in a broad multi-parameter sweep [14]. Simulation-based studies have since raised the predicted PCE of RbGeI</w:t>
      </w:r>
      <w:r>
        <w:rPr>
          <w:rFonts w:ascii="Times New Roman" w:hAnsi="Times New Roman"/>
          <w:b w:val="0"/>
          <w:i w:val="0"/>
          <w:sz w:val="24"/>
          <w:vertAlign w:val="subscript"/>
        </w:rPr>
        <w:t xml:space="preserve">3</w:t>
      </w:r>
      <w:r>
        <w:rPr>
          <w:rFonts w:ascii="Times New Roman" w:hAnsi="Times New Roman"/>
          <w:b w:val="0"/>
          <w:i w:val="0"/>
          <w:sz w:val="24"/>
        </w:rPr>
        <w:t xml:space="preserve"> devices to 27.21% (2024 [22]) and 26.47% (2026 [23]), although each of these works optimized only a limited subset of device parameters. The ETL–HTL combinations explored for RbGeI</w:t>
      </w:r>
      <w:r>
        <w:rPr>
          <w:rFonts w:ascii="Times New Roman" w:hAnsi="Times New Roman"/>
          <w:b w:val="0"/>
          <w:i w:val="0"/>
          <w:sz w:val="24"/>
          <w:vertAlign w:val="subscript"/>
        </w:rPr>
        <w:t xml:space="preserve">3</w:t>
      </w:r>
      <w:r>
        <w:rPr>
          <w:rFonts w:ascii="Times New Roman" w:hAnsi="Times New Roman"/>
          <w:b w:val="0"/>
          <w:i w:val="0"/>
          <w:sz w:val="24"/>
        </w:rPr>
        <w:t xml:space="preserve"> have also been narrow: most studies used TiO</w:t>
      </w:r>
      <w:r>
        <w:rPr>
          <w:rFonts w:ascii="Times New Roman" w:hAnsi="Times New Roman"/>
          <w:b w:val="0"/>
          <w:i w:val="0"/>
          <w:sz w:val="24"/>
          <w:vertAlign w:val="subscript"/>
        </w:rPr>
        <w:t xml:space="preserve">2</w:t>
      </w:r>
      <w:r>
        <w:rPr>
          <w:rFonts w:ascii="Times New Roman" w:hAnsi="Times New Roman"/>
          <w:b w:val="0"/>
          <w:i w:val="0"/>
          <w:sz w:val="24"/>
        </w:rPr>
        <w:t xml:space="preserve"> as the ETL and either Spiro-OMeTAD, NiO, or CBTS as the HTL, while the TiO</w:t>
      </w:r>
      <w:r>
        <w:rPr>
          <w:rFonts w:ascii="Times New Roman" w:hAnsi="Times New Roman"/>
          <w:b w:val="0"/>
          <w:i w:val="0"/>
          <w:sz w:val="24"/>
          <w:vertAlign w:val="subscript"/>
        </w:rPr>
        <w:t xml:space="preserve">2</w:t>
      </w:r>
      <w:r>
        <w:rPr>
          <w:rFonts w:ascii="Times New Roman" w:hAnsi="Times New Roman"/>
          <w:b w:val="0"/>
          <w:i w:val="0"/>
          <w:sz w:val="24"/>
        </w:rPr>
        <w:t xml:space="preserve">/CuI combination used here has received comparatively little attention despite the well-documented advantages of CuI as an HTL.</w:t>
      </w:r>
    </w:p>
    <w:p>
      <w:pPr>
        <w:pStyle w:val="Heading2"/>
        <w:keepNext/>
        <w:spacing w:before="120" w:after="40" w:line="360" w:lineRule="auto"/>
      </w:pPr>
      <w:r>
        <w:rPr>
          <w:rFonts w:ascii="Times New Roman" w:hAnsi="Times New Roman" w:cs="Times New Roman"/>
          <w:b/>
          <w:i/>
          <w:sz w:val="24"/>
        </w:rPr>
        <w:t>D. Contributions and paper organization</w:t>
      </w:r>
    </w:p>
    <w:p>
      <w:pPr>
        <w:spacing w:line="360" w:lineRule="auto" w:before="120" w:after="120"/>
        <w:ind w:firstLine="283"/>
        <w:jc w:val="both"/>
      </w:pPr>
      <w:r>
        <w:rPr>
          <w:rFonts w:ascii="Times New Roman" w:hAnsi="Times New Roman"/>
          <w:b w:val="0"/>
          <w:i w:val="0"/>
          <w:sz w:val="24"/>
        </w:rPr>
        <w:t>We close this gap by running a SCAPS-1D optimization of an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perovskite solar cell. We first screen eight ETL–HTL combinations to identify the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architecture as a promising candidate for inorganic-HTL optimization, and then run an eleven-step sequential optimization covering absorber thickness, absorber defect density, dielectric constant, electron affinity, bandgap, conduction- and valence-band effective density of states, ETL and HTL thicknesses, and the two interfacial defect densities. We also analyze the quantum-efficiency spectrum and the equilibrium energy-band diagram of the optimized device, and we benchmark it against recently reported RbGeI</w:t>
      </w:r>
      <w:r>
        <w:rPr>
          <w:rFonts w:ascii="Times New Roman" w:hAnsi="Times New Roman"/>
          <w:b w:val="0"/>
          <w:i w:val="0"/>
          <w:sz w:val="24"/>
          <w:vertAlign w:val="subscript"/>
        </w:rPr>
        <w:t>3</w:t>
      </w:r>
      <w:r>
        <w:rPr>
          <w:rFonts w:ascii="Times New Roman" w:hAnsi="Times New Roman"/>
          <w:b w:val="0"/>
          <w:i w:val="0"/>
          <w:sz w:val="24"/>
        </w:rPr>
        <w:t>-based and related lead-free Ge/Sn-based perovskite solar cells, using primary-source-verified comparator values.</w:t>
      </w:r>
    </w:p>
    <w:p>
      <w:pPr>
        <w:spacing w:line="360" w:lineRule="auto" w:before="120" w:after="120"/>
        <w:ind w:firstLine="283"/>
        <w:jc w:val="both"/>
      </w:pPr>
      <w:r>
        <w:rPr>
          <w:rFonts w:ascii="Times New Roman" w:hAnsi="Times New Roman" w:cs="Times New Roman"/>
          <w:b w:val="0"/>
          <w:i w:val="0"/>
          <w:sz w:val="24"/>
        </w:rPr>
        <w:t>Section II surveys recent literature. Section III describes the device structure and material selection. Section IV presents the methodology and optimization procedure. Section V reports and discusses the results, Section VI compares with prior literature, and Sections VII and VIII cover limitations and conclusions.</w:t>
      </w:r>
    </w:p>
    <w:p>
      <w:pPr>
        <w:pStyle w:val="Heading1"/>
        <w:keepNext/>
        <w:spacing w:before="320" w:after="120" w:line="360" w:lineRule="auto"/>
      </w:pPr>
      <w:r>
        <w:rPr>
          <w:rFonts w:ascii="Times New Roman" w:hAnsi="Times New Roman" w:cs="Times New Roman"/>
          <w:b/>
          <w:i w:val="0"/>
          <w:sz w:val="28"/>
        </w:rPr>
        <w:t>II. Literature Review and Research Gap</w:t>
      </w:r>
    </w:p>
    <w:p>
      <w:pPr>
        <w:spacing w:line="360" w:lineRule="auto" w:before="120" w:after="120"/>
        <w:ind w:firstLine="283"/>
        <w:jc w:val="both"/>
      </w:pPr>
      <w:r>
        <w:rPr>
          <w:rFonts w:ascii="Times New Roman" w:hAnsi="Times New Roman" w:cs="Times New Roman"/>
          <w:b w:val="0"/>
          <w:i w:val="0"/>
          <w:sz w:val="24"/>
        </w:rPr>
        <w:t>Over the past five years, SCAPS-1D, often combined with first-principles DFT calculations, has become the workhorse numerical tool for designing and optimizing lead-free perovskite solar cells before experimental fabrication. This section surveys the most relevant recent SCAPS-1D studies on Ge-based and Sn-based absorbers, highlighting the device structure, the photovoltaic performance, and the principal limitation of each work. Table I summarizes these studies. All numerical values listed in Table I have been cross-checked against the primary source literature; where a reported efficiency was inconsistent with the device’s published J–V metrics, the value implied by those metrics was adopted. In particular, the entries for Pindolia et al. (2022), Loumachi et al. (2024), and Pathak et al. (2026) are quoted verbatim from the corresponding primary sources.</w:t>
      </w:r>
    </w:p>
    <w:p>
      <w:pPr>
        <w:keepNext/>
        <w:spacing w:before="120" w:after="40"/>
        <w:jc w:val="center"/>
      </w:pPr>
      <w:r>
        <w:rPr>
          <w:rFonts w:ascii="Times New Roman" w:hAnsi="Times New Roman" w:cs="Times New Roman"/>
          <w:b/>
          <w:i w:val="0"/>
          <w:sz w:val="20"/>
        </w:rPr>
        <w:t>Table I. Summary of recent SCAPS-1D studies on lead-free Ge-based and Sn-based perovskite solar cells.</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2340"/>
        <w:gridCol w:w="2340"/>
        <w:gridCol w:w="2340"/>
        <w:gridCol w:w="2340"/>
      </w:tblGrid>
      <w:tr>
        <w:trPr>
          <w:tblHeader w:val="true"/>
          <w:cantSplit w:val="true"/>
        </w:trPr>
        <w:tc>
          <w:tcPr>
            <w:tcW w:type="dxa" w:w="204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Study (Year) [Ref.]</w:t>
            </w:r>
          </w:p>
        </w:tc>
        <w:tc>
          <w:tcPr>
            <w:tcW w:type="dxa" w:w="249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Device Structure</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PCE (%)</w:t>
            </w:r>
          </w:p>
        </w:tc>
        <w:tc>
          <w:tcPr>
            <w:tcW w:type="dxa" w:w="3969"/>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Key Limitation</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Pindolia et al. (2022) [14]</w:t>
            </w:r>
          </w:p>
        </w:tc>
        <w:tc>
          <w:tcPr>
            <w:tcW w:type="dxa" w:w="2494"/>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/NiO/Ag</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9.77</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Broad multi-parameter sweep (HTL, ETL, thickness, doping, defects, back contact, temperature); baseline efficiency remains modest and Ge²⁺ oxidation not addressed.</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Saikia et al. (2022) [24]</w:t>
            </w:r>
          </w:p>
        </w:tc>
        <w:tc>
          <w:tcPr>
            <w:tcW w:type="dxa" w:w="2494"/>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/CsGeI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10.80</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No multi-HTL comparative analysis.</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Bouazizi et al. (2022) [15]</w:t>
            </w:r>
          </w:p>
        </w:tc>
        <w:tc>
          <w:tcPr>
            <w:tcW w:type="dxa" w:w="2494"/>
          </w:tcPr>
          <w:p>
            <w:pPr>
              <w:jc w:val="left"/>
            </w:pPr>
            <w:r>
              <w:rPr>
                <w:rFonts w:ascii="Times New Roman" w:hAnsi="Times New Roman" w:cs="Times New Roman"/>
                <w:sz w:val="18"/>
                <w:b w:val="0"/>
                <w:i w:val="0"/>
              </w:rPr>
              <w:t>FTO/PCBM/CsSn</w:t>
            </w:r>
            <w:r>
              <w:rPr>
                <w:rFonts w:ascii="Times New Roman" w:hAnsi="Times New Roman" w:cs="Times New Roman"/>
                <w:vertAlign w:val="subscript"/>
                <w:sz w:val="18"/>
                <w:b w:val="0"/>
                <w:i w:val="0"/>
              </w:rPr>
              <w:t>0</w:t>
            </w:r>
            <w:r>
              <w:rPr>
                <w:rFonts w:ascii="Times New Roman" w:hAnsi="Times New Roman" w:cs="Times New Roman"/>
                <w:sz w:val="18"/>
                <w:b w:val="0"/>
                <w:i w:val="0"/>
              </w:rPr>
              <w:t>.</w:t>
            </w:r>
            <w:r>
              <w:rPr>
                <w:rFonts w:ascii="Times New Roman" w:hAnsi="Times New Roman" w:cs="Times New Roman"/>
                <w:vertAlign w:val="subscript"/>
                <w:sz w:val="18"/>
                <w:b w:val="0"/>
                <w:i w:val="0"/>
              </w:rPr>
              <w:t>5</w:t>
            </w:r>
            <w:r>
              <w:rPr>
                <w:rFonts w:ascii="Times New Roman" w:hAnsi="Times New Roman" w:cs="Times New Roman"/>
                <w:sz w:val="18"/>
                <w:b w:val="0"/>
                <w:i w:val="0"/>
              </w:rPr>
              <w:t>Ge</w:t>
            </w:r>
            <w:r>
              <w:rPr>
                <w:rFonts w:ascii="Times New Roman" w:hAnsi="Times New Roman" w:cs="Times New Roman"/>
                <w:vertAlign w:val="subscript"/>
                <w:sz w:val="18"/>
                <w:b w:val="0"/>
                <w:i w:val="0"/>
              </w:rPr>
              <w:t>0</w:t>
            </w:r>
            <w:r>
              <w:rPr>
                <w:rFonts w:ascii="Times New Roman" w:hAnsi="Times New Roman" w:cs="Times New Roman"/>
                <w:sz w:val="18"/>
                <w:b w:val="0"/>
                <w:i w:val="0"/>
              </w:rPr>
              <w:t>.</w:t>
            </w:r>
            <w:r>
              <w:rPr>
                <w:rFonts w:ascii="Times New Roman" w:hAnsi="Times New Roman" w:cs="Times New Roman"/>
                <w:vertAlign w:val="subscript"/>
                <w:sz w:val="18"/>
                <w:b w:val="0"/>
                <w:i w:val="0"/>
              </w:rPr>
              <w:t>5</w:t>
            </w:r>
            <w:r>
              <w:rPr>
                <w:rFonts w:ascii="Times New Roman" w:hAnsi="Times New Roman" w:cs="Times New Roman"/>
                <w:sz w:val="18"/>
                <w:b w:val="0"/>
                <w:i w:val="0"/>
              </w:rPr>
              <w:t>I</w:t>
            </w:r>
            <w:r>
              <w:rPr>
                <w:rFonts w:ascii="Times New Roman" w:hAnsi="Times New Roman" w:cs="Times New Roman"/>
                <w:vertAlign w:val="subscript"/>
                <w:sz w:val="18"/>
                <w:b w:val="0"/>
                <w:i w:val="0"/>
              </w:rPr>
              <w:t>3</w:t>
            </w:r>
            <w:r>
              <w:rPr>
                <w:rFonts w:ascii="Times New Roman" w:hAnsi="Times New Roman" w:cs="Times New Roman"/>
                <w:sz w:val="18"/>
                <w:b w:val="0"/>
                <w:i w:val="0"/>
              </w:rPr>
              <w:t>/Spiro/Au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18.13</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Mixed Ge/Sn absorber; thermal sensitivity.</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Loumachi et al. (2024) [22]</w:t>
            </w:r>
          </w:p>
        </w:tc>
        <w:tc>
          <w:tcPr>
            <w:tcW w:type="dxa" w:w="2494"/>
          </w:tcPr>
          <w:p>
            <w:pPr>
              <w:jc w:val="center"/>
            </w:pPr>
            <w:r>
              <w:rPr>
                <w:rFonts w:ascii="Times New Roman" w:hAnsi="Times New Roman" w:cs="Times New Roman"/>
                <w:sz w:val="18"/>
                <w:b w:val="0"/>
                <w:i w:val="0"/>
              </w:rPr>
              <w:t>ITO/C</w:t>
            </w:r>
            <w:r>
              <w:rPr>
                <w:rFonts w:ascii="Times New Roman" w:hAnsi="Times New Roman" w:cs="Times New Roman"/>
                <w:vertAlign w:val="subscript"/>
                <w:sz w:val="18"/>
                <w:b w:val="0"/>
                <w:i w:val="0"/>
              </w:rPr>
              <w:t>60</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/CBTS/Ag</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27.21</w:t>
            </w:r>
          </w:p>
        </w:tc>
        <w:tc>
          <w:tcPr>
            <w:tcW w:type="dxa" w:w="3969"/>
          </w:tcPr>
          <w:p>
            <w:pPr>
              <w:jc w:val="left"/>
            </w:pPr>
            <w:r>
              <w:rPr>
                <w:rFonts w:ascii="Times New Roman" w:hAnsi="Times New Roman" w:cs="Times New Roman"/>
                <w:sz w:val="18"/>
                <w:b w:val="0"/>
                <w:i w:val="0"/>
              </w:rPr>
              <w:t>Optimized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thickness and series/shunt resistance; interface defect optimization not addressed.</w:t>
            </w:r>
          </w:p>
        </w:tc>
      </w:tr>
      <w:tr>
        <w:trPr>
          <w:cantSplit w:val="true"/>
        </w:trPr>
        <w:tc>
          <w:tcPr>
            <w:tcW w:type="dxa" w:w="2041"/>
          </w:tcPr>
          <w:p>
            <w:pPr>
              <w:jc w:val="left"/>
            </w:pPr>
            <w:r>
              <w:rPr>
                <w:rFonts w:ascii="Times New Roman" w:hAnsi="Times New Roman" w:cs="Times New Roman"/>
                <w:b w:val="0"/>
                <w:i w:val="0"/>
                <w:sz w:val="18"/>
              </w:rPr>
              <w:t xml:space="preserve">Raj et al. (2025) [39]</w:t>
            </w:r>
          </w:p>
        </w:tc>
        <w:tc>
          <w:tcPr>
            <w:tcW w:type="dxa" w:w="2494"/>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/PEDOT:PSS/Au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18.60</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Organic HTL limits long-term stability.</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Pathak et al. (2026) [23]</w:t>
            </w:r>
          </w:p>
        </w:tc>
        <w:tc>
          <w:tcPr>
            <w:tcW w:type="dxa" w:w="2494"/>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/Spiro-OMeTAD/Au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26.47</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Ge²⁺ → Ge⁴⁺ oxidation not addressed; only single ETL/HTL combination studied.</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Dash et al. (2025) [17]</w:t>
            </w:r>
          </w:p>
        </w:tc>
        <w:tc>
          <w:tcPr>
            <w:tcW w:type="dxa" w:w="2494"/>
          </w:tcPr>
          <w:p>
            <w:pPr>
              <w:jc w:val="left"/>
            </w:pPr>
            <w:r>
              <w:rPr>
                <w:rFonts w:ascii="Times New Roman" w:hAnsi="Times New Roman" w:cs="Times New Roman"/>
                <w:sz w:val="18"/>
                <w:b w:val="0"/>
                <w:i w:val="0"/>
              </w:rPr>
              <w:t>DFT + SCAPS-1D of RbGeX</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(X=Cl, Br, I)</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25.76</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Primarily material-level comparison; limited device-architecture optimization.</w:t>
            </w:r>
          </w:p>
        </w:tc>
      </w:tr>
    </w:tbl>
    <w:p>
      <w:pPr>
        <w:spacing w:line="360" w:lineRule="auto" w:before="120" w:after="120"/>
        <w:ind w:firstLine="283"/>
        <w:jc w:val="both"/>
      </w:pPr>
      <w:r>
        <w:rPr>
          <w:rFonts w:ascii="Times New Roman" w:hAnsi="Times New Roman"/>
          <w:b w:val="0"/>
          <w:i w:val="0"/>
          <w:sz w:val="24"/>
        </w:rPr>
        <w:t xml:space="preserve">Copper(I) iodide is a wide-gap (Eg ≈ 3.1 eV), p-type transparent conductor whose valence-band maximum aligns closely with that of RbGeI</w:t>
      </w:r>
      <w:r>
        <w:rPr>
          <w:rFonts w:ascii="Times New Roman" w:hAnsi="Times New Roman"/>
          <w:b w:val="0"/>
          <w:i w:val="0"/>
          <w:sz w:val="24"/>
          <w:vertAlign w:val="subscript"/>
        </w:rPr>
        <w:t xml:space="preserve">3</w:t>
      </w:r>
      <w:r>
        <w:rPr>
          <w:rFonts w:ascii="Times New Roman" w:hAnsi="Times New Roman"/>
          <w:b w:val="0"/>
          <w:i w:val="0"/>
          <w:sz w:val="24"/>
        </w:rPr>
        <w:t xml:space="preserve">, supporting efficient hole extraction [25,26]. Reported single-crystal hole mobilities of CuI exceed 100 cm² V⁻¹ s⁻¹, and the material is solution-processable at low temperatures, which suits large-area fabrication [27]. Despite these advantages, only a few SCAPS-1D studies have paired CuI with RbGeI</w:t>
      </w:r>
      <w:r>
        <w:rPr>
          <w:rFonts w:ascii="Times New Roman" w:hAnsi="Times New Roman"/>
          <w:b w:val="0"/>
          <w:i w:val="0"/>
          <w:sz w:val="24"/>
          <w:vertAlign w:val="subscript"/>
        </w:rPr>
        <w:t xml:space="preserve">3</w:t>
      </w:r>
      <w:r>
        <w:rPr>
          <w:rFonts w:ascii="Times New Roman" w:hAnsi="Times New Roman"/>
          <w:b w:val="0"/>
          <w:i w:val="0"/>
          <w:sz w:val="24"/>
        </w:rPr>
        <w:t xml:space="preserve">, and none has run an eleven-parameter optimization on this combination. Here we vary all eleven device-level parameters on the FTO/TiO</w:t>
      </w:r>
      <w:r>
        <w:rPr>
          <w:rFonts w:ascii="Times New Roman" w:hAnsi="Times New Roman"/>
          <w:b w:val="0"/>
          <w:i w:val="0"/>
          <w:sz w:val="24"/>
          <w:vertAlign w:val="subscript"/>
        </w:rPr>
        <w:t xml:space="preserve">2</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/CuI/Au architecture and report the resulting photovoltaic performance.</w:t>
      </w:r>
    </w:p>
    <w:p>
      <w:pPr>
        <w:spacing w:line="360" w:lineRule="auto" w:before="120" w:after="120"/>
        <w:ind w:firstLine="283"/>
        <w:jc w:val="both"/>
      </w:pPr>
      <w:r>
        <w:rPr>
          <w:rFonts w:ascii="Times New Roman" w:hAnsi="Times New Roman"/>
          <w:b w:val="0"/>
          <w:i w:val="0"/>
          <w:sz w:val="24"/>
        </w:rPr>
        <w:t xml:space="preserve">A further observation from Table I is that the comparator device structures span a range of ETL and HTL materials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PCBM, C60, NiO, CuI, CBTS, Spiro-OMeTAD, PEDOT:PSS) and back-contact metals (Ag, Au). Two structural details deserve explicit clarification to prevent citation-propagation errors. First, the ETL in the Loumachi et al. device [22] is C60 (buckminsterfullerene), frequently rendered “C60” in the literature, and the subscript matters because “C6” is a different species. Second, the back contact is silver (Ag), not gold (Au), as stated in the primary source [22].</w:t>
      </w:r>
    </w:p>
    <w:p>
      <w:pPr>
        <w:pStyle w:val="Heading1"/>
        <w:keepNext/>
        <w:spacing w:before="320" w:after="120" w:line="360" w:lineRule="auto"/>
      </w:pPr>
      <w:r>
        <w:rPr>
          <w:rFonts w:ascii="Times New Roman" w:hAnsi="Times New Roman" w:cs="Times New Roman"/>
          <w:b/>
          <w:i w:val="0"/>
          <w:sz w:val="28"/>
        </w:rPr>
        <w:t>III. Device Structure and Material Selection</w:t>
      </w:r>
    </w:p>
    <w:p>
      <w:pPr>
        <w:pStyle w:val="Heading2"/>
        <w:keepNext/>
        <w:spacing w:before="120" w:after="40" w:line="360" w:lineRule="auto"/>
      </w:pPr>
      <w:r>
        <w:rPr>
          <w:rFonts w:ascii="Times New Roman" w:hAnsi="Times New Roman" w:cs="Times New Roman"/>
          <w:b/>
          <w:i/>
          <w:sz w:val="24"/>
        </w:rPr>
        <w:t>A. Proposed device architecture</w:t>
      </w:r>
    </w:p>
    <w:p>
      <w:pPr>
        <w:spacing w:line="360" w:lineRule="auto" w:before="120" w:after="120"/>
        <w:ind w:firstLine="283"/>
        <w:jc w:val="both"/>
      </w:pPr>
      <w:r>
        <w:rPr>
          <w:rFonts w:ascii="Times New Roman" w:hAnsi="Times New Roman"/>
          <w:b w:val="0"/>
          <w:i w:val="0"/>
          <w:sz w:val="24"/>
        </w:rPr>
        <w:t>The lead-free perovskite solar cell we propose uses a conventional n-i-p planar heterojunction architecture with the configuration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The device comprises five functional layers: a fluorine-doped tin oxide (FTO) transparent conducting oxide front electrode, a titanium dioxide (TiO</w:t>
      </w:r>
      <w:r>
        <w:rPr>
          <w:rFonts w:ascii="Times New Roman" w:hAnsi="Times New Roman"/>
          <w:b w:val="0"/>
          <w:i w:val="0"/>
          <w:sz w:val="24"/>
          <w:vertAlign w:val="subscript"/>
        </w:rPr>
        <w:t>2</w:t>
      </w:r>
      <w:r>
        <w:rPr>
          <w:rFonts w:ascii="Times New Roman" w:hAnsi="Times New Roman"/>
          <w:b w:val="0"/>
          <w:i w:val="0"/>
          <w:sz w:val="24"/>
        </w:rPr>
        <w:t>) electron transport layer (ETL), a rubidium germanium iodide (RbGeI</w:t>
      </w:r>
      <w:r>
        <w:rPr>
          <w:rFonts w:ascii="Times New Roman" w:hAnsi="Times New Roman"/>
          <w:b w:val="0"/>
          <w:i w:val="0"/>
          <w:sz w:val="24"/>
          <w:vertAlign w:val="subscript"/>
        </w:rPr>
        <w:t>3</w:t>
      </w:r>
      <w:r>
        <w:rPr>
          <w:rFonts w:ascii="Times New Roman" w:hAnsi="Times New Roman"/>
          <w:b w:val="0"/>
          <w:i w:val="0"/>
          <w:sz w:val="24"/>
        </w:rPr>
        <w:t>) absorber layer, a copper iodide (CuI) hole transport layer (HTL), and a gold (Au) back contact. This stack combines efficient charge separation, rapid carrier transport, and suitable energy-level alignment while eliminating the environmental and health concerns associated with lead-based perovskite absorbers. The schematic diagram of the proposed device structure is shown in Figure 2. The choice of constituent materials is justified in the remainder of this section, and the initial material parameters used in the SCAPS-1D simulation are summarized in Table II.</w:t>
      </w:r>
    </w:p>
    <w:p>
      <w:pPr>
        <w:keepNext/>
        <w:keepLines/>
        <w:spacing w:before="120" w:after="40"/>
        <w:jc w:val="center"/>
      </w:pPr>
      <w:r>
        <w:drawing>
          <wp:inline xmlns:a="http://schemas.openxmlformats.org/drawingml/2006/main" xmlns:pic="http://schemas.openxmlformats.org/drawingml/2006/picture">
            <wp:extent cx="5040000" cy="2847957"/>
            <wp:docPr id="2" name="Picture 2"/>
            <wp:cNvGraphicFramePr>
              <a:graphicFrameLocks noChangeAspect="1"/>
            </wp:cNvGraphicFramePr>
            <a:graphic>
              <a:graphicData uri="http://schemas.openxmlformats.org/drawingml/2006/picture">
                <pic:pic>
                  <pic:nvPicPr>
                    <pic:cNvPr id="0" name="fig2_device_structure.png"/>
                    <pic:cNvPicPr/>
                  </pic:nvPicPr>
                  <pic:blipFill>
                    <a:blip r:embed="rId12"/>
                    <a:stretch>
                      <a:fillRect/>
                    </a:stretch>
                  </pic:blipFill>
                  <pic:spPr>
                    <a:xfrm>
                      <a:off x="0" y="0"/>
                      <a:ext cx="5040000" cy="2811632"/>
                    </a:xfrm>
                    <a:prstGeom prst="rect"/>
                  </pic:spPr>
                </pic:pic>
              </a:graphicData>
            </a:graphic>
          </wp:inline>
        </w:drawing>
      </w:r>
    </w:p>
    <w:p>
      <w:pPr>
        <w:spacing w:before="80" w:after="240"/>
        <w:jc w:val="center"/>
      </w:pPr>
      <w:r>
        <w:rPr>
          <w:rFonts w:ascii="Times New Roman" w:hAnsi="Times New Roman"/>
          <w:b w:val="0"/>
          <w:i/>
          <w:sz w:val="20"/>
        </w:rPr>
        <w:t>Fig. 2. Schematic diagram of the proposed FTO/TiO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/CuI/Au perovskite solar cell structure, showing the five functional layers and the direction of photogenerated carrier transport under AM 1.5G illumination.</w:t>
      </w:r>
    </w:p>
    <w:p>
      <w:pPr>
        <w:pStyle w:val="Heading2"/>
        <w:keepNext/>
        <w:spacing w:before="120" w:after="40" w:line="360" w:lineRule="auto"/>
      </w:pPr>
      <w:r>
        <w:rPr>
          <w:rFonts w:ascii="Times New Roman" w:hAnsi="Times New Roman" w:cs="Times New Roman"/>
          <w:b/>
          <w:i/>
          <w:sz w:val="24"/>
        </w:rPr>
        <w:t>B. Material selection rationale</w:t>
      </w:r>
    </w:p>
    <w:p>
      <w:pPr>
        <w:spacing w:line="360" w:lineRule="auto" w:before="120" w:after="120"/>
        <w:ind w:firstLine="283"/>
        <w:jc w:val="both"/>
      </w:pPr>
      <w:r>
        <w:rPr>
          <w:rFonts w:ascii="Times New Roman" w:hAnsi="Times New Roman"/>
          <w:b w:val="0"/>
          <w:i w:val="0"/>
          <w:sz w:val="24"/>
        </w:rPr>
        <w:t xml:space="preserve">Fluorine-doped tin oxide (FTO) is the front transparent conducting electrode. It has high optical transparency in the visible spectrum together with excellent electrical conductivity, allowing incident sunlight to reach the absorber layer while simultaneously collecting the generated electrons with minimal resistive loss [28]. FTO was preferred over alternative transparent conducting oxides (such as indium tin oxide, ITO) for its superior thermal and chemical stability, its compatibility with the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ETL deposition process, and its lower cost. The thickness of the FTO layer was fixed at 500 nm, consistent with values commonly reported for perovskite solar cells [29].</w:t>
      </w:r>
    </w:p>
    <w:p>
      <w:pPr>
        <w:spacing w:line="360" w:lineRule="auto" w:before="120" w:after="120"/>
        <w:ind w:firstLine="283"/>
        <w:jc w:val="both"/>
      </w:pPr>
      <w:r>
        <w:rPr>
          <w:rFonts w:ascii="Times New Roman" w:hAnsi="Times New Roman"/>
          <w:b w:val="0"/>
          <w:i w:val="0"/>
          <w:sz w:val="24"/>
        </w:rPr>
        <w:t xml:space="preserve">Titanium dioxide (TiO</w:t>
      </w:r>
      <w:r>
        <w:rPr>
          <w:rFonts w:ascii="Times New Roman" w:hAnsi="Times New Roman"/>
          <w:b w:val="0"/>
          <w:i w:val="0"/>
          <w:sz w:val="24"/>
          <w:vertAlign w:val="subscript"/>
        </w:rPr>
        <w:t xml:space="preserve">2</w:t>
      </w:r>
      <w:r>
        <w:rPr>
          <w:rFonts w:ascii="Times New Roman" w:hAnsi="Times New Roman"/>
          <w:b w:val="0"/>
          <w:i w:val="0"/>
          <w:sz w:val="24"/>
        </w:rPr>
        <w:t xml:space="preserve">) is the electron transport layer. The primary function of the ETL is to extract photogenerated electrons from the absorber layer and transport them toward the FTO electrode while effectively blocking holes. TiO</w:t>
      </w:r>
      <w:r>
        <w:rPr>
          <w:rFonts w:ascii="Times New Roman" w:hAnsi="Times New Roman"/>
          <w:b w:val="0"/>
          <w:i w:val="0"/>
          <w:sz w:val="24"/>
          <w:vertAlign w:val="subscript"/>
        </w:rPr>
        <w:t xml:space="preserve">2</w:t>
      </w:r>
      <w:r>
        <w:rPr>
          <w:rFonts w:ascii="Times New Roman" w:hAnsi="Times New Roman"/>
          <w:b w:val="0"/>
          <w:i w:val="0"/>
          <w:sz w:val="24"/>
        </w:rPr>
        <w:t xml:space="preserve"> is an n-type semiconductor with a wide bandgap of approximately 3.2 eV in its anatase phase, providing excellent transparency throughout the visible region of the solar spectrum. Its conduction-band minimum lies slightly below that of most iodide-based perovskites, providing an energetically downhill path for photogenerated electrons to transfer from the absorber into the ETL, while its deep valence band acts as an effective barrier against hole transport [30,31]. Although its intrinsic electron mobility is lower than that of ZnO and SnO</w:t>
      </w:r>
      <w:r>
        <w:rPr>
          <w:rFonts w:ascii="Times New Roman" w:hAnsi="Times New Roman"/>
          <w:b w:val="0"/>
          <w:i w:val="0"/>
          <w:sz w:val="24"/>
          <w:vertAlign w:val="subscript"/>
        </w:rPr>
        <w:t xml:space="preserve">2</w:t>
      </w:r>
      <w:r>
        <w:rPr>
          <w:rFonts w:ascii="Times New Roman" w:hAnsi="Times New Roman"/>
          <w:b w:val="0"/>
          <w:i w:val="0"/>
          <w:sz w:val="24"/>
        </w:rPr>
        <w:t xml:space="preserve">, TiO</w:t>
      </w:r>
      <w:r>
        <w:rPr>
          <w:rFonts w:ascii="Times New Roman" w:hAnsi="Times New Roman"/>
          <w:b w:val="0"/>
          <w:i w:val="0"/>
          <w:sz w:val="24"/>
          <w:vertAlign w:val="subscript"/>
        </w:rPr>
        <w:t xml:space="preserve">2</w:t>
      </w:r>
      <w:r>
        <w:rPr>
          <w:rFonts w:ascii="Times New Roman" w:hAnsi="Times New Roman"/>
          <w:b w:val="0"/>
          <w:i w:val="0"/>
          <w:sz w:val="24"/>
        </w:rPr>
        <w:t xml:space="preserve"> provides sufficiently fast electron transport when fabricated with appropriate morphology and crystallinity, and it forms chemically stable interfaces with perovskite materials [32].</w:t>
      </w:r>
    </w:p>
    <w:p>
      <w:pPr>
        <w:spacing w:line="360" w:lineRule="auto" w:before="120" w:after="120"/>
        <w:ind w:firstLine="283"/>
        <w:jc w:val="both"/>
      </w:pPr>
      <w:r>
        <w:rPr>
          <w:rFonts w:ascii="Times New Roman" w:hAnsi="Times New Roman"/>
          <w:b w:val="0"/>
          <w:i w:val="0"/>
          <w:sz w:val="24"/>
        </w:rPr>
        <w:t xml:space="preserve">Rubidium germanium iodide (RbGeI</w:t>
      </w:r>
      <w:r>
        <w:rPr>
          <w:rFonts w:ascii="Times New Roman" w:hAnsi="Times New Roman"/>
          <w:b w:val="0"/>
          <w:i w:val="0"/>
          <w:sz w:val="24"/>
          <w:vertAlign w:val="subscript"/>
        </w:rPr>
        <w:t xml:space="preserve">3</w:t>
      </w:r>
      <w:r>
        <w:rPr>
          <w:rFonts w:ascii="Times New Roman" w:hAnsi="Times New Roman"/>
          <w:b w:val="0"/>
          <w:i w:val="0"/>
          <w:sz w:val="24"/>
        </w:rPr>
        <w:t xml:space="preserve">) is the photoactive absorber. Compared with conventional lead-based perovskites, RbGeI</w:t>
      </w:r>
      <w:r>
        <w:rPr>
          <w:rFonts w:ascii="Times New Roman" w:hAnsi="Times New Roman"/>
          <w:b w:val="0"/>
          <w:i w:val="0"/>
          <w:sz w:val="24"/>
          <w:vertAlign w:val="subscript"/>
        </w:rPr>
        <w:t xml:space="preserve">3</w:t>
      </w:r>
      <w:r>
        <w:rPr>
          <w:rFonts w:ascii="Times New Roman" w:hAnsi="Times New Roman"/>
          <w:b w:val="0"/>
          <w:i w:val="0"/>
          <w:sz w:val="24"/>
        </w:rPr>
        <w:t xml:space="preserve"> is environmentally friendly because germanium replaces toxic lead while keeping the optoelectronic properties an absorber needs. RbGeI</w:t>
      </w:r>
      <w:r>
        <w:rPr>
          <w:rFonts w:ascii="Times New Roman" w:hAnsi="Times New Roman"/>
          <w:b w:val="0"/>
          <w:i w:val="0"/>
          <w:sz w:val="24"/>
          <w:vertAlign w:val="subscript"/>
        </w:rPr>
        <w:t xml:space="preserve">3</w:t>
      </w:r>
      <w:r>
        <w:rPr>
          <w:rFonts w:ascii="Times New Roman" w:hAnsi="Times New Roman"/>
          <w:b w:val="0"/>
          <w:i w:val="0"/>
          <w:sz w:val="24"/>
        </w:rPr>
        <w:t xml:space="preserve"> adopts the ABX</w:t>
      </w:r>
      <w:r>
        <w:rPr>
          <w:rFonts w:ascii="Times New Roman" w:hAnsi="Times New Roman"/>
          <w:b w:val="0"/>
          <w:i w:val="0"/>
          <w:sz w:val="24"/>
          <w:vertAlign w:val="subscript"/>
        </w:rPr>
        <w:t xml:space="preserve">3</w:t>
      </w:r>
      <w:r>
        <w:rPr>
          <w:rFonts w:ascii="Times New Roman" w:hAnsi="Times New Roman"/>
          <w:b w:val="0"/>
          <w:i w:val="0"/>
          <w:sz w:val="24"/>
        </w:rPr>
        <w:t xml:space="preserve"> perovskite structure with rubidium at the A-site, germanium at the B-site, and iodine at the X-site. Its direct bandgap in the 1.3–1.4 eV range, strong optical absorption coefficient (reported to be comparable to that of MAPbI</w:t>
      </w:r>
      <w:r>
        <w:rPr>
          <w:rFonts w:ascii="Times New Roman" w:hAnsi="Times New Roman"/>
          <w:b w:val="0"/>
          <w:i w:val="0"/>
          <w:sz w:val="24"/>
          <w:vertAlign w:val="subscript"/>
        </w:rPr>
        <w:t xml:space="preserve">3</w:t>
      </w:r>
      <w:r>
        <w:rPr>
          <w:rFonts w:ascii="Times New Roman" w:hAnsi="Times New Roman"/>
          <w:b w:val="0"/>
          <w:i w:val="0"/>
          <w:sz w:val="24"/>
        </w:rPr>
        <w:t xml:space="preserve"> by first-principles calculations [17,18]), and good thermal stability make it well-suited for single-junction photovoltaic applications. The initial absorber thickness used for device screening was 400 nm, and the bandgap was initially set to 1.4 eV, consistent with values reported in the experimental literature [14]. Both parameters were subsequently optimized (Section V).</w:t>
      </w:r>
    </w:p>
    <w:p>
      <w:pPr>
        <w:spacing w:line="360" w:lineRule="auto" w:before="120" w:after="120"/>
        <w:ind w:firstLine="283"/>
        <w:jc w:val="both"/>
      </w:pPr>
      <w:r>
        <w:rPr>
          <w:rFonts w:ascii="Times New Roman" w:hAnsi="Times New Roman"/>
          <w:b w:val="0"/>
          <w:i w:val="0"/>
          <w:sz w:val="24"/>
        </w:rPr>
        <w:t xml:space="preserve">Copper iodide (CuI) is our hole transport layer, chosen for its excellent hole conductivity, high optical transparency, appropriate valence-band alignment with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and comparatively low fabrication cost [25,26,33]. The HTL extracts photogenerated holes efficiently from the absorber layer while preventing electron back-transfer toward the rear electrode. CuI is a wide-gap (Eg ≈ 3.1 eV) p-type transparent conductor whose valence-band maximum aligns closely with that of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(giving a small valence-band offset of approximately 0.10 eV as quantified in Section V.N), supporting efficient hole extraction. Reported single-crystal hole mobilities of CuI exceed 100 cm² V⁻¹ s⁻¹, and its solution-processability at low temperatures makes it attractive for large-area fabrication [27]. The initial CuI thickness was set to 100 nm.</w:t>
      </w:r>
    </w:p>
    <w:p>
      <w:pPr>
        <w:spacing w:line="360" w:lineRule="auto" w:before="120" w:after="120"/>
        <w:ind w:firstLine="283"/>
        <w:jc w:val="both"/>
      </w:pPr>
      <w:r>
        <w:rPr>
          <w:rFonts w:ascii="Times New Roman" w:hAnsi="Times New Roman" w:cs="Times New Roman"/>
          <w:b w:val="0"/>
          <w:i w:val="0"/>
          <w:sz w:val="24"/>
        </w:rPr>
        <w:t xml:space="preserve">Gold (Au) forms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[34]. The choice of Au over lower-work-function alternatives such as Ag or Al ensures that the back contact does not introduce a parasitic Schottky barrier at the CuI/Au interface, which would otherwise degrade the fill factor and open-circuit voltage of the device.</w:t>
      </w:r>
    </w:p>
    <w:p>
      <w:pPr>
        <w:pStyle w:val="Heading2"/>
        <w:keepNext/>
        <w:spacing w:before="120" w:after="40" w:line="360" w:lineRule="auto"/>
      </w:pPr>
      <w:r>
        <w:rPr>
          <w:rFonts w:ascii="Times New Roman" w:hAnsi="Times New Roman" w:cs="Times New Roman"/>
          <w:b/>
          <w:i/>
          <w:sz w:val="24"/>
        </w:rPr>
        <w:t>C. Initial material parameters</w:t>
      </w:r>
    </w:p>
    <w:p>
      <w:pPr>
        <w:spacing w:line="360" w:lineRule="auto" w:before="120" w:after="120"/>
        <w:ind w:firstLine="283"/>
        <w:jc w:val="both"/>
      </w:pPr>
      <w:r>
        <w:rPr>
          <w:rFonts w:ascii="Times New Roman" w:hAnsi="Times New Roman"/>
          <w:b w:val="0"/>
          <w:i w:val="0"/>
          <w:sz w:val="24"/>
        </w:rPr>
        <w:t xml:space="preserve">The initial electrical and optical parameters used in the SCAPS-1D simulation of the proposed FTO/</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/CuI/Au solar cell are summarized in Table II. These values were collected from previously published experimental and numerical studies on lead-free perovskite solar cells [14,15,16,19,30] and were carefully incorporated into the SCAPS-1D simulator to establish a realistic baseline device before performing further optimization. The interface defect densities applied at the two heterojunctions are listed in Table III. The initial absorber thickness of 400 nm listed in Table II is the value at which all eight device configurations were screened (Section V.A, Table V). This thickness was subsequently optimized to 700 nm in the consolidated final device (Section V.P).</w:t>
      </w:r>
    </w:p>
    <w:p>
      <w:pPr>
        <w:keepNext/>
        <w:spacing w:before="120" w:after="40"/>
        <w:jc w:val="center"/>
      </w:pPr>
      <w:r>
        <w:rPr>
          <w:rFonts w:ascii="Times New Roman" w:hAnsi="Times New Roman"/>
          <w:b/>
          <w:i w:val="0"/>
          <w:sz w:val="20"/>
        </w:rPr>
        <w:t>Table II. Initial electrical and optical parameters used in the SCAPS-1D simulation of the proposed FTO/TiO</w:t>
      </w:r>
      <w:r>
        <w:rPr>
          <w:rFonts w:ascii="Times New Roman" w:hAnsi="Times New Roman"/>
          <w:b/>
          <w:i w:val="0"/>
          <w:sz w:val="20"/>
          <w:vertAlign w:val="subscript"/>
        </w:rPr>
        <w:t>2</w:t>
      </w:r>
      <w:r>
        <w:rPr>
          <w:rFonts w:ascii="Times New Roman" w:hAnsi="Times New Roman"/>
          <w:b/>
          <w:i w:val="0"/>
          <w:sz w:val="20"/>
        </w:rPr>
        <w:t>/RbGeI</w:t>
      </w:r>
      <w:r>
        <w:rPr>
          <w:rFonts w:ascii="Times New Roman" w:hAnsi="Times New Roman"/>
          <w:b/>
          <w:i w:val="0"/>
          <w:sz w:val="20"/>
          <w:vertAlign w:val="subscript"/>
        </w:rPr>
        <w:t>3</w:t>
      </w:r>
      <w:r>
        <w:rPr>
          <w:rFonts w:ascii="Times New Roman" w:hAnsi="Times New Roman"/>
          <w:b/>
          <w:i w:val="0"/>
          <w:sz w:val="20"/>
        </w:rPr>
        <w:t>/CuI/Au solar cell.</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872"/>
        <w:gridCol w:w="1872"/>
        <w:gridCol w:w="1872"/>
        <w:gridCol w:w="1872"/>
        <w:gridCol w:w="1872"/>
      </w:tblGrid>
      <w:tr>
        <w:trPr>
          <w:tblHeader w:val="true"/>
          <w:cantSplit w:val="true"/>
        </w:trPr>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Parameter</w:t>
            </w:r>
          </w:p>
        </w:tc>
        <w:tc>
          <w:tcPr>
            <w:tcW w:type="dxa" w:w="1361"/>
            <w:tcBorders>
              <w:bottom w:val="single" w:sz="4" w:space="0" w:color="000000"/>
            </w:tcBorders>
          </w:tcPr>
          <w:p>
            <w:pPr>
              <w:jc w:val="center"/>
            </w:pPr>
            <w:r>
              <w:rPr>
                <w:rFonts w:ascii="Times New Roman" w:hAnsi="Times New Roman" w:cs="Times New Roman"/>
                <w:sz w:val="20"/>
                <w:b w:val="0"/>
                <w:i w:val="0"/>
              </w:rPr>
              <w:t>TiO</w:t>
            </w:r>
            <w:r>
              <w:rPr>
                <w:rFonts w:ascii="Times New Roman" w:hAnsi="Times New Roman" w:cs="Times New Roman"/>
                <w:vertAlign w:val="subscript"/>
                <w:sz w:val="20"/>
                <w:b w:val="0"/>
                <w:i w:val="0"/>
              </w:rPr>
              <w:t>2</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FTO</w:t>
            </w:r>
          </w:p>
        </w:tc>
        <w:tc>
          <w:tcPr>
            <w:tcW w:type="dxa" w:w="1361"/>
            <w:tcBorders>
              <w:bottom w:val="single" w:sz="4" w:space="0" w:color="000000"/>
            </w:tcBorders>
          </w:tcPr>
          <w:p>
            <w:pPr>
              <w:jc w:val="center"/>
            </w:pPr>
            <w:r>
              <w:rPr>
                <w:rFonts w:ascii="Times New Roman" w:hAnsi="Times New Roman" w:cs="Times New Roman"/>
                <w:sz w:val="20"/>
                <w:b w:val="0"/>
                <w:i w:val="0"/>
              </w:rPr>
              <w:t>RbGeI</w:t>
            </w:r>
            <w:r>
              <w:rPr>
                <w:rFonts w:ascii="Times New Roman" w:hAnsi="Times New Roman" w:cs="Times New Roman"/>
                <w:vertAlign w:val="subscript"/>
                <w:sz w:val="20"/>
                <w:b w:val="0"/>
                <w:i w:val="0"/>
              </w:rPr>
              <w:t>3</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CuI</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Thickness (nm)</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500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Bandgap E</w:t>
            </w:r>
            <w:r>
              <w:rPr>
                <w:rFonts w:ascii="Times New Roman" w:hAnsi="Times New Roman" w:cs="Times New Roman"/>
                <w:vertAlign w:val="subscript"/>
                <w:sz w:val="18"/>
                <w:b w:val="0"/>
                <w:i w:val="0"/>
              </w:rPr>
              <w:t>g</w:t>
            </w:r>
            <w:r>
              <w:rPr>
                <w:rFonts w:ascii="Times New Roman" w:hAnsi="Times New Roman" w:cs="Times New Roman"/>
                <w:sz w:val="18"/>
                <w:b w:val="0"/>
                <w:i w:val="0"/>
              </w:rPr>
              <w:t xml:space="preserve">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t>1.4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3.1</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Electron affinity χ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w:t>
            </w:r>
          </w:p>
        </w:tc>
      </w:tr>
      <w:tr>
        <w:trPr>
          <w:cantSplit w:val="true"/>
        </w:trPr>
        <w:tc>
          <w:tcPr>
            <w:tcW w:type="dxa" w:w="3118"/>
          </w:tcPr>
          <w:p>
            <w:pPr>
              <w:jc w:val="left"/>
            </w:pPr>
            <w:r>
              <w:rPr>
                <w:rFonts w:ascii="Times New Roman" w:hAnsi="Times New Roman" w:cs="Times New Roman"/>
                <w:sz w:val="18"/>
                <w:b w:val="0"/>
                <w:i w:val="0"/>
              </w:rPr>
              <w:t>Dielectric permittivity ε</w:t>
            </w:r>
            <w:r>
              <w:rPr>
                <w:rFonts w:ascii="Times New Roman" w:hAnsi="Times New Roman" w:cs="Times New Roman"/>
                <w:vertAlign w:val="subscript"/>
                <w:sz w:val="18"/>
                <w:b w:val="0"/>
                <w:i w:val="0"/>
              </w:rPr>
              <w:t>r</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23.01</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6.5</w:t>
            </w:r>
          </w:p>
        </w:tc>
      </w:tr>
      <w:tr>
        <w:trPr>
          <w:cantSplit w:val="true"/>
        </w:trPr>
        <w:tc>
          <w:tcPr>
            <w:tcW w:type="dxa" w:w="3118"/>
          </w:tcPr>
          <w:p>
            <w:pPr>
              <w:jc w:val="left"/>
            </w:pPr>
            <w:r>
              <w:rPr>
                <w:rFonts w:ascii="Times New Roman" w:hAnsi="Times New Roman" w:cs="Times New Roman"/>
                <w:sz w:val="18"/>
                <w:b w:val="0"/>
                <w:i w:val="0"/>
              </w:rPr>
              <w:t>CB effective DOS N</w:t>
            </w:r>
            <w:r>
              <w:rPr>
                <w:rFonts w:ascii="Times New Roman" w:hAnsi="Times New Roman" w:cs="Times New Roman"/>
                <w:vertAlign w:val="subscript"/>
                <w:sz w:val="18"/>
                <w:b w:val="0"/>
                <w:i w:val="0"/>
              </w:rPr>
              <w:t>C</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1.4×10¹⁹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2.8×10¹⁹</w:t>
            </w:r>
          </w:p>
        </w:tc>
      </w:tr>
      <w:tr>
        <w:trPr>
          <w:cantSplit w:val="true"/>
        </w:trPr>
        <w:tc>
          <w:tcPr>
            <w:tcW w:type="dxa" w:w="3118"/>
          </w:tcPr>
          <w:p>
            <w:pPr>
              <w:jc w:val="left"/>
            </w:pPr>
            <w:r>
              <w:rPr>
                <w:rFonts w:ascii="Times New Roman" w:hAnsi="Times New Roman" w:cs="Times New Roman"/>
                <w:sz w:val="18"/>
                <w:b w:val="0"/>
                <w:i w:val="0"/>
              </w:rPr>
              <w:t>VB effective DOS N</w:t>
            </w:r>
            <w:r>
              <w:rPr>
                <w:rFonts w:ascii="Times New Roman" w:hAnsi="Times New Roman" w:cs="Times New Roman"/>
                <w:vertAlign w:val="subscript"/>
                <w:sz w:val="18"/>
                <w:b w:val="0"/>
                <w:i w:val="0"/>
              </w:rPr>
              <w:t>V</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r>
      <w:tr>
        <w:trPr>
          <w:cantSplit w:val="true"/>
        </w:trPr>
        <w:tc>
          <w:tcPr>
            <w:tcW w:type="dxa" w:w="3118"/>
          </w:tcPr>
          <w:p>
            <w:pPr>
              <w:jc w:val="left"/>
            </w:pPr>
            <w:r>
              <w:rPr>
                <w:rFonts w:ascii="Times New Roman" w:hAnsi="Times New Roman" w:cs="Times New Roman"/>
                <w:sz w:val="18"/>
                <w:b w:val="0"/>
                <w:i w:val="0"/>
              </w:rPr>
              <w:t>Electron mobility μ</w:t>
            </w:r>
            <w:r>
              <w:rPr>
                <w:rFonts w:ascii="Times New Roman" w:hAnsi="Times New Roman" w:cs="Times New Roman"/>
                <w:vertAlign w:val="subscript"/>
                <w:sz w:val="18"/>
                <w:b w:val="0"/>
                <w:i w:val="0"/>
              </w:rPr>
              <w:t>e</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28.6</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Hole mobility μ</w:t>
            </w:r>
            <w:r>
              <w:rPr>
                <w:rFonts w:ascii="Times New Roman" w:hAnsi="Times New Roman" w:cs="Times New Roman"/>
                <w:vertAlign w:val="subscript"/>
                <w:sz w:val="18"/>
                <w:b w:val="0"/>
                <w:i w:val="0"/>
              </w:rPr>
              <w:t>p</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27.3</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43.9</w:t>
            </w:r>
          </w:p>
        </w:tc>
      </w:tr>
      <w:tr>
        <w:trPr>
          <w:cantSplit w:val="true"/>
        </w:trPr>
        <w:tc>
          <w:tcPr>
            <w:tcW w:type="dxa" w:w="3118"/>
          </w:tcPr>
          <w:p>
            <w:pPr>
              <w:jc w:val="left"/>
            </w:pPr>
            <w:r>
              <w:rPr>
                <w:rFonts w:ascii="Times New Roman" w:hAnsi="Times New Roman" w:cs="Times New Roman"/>
                <w:sz w:val="18"/>
                <w:b w:val="0"/>
                <w:i w:val="0"/>
              </w:rPr>
              <w:t>Donor density N</w:t>
            </w:r>
            <w:r>
              <w:rPr>
                <w:rFonts w:ascii="Times New Roman" w:hAnsi="Times New Roman" w:cs="Times New Roman"/>
                <w:vertAlign w:val="subscript"/>
                <w:sz w:val="18"/>
                <w:b w:val="0"/>
                <w:i w:val="0"/>
              </w:rPr>
              <w:t>D</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9×10¹⁶</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r>
      <w:tr>
        <w:trPr>
          <w:cantSplit w:val="true"/>
        </w:trPr>
        <w:tc>
          <w:tcPr>
            <w:tcW w:type="dxa" w:w="3118"/>
          </w:tcPr>
          <w:p>
            <w:pPr>
              <w:jc w:val="left"/>
            </w:pPr>
            <w:r>
              <w:rPr>
                <w:rFonts w:ascii="Times New Roman" w:hAnsi="Times New Roman" w:cs="Times New Roman"/>
                <w:sz w:val="18"/>
                <w:b w:val="0"/>
                <w:i w:val="0"/>
              </w:rPr>
              <w:t>Acceptor density N</w:t>
            </w:r>
            <w:r>
              <w:rPr>
                <w:rFonts w:ascii="Times New Roman" w:hAnsi="Times New Roman" w:cs="Times New Roman"/>
                <w:vertAlign w:val="subscript"/>
                <w:sz w:val="18"/>
                <w:b w:val="0"/>
                <w:i w:val="0"/>
              </w:rPr>
              <w:t>a</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1×10¹⁸</w:t>
            </w:r>
          </w:p>
        </w:tc>
      </w:tr>
      <w:tr>
        <w:trPr>
          <w:cantSplit w:val="true"/>
        </w:trPr>
        <w:tc>
          <w:tcPr>
            <w:tcW w:type="dxa" w:w="3118"/>
          </w:tcPr>
          <w:p>
            <w:pPr>
              <w:jc w:val="left"/>
            </w:pPr>
            <w:r>
              <w:rPr>
                <w:rFonts w:ascii="Times New Roman" w:hAnsi="Times New Roman" w:cs="Times New Roman"/>
                <w:sz w:val="18"/>
                <w:b w:val="0"/>
                <w:i w:val="0"/>
              </w:rPr>
              <w:t>Bulk defect density N</w:t>
            </w:r>
            <w:r>
              <w:rPr>
                <w:rFonts w:ascii="Times New Roman" w:hAnsi="Times New Roman" w:cs="Times New Roman"/>
                <w:vertAlign w:val="subscript"/>
                <w:sz w:val="18"/>
                <w:b w:val="0"/>
                <w:i w:val="0"/>
              </w:rPr>
              <w:t>t</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r>
    </w:tbl>
    <w:p>
      <w:pPr>
        <w:keepNext/>
        <w:spacing w:before="120" w:after="40"/>
        <w:jc w:val="center"/>
      </w:pPr>
      <w:r>
        <w:rPr>
          <w:rFonts w:ascii="Times New Roman" w:hAnsi="Times New Roman" w:cs="Times New Roman"/>
          <w:b/>
          <w:i w:val="0"/>
          <w:sz w:val="20"/>
        </w:rPr>
        <w:t>Table III. Initial interface defect density applied at each heterojunction.</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4680"/>
        <w:gridCol w:w="4680"/>
      </w:tblGrid>
      <w:tr>
        <w:trPr>
          <w:tblHeader w:val="true"/>
          <w:cantSplit w:val="true"/>
        </w:trPr>
        <w:tc>
          <w:tcPr>
            <w:tcW w:type="dxa" w:w="3402"/>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Interface</w:t>
            </w:r>
          </w:p>
        </w:tc>
        <w:tc>
          <w:tcPr>
            <w:tcW w:type="dxa" w:w="3969"/>
            <w:tcBorders>
              <w:bottom w:val="single" w:sz="4" w:space="0" w:color="000000"/>
            </w:tcBorders>
          </w:tcPr>
          <w:p>
            <w:pPr>
              <w:jc w:val="center"/>
            </w:pPr>
            <w:r>
              <w:rPr>
                <w:rFonts w:ascii="Times New Roman" w:hAnsi="Times New Roman" w:cs="Times New Roman"/>
                <w:sz w:val="20"/>
                <w:b w:val="0"/>
                <w:i w:val="0"/>
              </w:rPr>
              <w:t>Interface defect density N</w:t>
            </w:r>
            <w:r>
              <w:rPr>
                <w:rFonts w:ascii="Times New Roman" w:hAnsi="Times New Roman" w:cs="Times New Roman"/>
                <w:vertAlign w:val="subscript"/>
                <w:sz w:val="20"/>
                <w:b w:val="0"/>
                <w:i w:val="0"/>
              </w:rPr>
              <w:t>t</w:t>
            </w:r>
            <w:r>
              <w:rPr>
                <w:rFonts w:ascii="Times New Roman" w:hAnsi="Times New Roman" w:cs="Times New Roman"/>
                <w:sz w:val="20"/>
                <w:b w:val="0"/>
                <w:i w:val="0"/>
              </w:rPr>
              <w:t xml:space="preserve"> (cm⁻²)</w:t>
            </w:r>
          </w:p>
        </w:tc>
      </w:tr>
      <w:tr>
        <w:trPr>
          <w:cantSplit w:val="true"/>
        </w:trPr>
        <w:tc>
          <w:tcPr>
            <w:tcW w:type="dxa" w:w="3402"/>
          </w:tcPr>
          <w:p>
            <w:pPr>
              <w:jc w:val="left"/>
            </w:pPr>
            <w:r>
              <w:rPr>
                <w:rFonts w:ascii="Times New Roman" w:hAnsi="Times New Roman" w:cs="Times New Roman"/>
                <w:sz w:val="18"/>
                <w:b w:val="0"/>
                <w:i w:val="0"/>
              </w:rPr>
              <w:t>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p>
        </w:tc>
        <w:tc>
          <w:tcPr>
            <w:tcW w:type="dxa" w:w="3969"/>
          </w:tcPr>
          <w:p>
            <w:pPr>
              <w:jc w:val="center"/>
            </w:pPr>
            <w:r>
              <w:rPr>
                <w:rFonts w:ascii="Times New Roman" w:hAnsi="Times New Roman" w:cs="Times New Roman"/>
                <w:b w:val="0"/>
                <w:i w:val="0"/>
                <w:sz w:val="18"/>
              </w:rPr>
            </w:r>
            <w:r>
              <w:rPr>
                <w:rFonts w:ascii="Times New Roman" w:hAnsi="Times New Roman" w:cs="Times New Roman"/>
                <w:b w:val="0"/>
                <w:i w:val="0"/>
                <w:sz w:val="18"/>
              </w:rPr>
              <w:t>1 × 10¹⁴</w:t>
            </w:r>
          </w:p>
        </w:tc>
      </w:tr>
      <w:tr>
        <w:trPr>
          <w:cantSplit w:val="true"/>
        </w:trPr>
        <w:tc>
          <w:tcPr>
            <w:tcW w:type="dxa" w:w="3402"/>
          </w:tcPr>
          <w:p>
            <w:pPr>
              <w:jc w:val="left"/>
            </w:pP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CuI</w:t>
            </w:r>
          </w:p>
        </w:tc>
        <w:tc>
          <w:tcPr>
            <w:tcW w:type="dxa" w:w="3969"/>
          </w:tcPr>
          <w:p>
            <w:pPr>
              <w:jc w:val="center"/>
            </w:pPr>
            <w:r>
              <w:rPr>
                <w:rFonts w:ascii="Times New Roman" w:hAnsi="Times New Roman" w:cs="Times New Roman"/>
                <w:b w:val="0"/>
                <w:i w:val="0"/>
                <w:sz w:val="18"/>
              </w:rPr>
            </w:r>
            <w:r>
              <w:rPr>
                <w:rFonts w:ascii="Times New Roman" w:hAnsi="Times New Roman" w:cs="Times New Roman"/>
                <w:b w:val="0"/>
                <w:i w:val="0"/>
                <w:sz w:val="18"/>
              </w:rPr>
              <w:t>1 × 10¹⁴</w:t>
            </w:r>
          </w:p>
        </w:tc>
      </w:tr>
    </w:tbl>
    <w:p>
      <w:pPr>
        <w:pStyle w:val="Heading1"/>
        <w:keepNext/>
        <w:spacing w:before="320" w:after="120" w:line="360" w:lineRule="auto"/>
      </w:pPr>
      <w:r>
        <w:rPr>
          <w:rFonts w:ascii="Times New Roman" w:hAnsi="Times New Roman" w:cs="Times New Roman"/>
          <w:b/>
          <w:i w:val="0"/>
          <w:sz w:val="28"/>
        </w:rPr>
        <w:t>IV. Methodology</w:t>
      </w:r>
    </w:p>
    <w:p>
      <w:pPr>
        <w:pStyle w:val="Heading2"/>
        <w:keepNext/>
        <w:spacing w:before="120" w:after="40" w:line="360" w:lineRule="auto"/>
      </w:pPr>
      <w:r>
        <w:rPr>
          <w:rFonts w:ascii="Times New Roman" w:hAnsi="Times New Roman" w:cs="Times New Roman"/>
          <w:b/>
          <w:i/>
          <w:sz w:val="24"/>
        </w:rPr>
        <w:t>A. SCAPS-1D simulation framework</w:t>
      </w:r>
    </w:p>
    <w:p>
      <w:pPr>
        <w:spacing w:line="360" w:lineRule="auto" w:before="120" w:after="120"/>
        <w:ind w:firstLine="283"/>
        <w:jc w:val="both"/>
      </w:pPr>
      <w:r>
        <w:rPr>
          <w:rFonts w:ascii="Times New Roman" w:hAnsi="Times New Roman" w:cs="Times New Roman"/>
          <w:b w:val="0"/>
          <w:i w:val="0"/>
          <w:sz w:val="24"/>
        </w:rPr>
        <w:t xml:space="preserve">The device stack was simulated with SCAPS-1D version 3.3.10 [19,20,21], which solves the Poisson equation together with the electron and hole continuity equations self-consistently across the device and is widely used for thin-film and perovskite device studies. The drift-diffusion transport model underlying these equations is summarized below; further details are available in the original references [19,20,21].</w:t>
      </w:r>
    </w:p>
    <w:p>
      <w:pPr>
        <w:spacing w:line="360" w:lineRule="auto" w:before="120" w:after="120"/>
        <w:ind w:firstLine="283"/>
        <w:jc w:val="both"/>
      </w:pPr>
      <w:r>
        <w:rPr>
          <w:rFonts w:ascii="Times New Roman" w:hAnsi="Times New Roman"/>
          <w:b w:val="0"/>
          <w:i w:val="0"/>
          <w:sz w:val="24"/>
        </w:rPr>
        <w:t xml:space="preserve">where ε is the dielectric permittivity, ψ the electrostatic potential, q the elementary charge, n and p the electron and hole concentrations, ND and Na the donor and acceptor concentrations, and ρt the trapped charge density. Electron and hole transport are governed by the continuity equations,</w:t>
      </w:r>
    </w:p>
    <w:p>
      <w:pPr>
        <w:spacing w:line="360" w:lineRule="auto" w:before="120" w:after="120"/>
        <w:ind w:firstLine="283"/>
        <w:jc w:val="both"/>
      </w:pPr>
      <w:r>
        <w:rPr>
          <w:rFonts w:ascii="Times New Roman" w:hAnsi="Times New Roman"/>
          <w:b w:val="0"/>
          <w:i w:val="0"/>
          <w:sz w:val="24"/>
        </w:rPr>
        <w:t xml:space="preserve">where Jn is the electron current density, G the carrier generation rate, and R the carrier recombination rate; the hole continuity equation describes hole transport analogously,</w:t>
      </w:r>
    </w:p>
    <w:p>
      <w:pPr>
        <w:spacing w:line="360" w:lineRule="auto" w:before="120" w:after="120"/>
        <w:ind w:firstLine="283"/>
        <w:jc w:val="both"/>
      </w:pPr>
      <w:r>
        <w:rPr>
          <w:rFonts w:ascii="Times New Roman" w:hAnsi="Times New Roman"/>
          <w:b w:val="0"/>
          <w:i w:val="0"/>
          <w:sz w:val="24"/>
        </w:rPr>
        <w:t xml:space="preserve">where Jp is the hole current density. Together, Eqs. (1)–(3) describe generation, transport, and recombination under illumination; SCAPS-1D computes the resulting J–V characteristics from the layer properties defined below.</w:t>
      </w:r>
    </w:p>
    <w:p>
      <w:pPr>
        <w:pStyle w:val="Heading2"/>
        <w:keepNext/>
        <w:spacing w:before="120" w:after="40" w:line="360" w:lineRule="auto"/>
      </w:pPr>
      <w:r>
        <w:rPr>
          <w:rFonts w:ascii="Times New Roman" w:hAnsi="Times New Roman" w:cs="Times New Roman"/>
          <w:b/>
          <w:i/>
          <w:sz w:val="24"/>
        </w:rPr>
        <w:t>B. Simulation conditions</w:t>
      </w:r>
    </w:p>
    <w:p>
      <w:pPr>
        <w:spacing w:line="360" w:lineRule="auto" w:before="120" w:after="120"/>
        <w:ind w:firstLine="283"/>
        <w:jc w:val="both"/>
      </w:pPr>
      <w:r>
        <w:t>All simulations were performed under the AM 1.5G spectrum at an incident power density of 100 mW/cm² (one sun, STC) with the operating temperature fixed at 300 K, using the initial material parameters of Table II and the interface defect densities of Table III unless otherwise stated. During each optimization step, only one parameter was varied while all remaining parameters were held constant; the general simulation conditions are summarized in Table IV. Absorption uses the SCAPS square-root law α = A√(hν − Eg) with A = 10⁵ cm⁻¹ (uniform at the electrical bandgap). Contacts are ideal (Rs = 0, Rsh = ∞); no series/shunt resistance is included unless stated, so fill factors are upper bounds. Figures 3–13 record each sweep as-run with its contemporary deck version; absolute offsets between sweep generations (e.g. the Section V.B sweep record) are bounded by consolidated-deck re-simulation, and all headline metrics come solely from single consolidated-deck runs.</w:t>
      </w:r>
    </w:p>
    <w:p>
      <w:pPr>
        <w:keepNext/>
        <w:spacing w:before="120" w:after="40"/>
        <w:jc w:val="center"/>
      </w:pPr>
      <w:r>
        <w:rPr>
          <w:rFonts w:ascii="Times New Roman" w:hAnsi="Times New Roman" w:cs="Times New Roman"/>
          <w:b/>
          <w:i w:val="0"/>
          <w:sz w:val="20"/>
        </w:rPr>
        <w:t>Table IV. Simulation conditions used in SCAPS-1D.</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4680"/>
        <w:gridCol w:w="4680"/>
      </w:tblGrid>
      <w:tr>
        <w:trPr>
          <w:tblHeader w:val="true"/>
          <w:cantSplit w:val="true"/>
        </w:trPr>
        <w:tc>
          <w:tcPr>
            <w:tcW w:type="dxa" w:w="3685"/>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Parameter</w:t>
            </w:r>
          </w:p>
        </w:tc>
        <w:tc>
          <w:tcPr>
            <w:tcW w:type="dxa" w:w="4535"/>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Value</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Simulation software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SCAPS-1D version 3.3.10</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Illumination spectrum</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AM 1.5G</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Incident power density</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100 mW/cm² (1000 W/m²)</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Operating temperature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300 K (27 °C)</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Illumination intensity</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1 Sun</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Scan mode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Illuminated J–V</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Device type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Planar heterojunction</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Front contact</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FTO</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Back contact</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Au</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Initial material parameters</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Table II</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Initial interface defect density</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Table III</w:t>
            </w:r>
          </w:p>
        </w:tc>
      </w:tr>
    </w:tbl>
    <w:p>
      <w:pPr>
        <w:pStyle w:val="Heading2"/>
        <w:keepNext/>
        <w:spacing w:before="120" w:after="40" w:line="360" w:lineRule="auto"/>
      </w:pPr>
      <w:r>
        <w:rPr>
          <w:rFonts w:ascii="Times New Roman" w:hAnsi="Times New Roman" w:cs="Times New Roman"/>
          <w:b/>
          <w:i/>
          <w:sz w:val="24"/>
        </w:rPr>
        <w:t>C. Performance parameters</w:t>
      </w:r>
    </w:p>
    <w:p>
      <w:pPr>
        <w:spacing w:line="360" w:lineRule="auto" w:before="120" w:after="120"/>
        <w:ind w:firstLine="283"/>
        <w:jc w:val="both"/>
      </w:pPr>
      <w:r>
        <w:rPr>
          <w:rFonts w:ascii="Times New Roman" w:hAnsi="Times New Roman"/>
          <w:b w:val="0"/>
          <w:i w:val="0"/>
          <w:sz w:val="24"/>
        </w:rPr>
        <w:t xml:space="preserve">Performance was evaluated using the four key parameters extracted from the simulated J–V curve: open-circuit voltage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short-circuit current density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fill factor (FF), and power conversion efficiency (PCE), computed as PCE =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 FF)/Pin with Pin = 100 mW/cm² under AM 1.5G.</w:t>
      </w:r>
    </w:p>
    <w:p>
      <w:pPr>
        <w:pStyle w:val="Heading2"/>
        <w:keepNext/>
        <w:spacing w:before="120" w:after="40" w:line="360" w:lineRule="auto"/>
      </w:pPr>
      <w:r>
        <w:rPr>
          <w:rFonts w:ascii="Times New Roman" w:hAnsi="Times New Roman" w:cs="Times New Roman"/>
          <w:b/>
          <w:i/>
          <w:sz w:val="24"/>
        </w:rPr>
        <w:t>D. Sequential optimization procedure</w:t>
      </w:r>
    </w:p>
    <w:p>
      <w:pPr>
        <w:spacing w:line="360" w:lineRule="auto" w:before="120" w:after="120"/>
        <w:ind w:firstLine="283"/>
        <w:jc w:val="both"/>
      </w:pPr>
      <w:r>
        <w:rPr>
          <w:rFonts w:ascii="Times New Roman" w:hAnsi="Times New Roman" w:cs="Times New Roman"/>
          <w:b w:val="0"/>
          <w:i w:val="0"/>
          <w:sz w:val="24"/>
        </w:rPr>
        <w:t xml:space="preserve">Starting from the initial device, one parameter at a time (OPAT) was varied while all others were held constant, and each step’s locally optimal value was carried forward into the subsequent step, as detailed in Section V.</w:t>
      </w:r>
    </w:p>
    <w:p>
      <w:pPr>
        <w:spacing w:line="360" w:lineRule="auto" w:before="120" w:after="120"/>
        <w:ind w:firstLine="283"/>
        <w:jc w:val="both"/>
      </w:pPr>
      <w:r>
        <w:rPr>
          <w:rFonts w:ascii="Times New Roman" w:hAnsi="Times New Roman"/>
          <w:b w:val="0"/>
          <w:i w:val="0"/>
          <w:sz w:val="24"/>
        </w:rPr>
        <w:t>The procedure comprises eleven optimization steps: (1) absorber thickness (0.3–1.0 µm); (2) absorber bulk defect density (10¹²–10¹⁸ cm⁻³); (3) absorber dielectric constant (15–23.1); (4) absorber electron affinity (3.9–4.2 eV); (5)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interfacial defect density (10¹²–10¹⁸ cm⁻²); (6) RbGeI</w:t>
      </w:r>
      <w:r>
        <w:rPr>
          <w:rFonts w:ascii="Times New Roman" w:hAnsi="Times New Roman"/>
          <w:b w:val="0"/>
          <w:i w:val="0"/>
          <w:sz w:val="24"/>
          <w:vertAlign w:val="subscript"/>
        </w:rPr>
        <w:t>3</w:t>
      </w:r>
      <w:r>
        <w:rPr>
          <w:rFonts w:ascii="Times New Roman" w:hAnsi="Times New Roman"/>
          <w:b w:val="0"/>
          <w:i w:val="0"/>
          <w:sz w:val="24"/>
        </w:rPr>
        <w:t>/CuI interfacial defect density (10¹²–10¹⁸ cm⁻²); (7) absorber bandgap (1.3–1.7 eV); (8) TiO</w:t>
      </w:r>
      <w:r>
        <w:rPr>
          <w:rFonts w:ascii="Times New Roman" w:hAnsi="Times New Roman"/>
          <w:b w:val="0"/>
          <w:i w:val="0"/>
          <w:sz w:val="24"/>
          <w:vertAlign w:val="subscript"/>
        </w:rPr>
        <w:t>2</w:t>
      </w:r>
      <w:r>
        <w:rPr>
          <w:rFonts w:ascii="Times New Roman" w:hAnsi="Times New Roman"/>
          <w:b w:val="0"/>
          <w:i w:val="0"/>
          <w:sz w:val="24"/>
        </w:rPr>
        <w:t xml:space="preserve"> ETL thickness (0.01–0.09 µm); (9) CuI HTL thickness (0.1–1.9 µm); (10) conduction-band effective density of states N</w:t>
      </w:r>
      <w:r>
        <w:rPr>
          <w:rFonts w:ascii="Times New Roman" w:hAnsi="Times New Roman"/>
          <w:b w:val="0"/>
          <w:i w:val="0"/>
          <w:sz w:val="24"/>
          <w:vertAlign w:val="subscript"/>
        </w:rPr>
        <w:t>C</w:t>
      </w:r>
      <w:r>
        <w:rPr>
          <w:rFonts w:ascii="Times New Roman" w:hAnsi="Times New Roman"/>
          <w:b w:val="0"/>
          <w:i w:val="0"/>
          <w:sz w:val="24"/>
        </w:rPr>
        <w:t xml:space="preserve"> (1×10¹⁷–1×10²⁰ cm⁻³); (11) valence-band effective density of states N</w:t>
      </w:r>
      <w:r>
        <w:rPr>
          <w:rFonts w:ascii="Times New Roman" w:hAnsi="Times New Roman"/>
          <w:b w:val="0"/>
          <w:i w:val="0"/>
          <w:sz w:val="24"/>
          <w:vertAlign w:val="subscript"/>
        </w:rPr>
        <w:t>V</w:t>
      </w:r>
      <w:r>
        <w:rPr>
          <w:rFonts w:ascii="Times New Roman" w:hAnsi="Times New Roman"/>
          <w:b w:val="0"/>
          <w:i w:val="0"/>
          <w:sz w:val="24"/>
        </w:rPr>
        <w:t xml:space="preserve"> (1×10¹⁷–1×10²⁰ cm⁻³). Each step's locally optimal parameter value was carried forward into all subsequent steps, with the consolidated final parameter set summarized in Table VII.</w:t>
      </w:r>
    </w:p>
    <w:p>
      <w:pPr>
        <w:spacing w:line="360" w:lineRule="auto" w:before="120" w:after="120"/>
        <w:ind w:firstLine="283"/>
        <w:jc w:val="both"/>
      </w:pPr>
      <w:r>
        <w:t xml:space="preserve">Because each per-step optimum is identified with all other parameters fixed at prior-step values, the consolidated parameter set may not be a global optimum; the OPAT approach nevertheless identifies the dominant parameter effects and establishes a clear baseline. To test for missed cross-interactions, Section V.P reports a genetic-algorithm (GA) joint optimization over the six most sensitive parameters (bandgap, bulk and interface defect densities, </w:t>
      </w:r>
      <w:r>
        <w:t>N</w:t>
      </w:r>
      <w:r>
        <w:rPr>
          <w:vertAlign w:val="subscript"/>
        </w:rPr>
        <w:t>C</w:t>
      </w:r>
      <w:r>
        <w:t xml:space="preserve">, </w:t>
      </w:r>
      <w:r>
        <w:t>N</w:t>
      </w:r>
      <w:r>
        <w:rPr>
          <w:vertAlign w:val="subscript"/>
        </w:rPr>
        <w:t>V</w:t>
      </w:r>
      <w:r>
        <w:t>, absorber thickness), which finds a higher mathematical optimum at a lower bandgap and lower defect density than the OPAT point.</w:t>
      </w:r>
    </w:p>
    <w:p>
      <w:pPr>
        <w:pStyle w:val="Heading2"/>
        <w:keepNext/>
        <w:spacing w:before="120" w:after="40" w:line="360" w:lineRule="auto"/>
      </w:pPr>
      <w:r>
        <w:rPr>
          <w:rFonts w:ascii="Times New Roman" w:hAnsi="Times New Roman" w:cs="Times New Roman"/>
          <w:b/>
          <w:i/>
          <w:sz w:val="24"/>
        </w:rPr>
        <w:t>E. Device configurations screened</w:t>
      </w:r>
    </w:p>
    <w:p>
      <w:pPr>
        <w:spacing w:line="360" w:lineRule="auto" w:before="120" w:after="120"/>
        <w:ind w:firstLine="283"/>
        <w:jc w:val="both"/>
      </w:pPr>
      <w:r>
        <w:rPr>
          <w:rFonts w:ascii="Times New Roman" w:hAnsi="Times New Roman"/>
          <w:b w:val="0"/>
          <w:i w:val="0"/>
          <w:sz w:val="24"/>
        </w:rPr>
        <w:t xml:space="preserve">Eight planar configurations combining two ETLs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PCBM) with four HTLs (NiO, CuI, CBTS, Spiro-OMeTAD) around the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absorber (D1–D8, Table V) were simulated at the initial absorber thickness of 400 nm (Table II) to permit a fair architecture comparison before the thickness optimization of Section V.B.</w:t>
      </w:r>
    </w:p>
    <w:p>
      <w:pPr>
        <w:keepNext/>
        <w:spacing w:before="120" w:after="40"/>
        <w:jc w:val="center"/>
      </w:pPr>
      <w:r>
        <w:rPr>
          <w:rFonts w:ascii="Times New Roman" w:hAnsi="Times New Roman" w:cs="Times New Roman"/>
          <w:b/>
          <w:i w:val="0"/>
          <w:sz w:val="20"/>
        </w:rPr>
        <w:t>Table V. Eight device configurations screened in this study. All configurations were simulated at an absorber thickness of 400 nm.</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4680"/>
        <w:gridCol w:w="4680"/>
      </w:tblGrid>
      <w:tr>
        <w:trPr>
          <w:tblHeader w:val="true"/>
          <w:cantSplit w:val="true"/>
        </w:trPr>
        <w:tc>
          <w:tcPr>
            <w:tcW w:type="dxa" w:w="1417"/>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Device</w:t>
            </w:r>
          </w:p>
        </w:tc>
        <w:tc>
          <w:tcPr>
            <w:tcW w:type="dxa" w:w="6803"/>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Architecture</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D1</w:t>
            </w:r>
          </w:p>
        </w:tc>
        <w:tc>
          <w:tcPr>
            <w:tcW w:type="dxa" w:w="6803"/>
          </w:tcPr>
          <w:p>
            <w:pPr>
              <w:jc w:val="center"/>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NiO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D2</w:t>
            </w:r>
          </w:p>
        </w:tc>
        <w:tc>
          <w:tcPr>
            <w:tcW w:type="dxa" w:w="6803"/>
          </w:tcPr>
          <w:p>
            <w:pPr>
              <w:jc w:val="center"/>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NiO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D3</w:t>
            </w:r>
          </w:p>
        </w:tc>
        <w:tc>
          <w:tcPr>
            <w:tcW w:type="dxa" w:w="6803"/>
          </w:tcPr>
          <w:p>
            <w:pPr>
              <w:jc w:val="center"/>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CuI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D4 ★</w:t>
            </w:r>
          </w:p>
        </w:tc>
        <w:tc>
          <w:tcPr>
            <w:tcW w:type="dxa" w:w="6803"/>
          </w:tcPr>
          <w:p>
            <w:pPr>
              <w:jc w:val="center"/>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CuI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D5</w:t>
            </w:r>
          </w:p>
        </w:tc>
        <w:tc>
          <w:tcPr>
            <w:tcW w:type="dxa" w:w="6803"/>
          </w:tcPr>
          <w:p>
            <w:pPr>
              <w:jc w:val="left"/>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CBTS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D6</w:t>
            </w:r>
          </w:p>
        </w:tc>
        <w:tc>
          <w:tcPr>
            <w:tcW w:type="dxa" w:w="6803"/>
          </w:tcPr>
          <w:p>
            <w:pPr>
              <w:jc w:val="left"/>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CBTS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D7</w:t>
            </w:r>
          </w:p>
        </w:tc>
        <w:tc>
          <w:tcPr>
            <w:tcW w:type="dxa" w:w="6803"/>
          </w:tcPr>
          <w:p>
            <w:pPr>
              <w:jc w:val="left"/>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Spiro-OMeTAD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D8</w:t>
            </w:r>
          </w:p>
        </w:tc>
        <w:tc>
          <w:tcPr>
            <w:tcW w:type="dxa" w:w="6803"/>
          </w:tcPr>
          <w:p>
            <w:pPr>
              <w:jc w:val="left"/>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Spiro-OMeTAD / Au</w:t>
            </w:r>
          </w:p>
        </w:tc>
      </w:tr>
    </w:tbl>
    <w:p>
      <w:pPr>
        <w:pStyle w:val="Heading1"/>
        <w:keepNext/>
        <w:spacing w:before="320" w:after="120" w:line="360" w:lineRule="auto"/>
      </w:pPr>
      <w:r>
        <w:rPr>
          <w:rFonts w:ascii="Times New Roman" w:hAnsi="Times New Roman" w:cs="Times New Roman"/>
          <w:b/>
          <w:i w:val="0"/>
          <w:sz w:val="28"/>
        </w:rPr>
        <w:t>V. Results and Discussion</w:t>
      </w:r>
    </w:p>
    <w:p>
      <w:pPr>
        <w:pStyle w:val="Heading2"/>
        <w:keepNext/>
        <w:spacing w:before="120" w:after="40" w:line="360" w:lineRule="auto"/>
      </w:pPr>
      <w:r>
        <w:rPr>
          <w:rFonts w:ascii="Times New Roman" w:hAnsi="Times New Roman" w:cs="Times New Roman"/>
          <w:b/>
          <w:i/>
          <w:sz w:val="24"/>
        </w:rPr>
        <w:t>A. Screening of device configurations</w:t>
      </w:r>
    </w:p>
    <w:p>
      <w:pPr>
        <w:spacing w:line="360" w:lineRule="auto" w:before="120" w:after="120"/>
        <w:ind w:firstLine="283"/>
        <w:jc w:val="both"/>
      </w:pPr>
      <w:r>
        <w:rPr>
          <w:rFonts w:ascii="Times New Roman" w:hAnsi="Times New Roman"/>
          <w:b w:val="0"/>
          <w:i w:val="0"/>
          <w:sz w:val="24"/>
        </w:rPr>
        <w:t xml:space="preserve">Table VI compiles the photovoltaics of all eight configurations: two ETLs (TiO</w:t>
      </w:r>
      <w:r>
        <w:rPr>
          <w:rFonts w:ascii="Times New Roman" w:hAnsi="Times New Roman"/>
          <w:b w:val="0"/>
          <w:i w:val="0"/>
          <w:sz w:val="24"/>
          <w:vertAlign w:val="subscript"/>
        </w:rPr>
        <w:t xml:space="preserve">2</w:t>
      </w:r>
      <w:r>
        <w:rPr>
          <w:rFonts w:ascii="Times New Roman" w:hAnsi="Times New Roman"/>
          <w:b w:val="0"/>
          <w:i w:val="0"/>
          <w:sz w:val="24"/>
        </w:rPr>
        <w:t xml:space="preserve">, PCBM) crossed with four HTLs (NiO, CuI, CBTS, Spiro-OMeTAD) on the common RbGeI</w:t>
      </w:r>
      <w:r>
        <w:rPr>
          <w:rFonts w:ascii="Times New Roman" w:hAnsi="Times New Roman"/>
          <w:b w:val="0"/>
          <w:i w:val="0"/>
          <w:sz w:val="24"/>
          <w:vertAlign w:val="subscript"/>
        </w:rPr>
        <w:t xml:space="preserve">3</w:t>
      </w:r>
      <w:r>
        <w:rPr>
          <w:rFonts w:ascii="Times New Roman" w:hAnsi="Times New Roman"/>
          <w:b w:val="0"/>
          <w:i w:val="0"/>
          <w:sz w:val="24"/>
        </w:rPr>
        <w:t xml:space="preserve"> absorber.</w:t>
      </w:r>
    </w:p>
    <w:p>
      <w:pPr>
        <w:spacing w:line="360" w:lineRule="auto" w:before="120" w:after="120"/>
        <w:ind w:firstLine="283"/>
        <w:jc w:val="both"/>
      </w:pPr>
      <w:r>
        <w:rPr>
          <w:rFonts w:ascii="Times New Roman" w:hAnsi="Times New Roman"/>
          <w:b w:val="0"/>
          <w:i w:val="0"/>
          <w:sz w:val="24"/>
        </w:rPr>
        <w:t xml:space="preserve">The D4 architecture (TiO</w:t>
      </w:r>
      <w:r>
        <w:rPr>
          <w:rFonts w:ascii="Times New Roman" w:hAnsi="Times New Roman"/>
          <w:b w:val="0"/>
          <w:i w:val="0"/>
          <w:sz w:val="24"/>
          <w:vertAlign w:val="subscript"/>
        </w:rPr>
        <w:t xml:space="preserve">2</w:t>
      </w:r>
      <w:r>
        <w:rPr>
          <w:rFonts w:ascii="Times New Roman" w:hAnsi="Times New Roman"/>
          <w:b w:val="0"/>
          <w:i w:val="0"/>
          <w:sz w:val="24"/>
        </w:rPr>
        <w:t xml:space="preserve">/CuI) combines well-matched band alignment with an all-inorganic transport stack, avoiding the stability limitations of organic HTLs.</w:t>
      </w:r>
    </w:p>
    <w:p>
      <w:pPr>
        <w:keepNext/>
        <w:spacing w:before="120" w:after="40"/>
        <w:jc w:val="center"/>
      </w:pPr>
      <w:r>
        <w:rPr>
          <w:rFonts w:ascii="Times New Roman" w:hAnsi="Times New Roman" w:cs="Times New Roman"/>
          <w:b/>
          <w:i w:val="0"/>
          <w:sz w:val="20"/>
        </w:rPr>
        <w:t>Table VI. Initial photovoltaic performance of the eight screened device configurations, simulated at an absorber thickness of 400 nm. ★ Selected as the baseline for full parametric optimization.</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560"/>
        <w:gridCol w:w="1560"/>
        <w:gridCol w:w="1560"/>
        <w:gridCol w:w="1560"/>
        <w:gridCol w:w="1560"/>
        <w:gridCol w:w="1560"/>
      </w:tblGrid>
      <w:tr>
        <w:trPr>
          <w:tblHeader w:val="true"/>
          <w:cantSplit w:val="true"/>
        </w:trPr>
        <w:tc>
          <w:tcPr>
            <w:tcW w:type="dxa" w:w="737"/>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w:t>
            </w:r>
          </w:p>
        </w:tc>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Architecture</w:t>
            </w:r>
          </w:p>
        </w:tc>
        <w:tc>
          <w:tcPr>
            <w:tcW w:type="dxa" w:w="964"/>
            <w:tcBorders>
              <w:bottom w:val="single" w:sz="4" w:space="0" w:color="000000"/>
            </w:tcBorders>
          </w:tcPr>
          <w:p>
            <w:pPr>
              <w:jc w:val="center"/>
            </w:pPr>
            <w:r>
              <w:rPr>
                <w:rFonts w:ascii="Times New Roman" w:hAnsi="Times New Roman" w:cs="Times New Roman"/>
                <w:sz w:val="20"/>
                <w:b w:val="0"/>
                <w:i w:val="0"/>
              </w:rPr>
              <w:t>V</w:t>
            </w:r>
            <w:r>
              <w:rPr>
                <w:rFonts w:ascii="Times New Roman" w:hAnsi="Times New Roman" w:cs="Times New Roman"/>
                <w:vertAlign w:val="subscript"/>
                <w:sz w:val="20"/>
                <w:b w:val="0"/>
                <w:i w:val="0"/>
              </w:rPr>
              <w:t>OC</w:t>
            </w:r>
            <w:r>
              <w:rPr>
                <w:rFonts w:ascii="Times New Roman" w:hAnsi="Times New Roman" w:cs="Times New Roman"/>
                <w:sz w:val="20"/>
                <w:b w:val="0"/>
                <w:i w:val="0"/>
              </w:rPr>
              <w:t xml:space="preserve"> (V)</w:t>
            </w:r>
          </w:p>
        </w:tc>
        <w:tc>
          <w:tcPr>
            <w:tcW w:type="dxa" w:w="1417"/>
            <w:tcBorders>
              <w:bottom w:val="single" w:sz="4" w:space="0" w:color="000000"/>
            </w:tcBorders>
          </w:tcPr>
          <w:p>
            <w:pPr>
              <w:jc w:val="center"/>
            </w:pPr>
            <w:r>
              <w:rPr>
                <w:rFonts w:ascii="Times New Roman" w:hAnsi="Times New Roman" w:cs="Times New Roman"/>
                <w:sz w:val="20"/>
                <w:b w:val="0"/>
                <w:i w:val="0"/>
              </w:rPr>
              <w:t>J</w:t>
            </w:r>
            <w:r>
              <w:rPr>
                <w:rFonts w:ascii="Times New Roman" w:hAnsi="Times New Roman" w:cs="Times New Roman"/>
                <w:vertAlign w:val="subscript"/>
                <w:sz w:val="20"/>
                <w:b w:val="0"/>
                <w:i w:val="0"/>
              </w:rPr>
              <w:t>SC</w:t>
            </w:r>
            <w:r>
              <w:rPr>
                <w:rFonts w:ascii="Times New Roman" w:hAnsi="Times New Roman" w:cs="Times New Roman"/>
                <w:sz w:val="20"/>
                <w:b w:val="0"/>
                <w:i w:val="0"/>
              </w:rPr>
              <w:t xml:space="preserve"> (mA/cm²)</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FF (%)</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PCE (%)</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D1</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/NiO/Au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30.10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83.68</w:t>
            </w:r>
          </w:p>
        </w:tc>
        <w:tc>
          <w:tcPr>
            <w:tcW w:type="dxa" w:w="850"/>
          </w:tcPr>
          <w:p>
            <w:pPr>
              <w:jc w:val="center"/>
            </w:pPr>
            <w:r>
              <w:rPr>
                <w:rFonts w:ascii="Times New Roman" w:hAnsi="Times New Roman" w:cs="Times New Roman"/>
                <w:b w:val="0"/>
                <w:i w:val="0"/>
                <w:sz w:val="18"/>
              </w:rPr>
              <w:t xml:space="preserve">20.40</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D2</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/NiO/Au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30.46</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84.48</w:t>
            </w:r>
          </w:p>
        </w:tc>
        <w:tc>
          <w:tcPr>
            <w:tcW w:type="dxa" w:w="850"/>
          </w:tcPr>
          <w:p>
            <w:pPr>
              <w:jc w:val="center"/>
            </w:pPr>
            <w:r>
              <w:rPr>
                <w:rFonts w:ascii="Times New Roman" w:hAnsi="Times New Roman" w:cs="Times New Roman"/>
                <w:b w:val="0"/>
                <w:i w:val="0"/>
                <w:sz w:val="18"/>
              </w:rPr>
              <w:t xml:space="preserve">21.10</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D3</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30.10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83.96</w:t>
            </w:r>
          </w:p>
        </w:tc>
        <w:tc>
          <w:tcPr>
            <w:tcW w:type="dxa" w:w="850"/>
          </w:tcPr>
          <w:p>
            <w:pPr>
              <w:jc w:val="center"/>
            </w:pPr>
            <w:r>
              <w:rPr>
                <w:rFonts w:ascii="Times New Roman" w:hAnsi="Times New Roman" w:cs="Times New Roman"/>
                <w:b w:val="0"/>
                <w:i w:val="0"/>
                <w:sz w:val="18"/>
              </w:rPr>
              <w:t xml:space="preserve">20.47</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D4 ★</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30.46</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79.98</w:t>
            </w:r>
          </w:p>
        </w:tc>
        <w:tc>
          <w:tcPr>
            <w:tcW w:type="dxa" w:w="850"/>
          </w:tcPr>
          <w:p>
            <w:pPr>
              <w:jc w:val="center"/>
            </w:pPr>
            <w:r>
              <w:rPr>
                <w:rFonts w:ascii="Times New Roman" w:hAnsi="Times New Roman" w:cs="Times New Roman"/>
                <w:b w:val="0"/>
                <w:i w:val="0"/>
                <w:sz w:val="18"/>
              </w:rPr>
              <w:t xml:space="preserve">19.78</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D5</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/CBTS/Au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30.20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82.36</w:t>
            </w:r>
          </w:p>
        </w:tc>
        <w:tc>
          <w:tcPr>
            <w:tcW w:type="dxa" w:w="850"/>
          </w:tcPr>
          <w:p>
            <w:pPr>
              <w:jc w:val="center"/>
            </w:pPr>
            <w:r>
              <w:rPr>
                <w:rFonts w:ascii="Times New Roman" w:hAnsi="Times New Roman" w:cs="Times New Roman"/>
                <w:b w:val="0"/>
                <w:i w:val="0"/>
                <w:sz w:val="18"/>
              </w:rPr>
              <w:t xml:space="preserve">20.40</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D6</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/CBTS/Au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30.55</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82.13</w:t>
            </w:r>
          </w:p>
        </w:tc>
        <w:tc>
          <w:tcPr>
            <w:tcW w:type="dxa" w:w="850"/>
          </w:tcPr>
          <w:p>
            <w:pPr>
              <w:jc w:val="center"/>
            </w:pPr>
            <w:r>
              <w:rPr>
                <w:rFonts w:ascii="Times New Roman" w:hAnsi="Times New Roman" w:cs="Times New Roman"/>
                <w:b w:val="0"/>
                <w:i w:val="0"/>
                <w:sz w:val="18"/>
              </w:rPr>
              <w:t xml:space="preserve">20.57</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D7</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/Spiro/Au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30.07</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85.01</w:t>
            </w:r>
          </w:p>
        </w:tc>
        <w:tc>
          <w:tcPr>
            <w:tcW w:type="dxa" w:w="850"/>
          </w:tcPr>
          <w:p>
            <w:pPr>
              <w:jc w:val="center"/>
            </w:pPr>
            <w:r>
              <w:rPr>
                <w:rFonts w:ascii="Times New Roman" w:hAnsi="Times New Roman" w:cs="Times New Roman"/>
                <w:b w:val="0"/>
                <w:i w:val="0"/>
                <w:sz w:val="18"/>
              </w:rPr>
              <w:t xml:space="preserve">20.71</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D8</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/Spiro/Au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30.46</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83.95</w:t>
            </w:r>
          </w:p>
        </w:tc>
        <w:tc>
          <w:tcPr>
            <w:tcW w:type="dxa" w:w="850"/>
          </w:tcPr>
          <w:p>
            <w:pPr>
              <w:jc w:val="center"/>
            </w:pPr>
            <w:r>
              <w:rPr>
                <w:rFonts w:ascii="Times New Roman" w:hAnsi="Times New Roman" w:cs="Times New Roman"/>
                <w:b w:val="0"/>
                <w:i w:val="0"/>
                <w:sz w:val="18"/>
              </w:rPr>
              <w:t xml:space="preserve">20.97</w:t>
            </w:r>
          </w:p>
        </w:tc>
      </w:tr>
    </w:tbl>
    <w:p>
      <w:pPr>
        <w:spacing w:line="360" w:lineRule="auto" w:before="120" w:after="120"/>
        <w:ind w:firstLine="283"/>
        <w:jc w:val="both"/>
      </w:pPr>
      <w:r>
        <w:rPr>
          <w:rFonts w:ascii="Times New Roman" w:hAnsi="Times New Roman"/>
          <w:b w:val="0"/>
          <w:i w:val="0"/>
          <w:sz w:val="24"/>
        </w:rPr>
        <w:t xml:space="preserve">The best FF belongs to D7 (Spiro-OMeTAD, 85.01%) and the best PCE to D2 (21.10%), not to D4. D4 still won our attention: CuI beats Spiro-OMeTAD on stability and cost and NiO on moisture and oxygen sensitivity while offering higher hole mobility. Its PCE deficit of about 1.3 percentage points to the top entries is the kind of gap the parameter sweep can close; the stability and cost that CuI carries are not something parameter tuning can buy back.</w:t>
      </w:r>
    </w:p>
    <w:p>
      <w:pPr>
        <w:pStyle w:val="Heading2"/>
        <w:keepNext/>
        <w:spacing w:before="120" w:after="40" w:line="360" w:lineRule="auto"/>
      </w:pPr>
      <w:r>
        <w:rPr>
          <w:rFonts w:ascii="Times New Roman" w:hAnsi="Times New Roman" w:cs="Times New Roman"/>
          <w:b/>
          <w:i/>
          <w:sz w:val="24"/>
        </w:rPr>
        <w:t>B. Effect of absorber layer thickness</w:t>
      </w:r>
    </w:p>
    <w:p>
      <w:pPr>
        <w:spacing w:line="360" w:lineRule="auto" w:before="120" w:after="120"/>
        <w:ind w:firstLine="283"/>
        <w:jc w:val="both"/>
      </w:pPr>
      <w:r>
        <w:rPr>
          <w:rFonts w:ascii="Times New Roman" w:hAnsi="Times New Roman"/>
          <w:b w:val="0"/>
          <w:i w:val="0"/>
          <w:sz w:val="24"/>
        </w:rPr>
        <w:t xml:space="preserve">Thickness sets the trade-off between light capture and recombination: a thicker absorber absorbs more photons and lifts J</w:t>
      </w:r>
      <w:r>
        <w:rPr>
          <w:rFonts w:ascii="Times New Roman" w:hAnsi="Times New Roman"/>
          <w:b w:val="0"/>
          <w:i w:val="0"/>
          <w:sz w:val="24"/>
          <w:vertAlign w:val="subscript"/>
        </w:rPr>
        <w:t xml:space="preserve">SC</w:t>
      </w:r>
      <w:r>
        <w:rPr>
          <w:rFonts w:ascii="Times New Roman" w:hAnsi="Times New Roman"/>
          <w:b w:val="0"/>
          <w:i w:val="0"/>
          <w:sz w:val="24"/>
        </w:rPr>
        <w:t xml:space="preserve">, up to the point where the extra volume becomes a recombination liability.</w:t>
      </w:r>
    </w:p>
    <w:p>
      <w:pPr>
        <w:spacing w:line="360" w:lineRule="auto" w:before="120" w:after="120"/>
        <w:ind w:firstLine="283"/>
        <w:jc w:val="both"/>
      </w:pPr>
      <w:r>
        <w:t xml:space="preserve">PCE peaks at 0.7 µm (20.70%) and eases off beyond it as recombination grows. </w:t>
      </w:r>
      <w:r>
        <w:t>J</w:t>
      </w:r>
      <w:r>
        <w:rPr>
          <w:vertAlign w:val="subscript"/>
        </w:rPr>
        <w:t>SC</w:t>
      </w:r>
      <w:r>
        <w:t xml:space="preserve"> climbs steadily with thickness, 28.14 to 34.11 mA/cm², while </w:t>
      </w:r>
      <w:r>
        <w:t>V</w:t>
      </w:r>
      <w:r>
        <w:rPr>
          <w:vertAlign w:val="subscript"/>
        </w:rPr>
        <w:t>OC</w:t>
      </w:r>
      <w:r>
        <w:t xml:space="preserve"> slides from 0.823 to 0.767 V. The 0.7 µm point, where the two effects balance, is the one we keep. The upper end of this </w:t>
      </w:r>
      <w:r>
        <w:t>J</w:t>
      </w:r>
      <w:r>
        <w:rPr>
          <w:vertAlign w:val="subscript"/>
        </w:rPr>
        <w:t>SC</w:t>
      </w:r>
      <w:r>
        <w:t xml:space="preserve"> range (34.11 mA/cm²) exceeds the single-gap SQ limit at 1.4 eV (≈33 mA/cm²); it was recorded with the early Step-1 deck whose extended sub-gap absorption (cutoff toward ≈1.2 eV, SQ ≈40 mA/cm²) accommodates it. Re-simulation of the thickness sweep with the consolidated uniform-1.4 eV deck gives </w:t>
      </w:r>
      <w:r>
        <w:t>J</w:t>
      </w:r>
      <w:r>
        <w:rPr>
          <w:vertAlign w:val="subscript"/>
        </w:rPr>
        <w:t>SC</w:t>
      </w:r>
      <w:r>
        <w:t xml:space="preserve"> 25.2–31.3 mA/cm² (all below SQ) with the same peak-plateau shape (plateau 0.7–1.0 µm within 0.06 points), so the 0.7 µm choice stands.</w:t>
      </w:r>
    </w:p>
    <w:p>
      <w:pPr>
        <w:keepNext/>
        <w:keepLines/>
        <w:spacing w:before="120" w:after="40"/>
        <w:jc w:val="center"/>
      </w:pPr>
      <w:r>
        <w:drawing>
          <wp:inline xmlns:a="http://schemas.openxmlformats.org/drawingml/2006/main" xmlns:pic="http://schemas.openxmlformats.org/drawingml/2006/picture">
            <wp:extent cx="4680000" cy="2861040"/>
            <wp:docPr id="5" name="Picture 5"/>
            <wp:cNvGraphicFramePr>
              <a:graphicFrameLocks noChangeAspect="1"/>
            </wp:cNvGraphicFramePr>
            <a:graphic>
              <a:graphicData uri="http://schemas.openxmlformats.org/drawingml/2006/picture">
                <pic:pic>
                  <pic:nvPicPr>
                    <pic:cNvPr id="0" name="fig5_absorber_thickness.png"/>
                    <pic:cNvPicPr/>
                  </pic:nvPicPr>
                  <pic:blipFill>
                    <a:blip r:embed="rId1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3.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thickness. PCE peaks at 0.7 µm, beyond which recombination losses reduce efficiency.</w:t>
      </w:r>
    </w:p>
    <w:p>
      <w:pPr>
        <w:pStyle w:val="Heading2"/>
        <w:keepNext/>
        <w:spacing w:before="120" w:after="40" w:line="360" w:lineRule="auto"/>
      </w:pPr>
      <w:r>
        <w:rPr>
          <w:rFonts w:ascii="Times New Roman" w:hAnsi="Times New Roman" w:cs="Times New Roman"/>
          <w:b/>
          <w:i/>
          <w:sz w:val="24"/>
        </w:rPr>
        <w:t>C. Effect of absorber defect density</w:t>
      </w:r>
    </w:p>
    <w:p>
      <w:pPr>
        <w:spacing w:line="360" w:lineRule="auto" w:before="120" w:after="120"/>
        <w:ind w:firstLine="283"/>
        <w:jc w:val="both"/>
      </w:pPr>
      <w:r>
        <w:rPr>
          <w:rFonts w:ascii="Times New Roman" w:hAnsi="Times New Roman"/>
          <w:b w:val="0"/>
          <w:i w:val="0"/>
          <w:sz w:val="24"/>
        </w:rPr>
        <w:t xml:space="preserve">In the bulk, defects shorten carrier lifetimes and cut collection efficiency by acting as Shockley-Read-Hall (SRH) recombination centers. We swept the RbGeI</w:t>
      </w:r>
      <w:r>
        <w:rPr>
          <w:rFonts w:ascii="Times New Roman" w:hAnsi="Times New Roman"/>
          <w:b w:val="0"/>
          <w:i w:val="0"/>
          <w:sz w:val="24"/>
          <w:vertAlign w:val="subscript"/>
        </w:rPr>
        <w:t xml:space="preserve">3</w:t>
      </w:r>
      <w:r>
        <w:rPr>
          <w:rFonts w:ascii="Times New Roman" w:hAnsi="Times New Roman"/>
          <w:b w:val="0"/>
          <w:i w:val="0"/>
          <w:sz w:val="24"/>
        </w:rPr>
        <w:t xml:space="preserve"> defect density from 10¹² to 10¹⁸ cm⁻³ with all else fixed.</w:t>
      </w:r>
    </w:p>
    <w:p>
      <w:pPr>
        <w:spacing w:line="360" w:lineRule="auto" w:before="120" w:after="120"/>
        <w:ind w:firstLine="283"/>
        <w:jc w:val="both"/>
      </w:pPr>
      <w:r>
        <w:rPr>
          <w:rFonts w:ascii="Times New Roman" w:hAnsi="Times New Roman"/>
          <w:b w:val="0"/>
          <w:i w:val="0"/>
          <w:sz w:val="24"/>
        </w:rPr>
        <w:t xml:space="preserve">The device tolerates defects up to 10¹⁴ cm⁻³ without visible loss; above that, PCE collapses from 20.40% to 7.58% as the density reaches 10¹⁸ cm⁻³, mostly through falling V</w:t>
      </w:r>
      <w:r>
        <w:rPr>
          <w:rFonts w:ascii="Times New Roman" w:hAnsi="Times New Roman"/>
          <w:b w:val="0"/>
          <w:i w:val="0"/>
          <w:sz w:val="24"/>
          <w:vertAlign w:val="subscript"/>
        </w:rPr>
        <w:t xml:space="preserve">OC</w:t>
      </w:r>
      <w:r>
        <w:rPr>
          <w:rFonts w:ascii="Times New Roman" w:hAnsi="Times New Roman"/>
          <w:b w:val="0"/>
          <w:i w:val="0"/>
          <w:sz w:val="24"/>
        </w:rPr>
        <w:t xml:space="preserve"> (0.848 to 0.550 V). The sweep settles at 10¹⁴ cm⁻³, the bulk density SCAPS studies typically assume for lead-free absorbers.</w:t>
      </w:r>
    </w:p>
    <w:p>
      <w:pPr>
        <w:keepNext/>
        <w:keepLines/>
        <w:spacing w:before="120" w:after="40"/>
        <w:jc w:val="center"/>
      </w:pPr>
      <w:r>
        <w:drawing>
          <wp:inline xmlns:a="http://schemas.openxmlformats.org/drawingml/2006/main" xmlns:pic="http://schemas.openxmlformats.org/drawingml/2006/picture">
            <wp:extent cx="4680000" cy="3087205"/>
            <wp:docPr id="6" name="Picture 6"/>
            <wp:cNvGraphicFramePr>
              <a:graphicFrameLocks noChangeAspect="1"/>
            </wp:cNvGraphicFramePr>
            <a:graphic>
              <a:graphicData uri="http://schemas.openxmlformats.org/drawingml/2006/picture">
                <pic:pic>
                  <pic:nvPicPr>
                    <pic:cNvPr id="0" name="fig6_defect_density.png"/>
                    <pic:cNvPicPr/>
                  </pic:nvPicPr>
                  <pic:blipFill>
                    <a:blip r:embed="rId16"/>
                    <a:stretch>
                      <a:fillRect/>
                    </a:stretch>
                  </pic:blipFill>
                  <pic:spPr>
                    <a:xfrm>
                      <a:off x="0" y="0"/>
                      <a:ext cx="4680000" cy="3087205"/>
                    </a:xfrm>
                    <a:prstGeom prst="rect"/>
                  </pic:spPr>
                </pic:pic>
              </a:graphicData>
            </a:graphic>
          </wp:inline>
        </w:drawing>
      </w:r>
    </w:p>
    <w:p>
      <w:r>
        <w:t>Beyond the total trap density, the energetic position Et of the dominant defect and the electron/hole capture asymmetry (sigma_n, sigma_p) were swept to model Ge-related degradation explicitly. At Nt = 10^15 cm-3, moving Et from 0.2 eV to 1.2 eV above Ev traces a shallow symmetric minimum centred at mid-gap: PCE falls from 25.01% at the band edges to 24.84% for Et = 0.4-1.0 eV (Fig. 24), the textbook SRH fingerprint that mid-gap states are the most lethal recombination centres. At the baseline Nt = 10^14 cm-3 the level position is immaterial (26.81-26.85%), confirming the consolidated defect budget sits deep inside the tolerant regime. Capture asymmetry at mid-gap (Fig. 25) is significant even at a fixed sigma_n x sigma_p product: the electron-capture-dominated trap (sigma_n = 10^-17, sigma_p = 10^-19 m2) limits PCE to 23.97%, while the mirrored hole-dominated trap holds 26.71%, and the symmetric 10^-17/10^-17 case collapses to 21.45%. The oxidation threat (Ge2+ -&gt; Ge4+, Ge vacancies) therefore cannot be reduced to a single Nt number: its energy and capture character jointly set the damage, and dense symmetric traps are the worst case.</w:t>
      </w:r>
    </w:p>
    <w:p>
      <w:pPr>
        <w:spacing w:before="80" w:after="240"/>
        <w:jc w:val="center"/>
      </w:pPr>
      <w:r>
        <w:rPr>
          <w:rFonts w:ascii="Times New Roman" w:hAnsi="Times New Roman"/>
          <w:b w:val="0"/>
          <w:i/>
          <w:sz w:val="20"/>
        </w:rPr>
        <w:t>Fig. 4.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defect density. Performance degrades sharply above 10¹⁴ cm⁻³.</w:t>
      </w:r>
    </w:p>
    <w:p>
      <w:pPr>
        <w:pStyle w:val="Heading2"/>
        <w:keepNext/>
        <w:spacing w:before="120" w:after="40" w:line="360" w:lineRule="auto"/>
      </w:pPr>
      <w:r>
        <w:rPr>
          <w:rFonts w:ascii="Times New Roman" w:hAnsi="Times New Roman" w:cs="Times New Roman"/>
          <w:b/>
          <w:i/>
          <w:sz w:val="24"/>
        </w:rPr>
        <w:t>D. Effect of absorber dielectric constant</w:t>
      </w:r>
    </w:p>
    <w:p>
      <w:pPr>
        <w:spacing w:line="360" w:lineRule="auto" w:before="120" w:after="120"/>
        <w:ind w:firstLine="283"/>
        <w:jc w:val="both"/>
      </w:pPr>
      <w:r>
        <w:rPr>
          <w:rFonts w:ascii="Times New Roman" w:hAnsi="Times New Roman"/>
          <w:b w:val="0"/>
          <w:i w:val="0"/>
          <w:sz w:val="24"/>
        </w:rPr>
        <w:t xml:space="preserve">The dielectric constant barely matters. Raising ε</w:t>
      </w:r>
      <w:r>
        <w:rPr>
          <w:rFonts w:ascii="Times New Roman" w:hAnsi="Times New Roman"/>
          <w:b w:val="0"/>
          <w:i w:val="0"/>
          <w:sz w:val="24"/>
          <w:vertAlign w:val="subscript"/>
        </w:rPr>
        <w:t xml:space="preserve">r</w:t>
      </w:r>
      <w:r>
        <w:rPr>
          <w:rFonts w:ascii="Times New Roman" w:hAnsi="Times New Roman"/>
          <w:b w:val="0"/>
          <w:i w:val="0"/>
          <w:sz w:val="24"/>
        </w:rPr>
        <w:t xml:space="preserve"> from 15 to 23.1 moves PCE from 19.92% to 19.79%, a shift carried almost entirely by V</w:t>
      </w:r>
      <w:r>
        <w:rPr>
          <w:rFonts w:ascii="Times New Roman" w:hAnsi="Times New Roman"/>
          <w:b w:val="0"/>
          <w:i w:val="0"/>
          <w:sz w:val="24"/>
          <w:vertAlign w:val="subscript"/>
        </w:rPr>
        <w:t xml:space="preserve">OC</w:t>
      </w:r>
      <w:r>
        <w:rPr>
          <w:rFonts w:ascii="Times New Roman" w:hAnsi="Times New Roman"/>
          <w:b w:val="0"/>
          <w:i w:val="0"/>
          <w:sz w:val="24"/>
        </w:rPr>
        <w:t xml:space="preserve"> (0.819 to 0.812 V); J</w:t>
      </w:r>
      <w:r>
        <w:rPr>
          <w:rFonts w:ascii="Times New Roman" w:hAnsi="Times New Roman"/>
          <w:b w:val="0"/>
          <w:i w:val="0"/>
          <w:sz w:val="24"/>
          <w:vertAlign w:val="subscript"/>
        </w:rPr>
        <w:t xml:space="preserve">SC</w:t>
      </w:r>
      <w:r>
        <w:rPr>
          <w:rFonts w:ascii="Times New Roman" w:hAnsi="Times New Roman"/>
          <w:b w:val="0"/>
          <w:i w:val="0"/>
          <w:sz w:val="24"/>
        </w:rPr>
        <w:t xml:space="preserve"> and FF are essentially unchanged. With nothing to gain at the high end, we keep ε</w:t>
      </w:r>
      <w:r>
        <w:rPr>
          <w:rFonts w:ascii="Times New Roman" w:hAnsi="Times New Roman"/>
          <w:b w:val="0"/>
          <w:i w:val="0"/>
          <w:sz w:val="24"/>
          <w:vertAlign w:val="subscript"/>
        </w:rPr>
        <w:t xml:space="preserve">r</w:t>
      </w:r>
      <w:r>
        <w:rPr>
          <w:rFonts w:ascii="Times New Roman" w:hAnsi="Times New Roman"/>
          <w:b w:val="0"/>
          <w:i w:val="0"/>
          <w:sz w:val="24"/>
        </w:rPr>
        <w:t xml:space="preserve"> = 15.</w:t>
      </w:r>
    </w:p>
    <w:p>
      <w:pPr>
        <w:keepNext/>
        <w:keepLines/>
        <w:jc w:val="center"/>
      </w:pPr>
      <w:r/>
      <w:r>
        <w:drawing>
          <wp:inline xmlns:a="http://schemas.openxmlformats.org/drawingml/2006/main" xmlns:pic="http://schemas.openxmlformats.org/drawingml/2006/picture">
            <wp:extent cx="4457700" cy="2725141"/>
            <wp:docPr id="18" name="Picture 1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457700" cy="2940562"/>
                    </a:xfrm>
                    <a:prstGeom prst="rect"/>
                  </pic:spPr>
                </pic:pic>
              </a:graphicData>
            </a:graphic>
          </wp:inline>
        </w:drawing>
      </w:r>
    </w:p>
    <w:p>
      <w:pPr>
        <w:jc w:val="center"/>
      </w:pPr>
      <w:r>
        <w:rPr>
          <w:sz w:val="20"/>
        </w:rPr>
        <w:t>Fig. 5. Variation of PCE, V</w:t>
      </w:r>
      <w:r>
        <w:rPr>
          <w:sz w:val="20"/>
          <w:vertAlign w:val="subscript"/>
        </w:rPr>
        <w:t>OC</w:t>
      </w:r>
      <w:r>
        <w:rPr>
          <w:sz w:val="20"/>
        </w:rPr>
        <w:t>, J</w:t>
      </w:r>
      <w:r>
        <w:rPr>
          <w:sz w:val="20"/>
          <w:vertAlign w:val="subscript"/>
        </w:rPr>
        <w:t>SC</w:t>
      </w:r>
      <w:r>
        <w:rPr>
          <w:sz w:val="20"/>
        </w:rPr>
        <w:t>, and FF with RbGeI</w:t>
      </w:r>
      <w:r>
        <w:rPr>
          <w:sz w:val="20"/>
          <w:vertAlign w:val="subscript"/>
        </w:rPr>
        <w:t>3</w:t>
      </w:r>
      <w:r>
        <w:rPr>
          <w:sz w:val="20"/>
        </w:rPr>
        <w:t xml:space="preserve"> absorber dielectric constant. The performance is essentially insensitive to ε</w:t>
      </w:r>
      <w:r>
        <w:rPr>
          <w:sz w:val="20"/>
          <w:vertAlign w:val="subscript"/>
        </w:rPr>
        <w:t>r</w:t>
      </w:r>
      <w:r>
        <w:rPr>
          <w:sz w:val="20"/>
        </w:rPr>
        <w:t xml:space="preserve"> across the investigated range; εr = 15 is used in the final device.</w:t>
      </w:r>
      <w:r>
        <w:rPr>
          <w:sz w:val="20"/>
          <w:vertAlign w:val="subscript"/>
        </w:rPr>
        <w:t/>
      </w:r>
      <w:r>
        <w:rPr>
          <w:sz w:val="20"/>
        </w:rPr>
        <w:t xml:space="preserve"/>
      </w:r>
    </w:p>
    <w:p>
      <w:pPr>
        <w:pStyle w:val="Heading2"/>
        <w:keepNext/>
        <w:spacing w:before="120" w:after="40" w:line="360" w:lineRule="auto"/>
      </w:pPr>
      <w:r>
        <w:rPr>
          <w:rFonts w:ascii="Times New Roman" w:hAnsi="Times New Roman" w:cs="Times New Roman"/>
          <w:b/>
          <w:i/>
          <w:sz w:val="24"/>
        </w:rPr>
        <w:t>E. Effect of absorber electron affinity</w:t>
      </w:r>
    </w:p>
    <w:p>
      <w:pPr>
        <w:spacing w:line="360" w:lineRule="auto" w:before="120" w:after="120"/>
        <w:ind w:firstLine="283"/>
        <w:jc w:val="both"/>
      </w:pPr>
      <w:r>
        <w:rPr>
          <w:rFonts w:ascii="Times New Roman" w:hAnsi="Times New Roman" w:cs="Times New Roman"/>
          <w:b w:val="0"/>
          <w:i w:val="0"/>
          <w:sz w:val="24"/>
        </w:rPr>
        <w:t xml:space="preserve">Electron affinity lines up the energy bands between adjacent layers and so controls extraction of the charge carriers. We held everything else fixed and stepped χ from 3.9 to 4.2 eV.</w:t>
      </w:r>
    </w:p>
    <w:p>
      <w:pPr>
        <w:spacing w:line="360" w:lineRule="auto" w:before="120" w:after="120"/>
        <w:ind w:firstLine="283"/>
        <w:jc w:val="both"/>
      </w:pPr>
      <w:r>
        <w:rPr>
          <w:rFonts w:ascii="Times New Roman" w:hAnsi="Times New Roman"/>
          <w:b w:val="0"/>
          <w:i w:val="0"/>
          <w:sz w:val="24"/>
        </w:rPr>
        <w:t xml:space="preserve">Peak performance lands at χ = 3.9 eV with a PCE of 19.79%. Raise the affinity to 4.2 eV and V</w:t>
      </w:r>
      <w:r>
        <w:rPr>
          <w:rFonts w:ascii="Times New Roman" w:hAnsi="Times New Roman"/>
          <w:b w:val="0"/>
          <w:i w:val="0"/>
          <w:sz w:val="24"/>
          <w:vertAlign w:val="subscript"/>
        </w:rPr>
        <w:t xml:space="preserve">OC</w:t>
      </w:r>
      <w:r>
        <w:rPr>
          <w:rFonts w:ascii="Times New Roman" w:hAnsi="Times New Roman"/>
          <w:b w:val="0"/>
          <w:i w:val="0"/>
          <w:sz w:val="24"/>
        </w:rPr>
        <w:t xml:space="preserve"> falls from 0.812 to 0.710 V while J</w:t>
      </w:r>
      <w:r>
        <w:rPr>
          <w:rFonts w:ascii="Times New Roman" w:hAnsi="Times New Roman"/>
          <w:b w:val="0"/>
          <w:i w:val="0"/>
          <w:sz w:val="24"/>
          <w:vertAlign w:val="subscript"/>
        </w:rPr>
        <w:t xml:space="preserve">SC</w:t>
      </w:r>
      <w:r>
        <w:rPr>
          <w:rFonts w:ascii="Times New Roman" w:hAnsi="Times New Roman"/>
          <w:b w:val="0"/>
          <w:i w:val="0"/>
          <w:sz w:val="24"/>
        </w:rPr>
        <w:t xml:space="preserve"> holds flat: the extra electron affinity buys a fill-factor gain smaller than the voltage it costs. We stay at 3.9 eV.</w:t>
      </w:r>
    </w:p>
    <w:p>
      <w:pPr>
        <w:keepNext/>
        <w:keepLines/>
        <w:spacing w:before="120" w:after="40"/>
        <w:jc w:val="center"/>
      </w:pPr>
      <w:r>
        <w:drawing>
          <wp:inline xmlns:a="http://schemas.openxmlformats.org/drawingml/2006/main" xmlns:pic="http://schemas.openxmlformats.org/drawingml/2006/picture">
            <wp:extent cx="4680000" cy="2861040"/>
            <wp:docPr id="8" name="Picture 8"/>
            <wp:cNvGraphicFramePr>
              <a:graphicFrameLocks noChangeAspect="1"/>
            </wp:cNvGraphicFramePr>
            <a:graphic>
              <a:graphicData uri="http://schemas.openxmlformats.org/drawingml/2006/picture">
                <pic:pic>
                  <pic:nvPicPr>
                    <pic:cNvPr id="0" name="fig8_electron_affinity.png"/>
                    <pic:cNvPicPr/>
                  </pic:nvPicPr>
                  <pic:blipFill>
                    <a:blip r:embed="rId18"/>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6.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electron affinity. PCE is highest at χ = 3.9 eV due to optimal band alignment with TiO</w:t>
      </w:r>
      <w:r>
        <w:rPr>
          <w:rFonts w:ascii="Times New Roman" w:hAnsi="Times New Roman"/>
          <w:b w:val="0"/>
          <w:i/>
          <w:sz w:val="20"/>
          <w:vertAlign w:val="subscript"/>
        </w:rPr>
        <w:t>2</w:t>
      </w:r>
      <w:r>
        <w:rPr>
          <w:rFonts w:ascii="Times New Roman" w:hAnsi="Times New Roman"/>
          <w:b w:val="0"/>
          <w:i/>
          <w:sz w:val="20"/>
        </w:rPr>
        <w:t>.</w:t>
      </w:r>
    </w:p>
    <w:p>
      <w:pPr>
        <w:pStyle w:val="Heading2"/>
        <w:keepNext/>
        <w:spacing w:before="120" w:after="40" w:line="360" w:lineRule="auto"/>
      </w:pPr>
      <w:r>
        <w:rPr>
          <w:rFonts w:ascii="Times New Roman" w:hAnsi="Times New Roman"/>
          <w:b/>
          <w:i/>
          <w:sz w:val="24"/>
        </w:rPr>
        <w:t>F. Effect of TiO</w:t>
      </w:r>
      <w:r>
        <w:rPr>
          <w:rFonts w:ascii="Times New Roman" w:hAnsi="Times New Roman"/>
          <w:b/>
          <w:i/>
          <w:sz w:val="24"/>
          <w:vertAlign w:val="subscript"/>
        </w:rPr>
        <w:t>2</w:t>
      </w:r>
      <w:r>
        <w:rPr>
          <w:rFonts w:ascii="Times New Roman" w:hAnsi="Times New Roman"/>
          <w:b/>
          <w:i/>
          <w:sz w:val="24"/>
        </w:rPr>
        <w:t>/RbGeI</w:t>
      </w:r>
      <w:r>
        <w:rPr>
          <w:rFonts w:ascii="Times New Roman" w:hAnsi="Times New Roman"/>
          <w:b/>
          <w:i/>
          <w:sz w:val="24"/>
          <w:vertAlign w:val="subscript"/>
        </w:rPr>
        <w:t>3</w:t>
      </w:r>
      <w:r>
        <w:rPr>
          <w:rFonts w:ascii="Times New Roman" w:hAnsi="Times New Roman"/>
          <w:b/>
          <w:i/>
          <w:sz w:val="24"/>
        </w:rPr>
        <w:t xml:space="preserve"> interfacial defect density</w:t>
      </w:r>
    </w:p>
    <w:p>
      <w:pPr>
        <w:spacing w:line="360" w:lineRule="auto" w:before="120" w:after="120"/>
        <w:ind w:firstLine="283"/>
        <w:jc w:val="both"/>
      </w:pPr>
      <w:r>
        <w:rPr>
          <w:rFonts w:ascii="Times New Roman" w:hAnsi="Times New Roman"/>
          <w:b w:val="0"/>
          <w:i w:val="0"/>
          <w:sz w:val="24"/>
        </w:rPr>
        <w:t xml:space="preserve">The TiO</w:t>
      </w:r>
      <w:r>
        <w:rPr>
          <w:rFonts w:ascii="Times New Roman" w:hAnsi="Times New Roman"/>
          <w:b w:val="0"/>
          <w:i w:val="0"/>
          <w:sz w:val="24"/>
          <w:vertAlign w:val="subscript"/>
        </w:rPr>
        <w:t xml:space="preserve">2</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interface is where performance is won or lost. Varying its defect density from 10¹² to 10¹⁸ cm⁻², with everything else fixed, sends the device off a cliff: PCE drops from 21.04% to 8.40%, V</w:t>
      </w:r>
      <w:r>
        <w:rPr>
          <w:rFonts w:ascii="Times New Roman" w:hAnsi="Times New Roman"/>
          <w:b w:val="0"/>
          <w:i w:val="0"/>
          <w:sz w:val="24"/>
          <w:vertAlign w:val="subscript"/>
        </w:rPr>
        <w:t xml:space="preserve">OC</w:t>
      </w:r>
      <w:r>
        <w:rPr>
          <w:rFonts w:ascii="Times New Roman" w:hAnsi="Times New Roman"/>
          <w:b w:val="0"/>
          <w:i w:val="0"/>
          <w:sz w:val="24"/>
        </w:rPr>
        <w:t xml:space="preserve"> from 0.827 to 0.439 V, J</w:t>
      </w:r>
      <w:r>
        <w:rPr>
          <w:rFonts w:ascii="Times New Roman" w:hAnsi="Times New Roman"/>
          <w:b w:val="0"/>
          <w:i w:val="0"/>
          <w:sz w:val="24"/>
          <w:vertAlign w:val="subscript"/>
        </w:rPr>
        <w:t xml:space="preserve">SC</w:t>
      </w:r>
      <w:r>
        <w:rPr>
          <w:rFonts w:ascii="Times New Roman" w:hAnsi="Times New Roman"/>
          <w:b w:val="0"/>
          <w:i w:val="0"/>
          <w:sz w:val="24"/>
        </w:rPr>
        <w:t xml:space="preserve"> from 30.46 to 28.09 mA/cm², and FF from 83.52% to 68.11% (Figure 7).</w:t>
      </w:r>
    </w:p>
    <w:p>
      <w:pPr>
        <w:spacing w:line="360" w:lineRule="auto" w:before="120" w:after="120"/>
        <w:ind w:firstLine="283"/>
        <w:jc w:val="both"/>
      </w:pPr>
      <w:r>
        <w:rPr>
          <w:rFonts w:ascii="Times New Roman" w:hAnsi="Times New Roman"/>
          <w:b w:val="0"/>
          <w:i w:val="0"/>
          <w:sz w:val="24"/>
        </w:rPr>
        <w:t xml:space="preserve">More states at the TiO</w:t>
      </w:r>
      <w:r>
        <w:rPr>
          <w:rFonts w:ascii="Times New Roman" w:hAnsi="Times New Roman"/>
          <w:b w:val="0"/>
          <w:i w:val="0"/>
          <w:sz w:val="24"/>
          <w:vertAlign w:val="subscript"/>
        </w:rPr>
        <w:t xml:space="preserve">2</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junction mean more carriers captured before they reach the electrodes; V</w:t>
      </w:r>
      <w:r>
        <w:rPr>
          <w:rFonts w:ascii="Times New Roman" w:hAnsi="Times New Roman"/>
          <w:b w:val="0"/>
          <w:i w:val="0"/>
          <w:sz w:val="24"/>
          <w:vertAlign w:val="subscript"/>
        </w:rPr>
        <w:t xml:space="preserve">OC</w:t>
      </w:r>
      <w:r>
        <w:rPr>
          <w:rFonts w:ascii="Times New Roman" w:hAnsi="Times New Roman"/>
          <w:b w:val="0"/>
          <w:i w:val="0"/>
          <w:sz w:val="24"/>
        </w:rPr>
        <w:t xml:space="preserve">, J</w:t>
      </w:r>
      <w:r>
        <w:rPr>
          <w:rFonts w:ascii="Times New Roman" w:hAnsi="Times New Roman"/>
          <w:b w:val="0"/>
          <w:i w:val="0"/>
          <w:sz w:val="24"/>
          <w:vertAlign w:val="subscript"/>
        </w:rPr>
        <w:t xml:space="preserve">SC</w:t>
      </w:r>
      <w:r>
        <w:rPr>
          <w:rFonts w:ascii="Times New Roman" w:hAnsi="Times New Roman"/>
          <w:b w:val="0"/>
          <w:i w:val="0"/>
          <w:sz w:val="24"/>
        </w:rPr>
        <w:t xml:space="preserve">, and FF fall together. Best performance comes at the unphysical 10¹² cm⁻² floor, but the final device targets 10¹⁴ cm⁻², a density a real film can hit and keep: Ge²⁺ oxidation and moisture sensitivity during preparation make anything below that hard to hold consistently. The figure also matches the bulk density chosen in Section V.C and the value comparable SCAPS studies of lead-free perovskites assume.</w:t>
      </w:r>
    </w:p>
    <w:p>
      <w:pPr>
        <w:keepNext/>
        <w:keepLines/>
        <w:spacing w:before="120" w:after="40"/>
        <w:jc w:val="center"/>
      </w:pPr>
      <w:r>
        <w:drawing>
          <wp:inline xmlns:a="http://schemas.openxmlformats.org/drawingml/2006/main" xmlns:pic="http://schemas.openxmlformats.org/drawingml/2006/picture">
            <wp:extent cx="4680000" cy="2861994"/>
            <wp:docPr id="9" name="Picture 9"/>
            <wp:cNvGraphicFramePr>
              <a:graphicFrameLocks noChangeAspect="1"/>
            </wp:cNvGraphicFramePr>
            <a:graphic>
              <a:graphicData uri="http://schemas.openxmlformats.org/drawingml/2006/picture">
                <pic:pic>
                  <pic:nvPicPr>
                    <pic:cNvPr id="0" name="fig9_tio2_interface.png"/>
                    <pic:cNvPicPr/>
                  </pic:nvPicPr>
                  <pic:blipFill>
                    <a:blip r:embed="rId19"/>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 xml:space="preserve">Fig. 7. Variation of PCE, </w:t>
      </w:r>
      <w:r>
        <w:rPr>
          <w:rFonts w:ascii="Times New Roman" w:hAnsi="Times New Roman"/>
          <w:b w:val="0"/>
          <w:i/>
          <w:sz w:val="20"/>
        </w:rPr>
        <w:t xml:space="preserve">V</w:t>
      </w:r>
      <w:r>
        <w:rPr>
          <w:rFonts w:ascii="Times New Roman" w:hAnsi="Times New Roman"/>
          <w:b w:val="0"/>
          <w:i/>
          <w:sz w:val="20"/>
          <w:vertAlign w:val="subscript"/>
        </w:rPr>
        <w:t xml:space="preserve">OC</w:t>
      </w:r>
      <w:r>
        <w:rPr>
          <w:rFonts w:ascii="Times New Roman" w:hAnsi="Times New Roman"/>
          <w:b w:val="0"/>
          <w:i/>
          <w:sz w:val="20"/>
        </w:rPr>
        <w:t xml:space="preserve">, </w:t>
      </w:r>
      <w:r>
        <w:rPr>
          <w:rFonts w:ascii="Times New Roman" w:hAnsi="Times New Roman"/>
          <w:b w:val="0"/>
          <w:i/>
          <w:sz w:val="20"/>
        </w:rPr>
        <w:t xml:space="preserve">J</w:t>
      </w:r>
      <w:r>
        <w:rPr>
          <w:rFonts w:ascii="Times New Roman" w:hAnsi="Times New Roman"/>
          <w:b w:val="0"/>
          <w:i/>
          <w:sz w:val="20"/>
          <w:vertAlign w:val="subscript"/>
        </w:rPr>
        <w:t xml:space="preserve">SC</w:t>
      </w:r>
      <w:r>
        <w:rPr>
          <w:rFonts w:ascii="Times New Roman" w:hAnsi="Times New Roman"/>
          <w:b w:val="0"/>
          <w:i/>
          <w:sz w:val="20"/>
        </w:rPr>
        <w:t xml:space="preserve">, and FF with </w:t>
      </w:r>
      <w:r>
        <w:rPr>
          <w:rFonts w:ascii="Times New Roman" w:hAnsi="Times New Roman"/>
          <w:b w:val="0"/>
          <w:i/>
          <w:sz w:val="20"/>
        </w:rPr>
        <w:t xml:space="preserve">TiO</w:t>
      </w:r>
      <w:r>
        <w:rPr>
          <w:rFonts w:ascii="Times New Roman" w:hAnsi="Times New Roman"/>
          <w:b w:val="0"/>
          <w:i/>
          <w:sz w:val="20"/>
          <w:vertAlign w:val="subscript"/>
        </w:rPr>
        <w:t xml:space="preserve">2</w:t>
      </w:r>
      <w:r>
        <w:rPr>
          <w:rFonts w:ascii="Times New Roman" w:hAnsi="Times New Roman"/>
          <w:b w:val="0"/>
          <w:i/>
          <w:sz w:val="20"/>
        </w:rPr>
        <w:t xml:space="preserve">/</w:t>
      </w:r>
      <w:r>
        <w:rPr>
          <w:rFonts w:ascii="Times New Roman" w:hAnsi="Times New Roman"/>
          <w:b w:val="0"/>
          <w:i/>
          <w:sz w:val="20"/>
        </w:rPr>
        <w:t xml:space="preserve">RbGeI</w:t>
      </w:r>
      <w:r>
        <w:rPr>
          <w:rFonts w:ascii="Times New Roman" w:hAnsi="Times New Roman"/>
          <w:b w:val="0"/>
          <w:i/>
          <w:sz w:val="20"/>
          <w:vertAlign w:val="subscript"/>
        </w:rPr>
        <w:t xml:space="preserve">3</w:t>
      </w:r>
      <w:r>
        <w:rPr>
          <w:rFonts w:ascii="Times New Roman" w:hAnsi="Times New Roman"/>
          <w:b w:val="0"/>
          <w:i/>
          <w:sz w:val="20"/>
        </w:rPr>
        <w:t xml:space="preserve"> interfacial defect density. Performance degrades sharply above 10¹⁴ cm⁻²; the </w:t>
      </w:r>
      <w:r>
        <w:rPr>
          <w:rFonts w:ascii="Times New Roman" w:hAnsi="Times New Roman"/>
          <w:b w:val="0"/>
          <w:i/>
          <w:sz w:val="20"/>
        </w:rPr>
        <w:t xml:space="preserve">RbGeI</w:t>
      </w:r>
      <w:r>
        <w:rPr>
          <w:rFonts w:ascii="Times New Roman" w:hAnsi="Times New Roman"/>
          <w:b w:val="0"/>
          <w:i/>
          <w:sz w:val="20"/>
          <w:vertAlign w:val="subscript"/>
        </w:rPr>
        <w:t xml:space="preserve">3</w:t>
      </w:r>
      <w:r>
        <w:rPr>
          <w:rFonts w:ascii="Times New Roman" w:hAnsi="Times New Roman"/>
          <w:b w:val="0"/>
          <w:i/>
          <w:sz w:val="20"/>
        </w:rPr>
        <w:t xml:space="preserve">/CuI interface (Section V.G) is markedly more defect-tolerant.</w:t>
      </w:r>
    </w:p>
    <w:p>
      <w:pPr>
        <w:pStyle w:val="Heading2"/>
        <w:keepNext/>
        <w:spacing w:before="120" w:after="40" w:line="360" w:lineRule="auto"/>
      </w:pPr>
      <w:r>
        <w:rPr>
          <w:rFonts w:ascii="Times New Roman" w:hAnsi="Times New Roman"/>
          <w:b/>
          <w:i/>
          <w:sz w:val="24"/>
        </w:rPr>
        <w:t>G. Effect of RbGeI</w:t>
      </w:r>
      <w:r>
        <w:rPr>
          <w:rFonts w:ascii="Times New Roman" w:hAnsi="Times New Roman"/>
          <w:b/>
          <w:i/>
          <w:sz w:val="24"/>
          <w:vertAlign w:val="subscript"/>
        </w:rPr>
        <w:t>3</w:t>
      </w:r>
      <w:r>
        <w:rPr>
          <w:rFonts w:ascii="Times New Roman" w:hAnsi="Times New Roman"/>
          <w:b/>
          <w:i/>
          <w:sz w:val="24"/>
        </w:rPr>
        <w:t>/CuI interfacial defect density</w:t>
      </w:r>
    </w:p>
    <w:p>
      <w:pPr>
        <w:spacing w:line="360" w:lineRule="auto" w:before="120" w:after="120"/>
        <w:ind w:firstLine="283"/>
        <w:jc w:val="both"/>
      </w:pPr>
      <w:r>
        <w:rPr>
          <w:rFonts w:ascii="Times New Roman" w:hAnsi="Times New Roman"/>
          <w:b w:val="0"/>
          <w:i w:val="0"/>
          <w:sz w:val="24"/>
        </w:rPr>
        <w:t xml:space="preserve">The RbGeI</w:t>
      </w:r>
      <w:r>
        <w:rPr>
          <w:rFonts w:ascii="Times New Roman" w:hAnsi="Times New Roman"/>
          <w:b w:val="0"/>
          <w:i w:val="0"/>
          <w:sz w:val="24"/>
          <w:vertAlign w:val="subscript"/>
        </w:rPr>
        <w:t xml:space="preserve">3</w:t>
      </w:r>
      <w:r>
        <w:rPr>
          <w:rFonts w:ascii="Times New Roman" w:hAnsi="Times New Roman"/>
          <w:b w:val="0"/>
          <w:i w:val="0"/>
          <w:sz w:val="24"/>
        </w:rPr>
        <w:t xml:space="preserve">/CuI junction is far more tolerant: PCE moves only from 19.79% to 18.19% across the same 10¹² to 10¹⁸ cm⁻² range. That contrast pins the performance limit on the TiO</w:t>
      </w:r>
      <w:r>
        <w:rPr>
          <w:rFonts w:ascii="Times New Roman" w:hAnsi="Times New Roman"/>
          <w:b w:val="0"/>
          <w:i w:val="0"/>
          <w:sz w:val="24"/>
          <w:vertAlign w:val="subscript"/>
        </w:rPr>
        <w:t xml:space="preserve">2</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interface. The final device still adopts 10¹⁴ cm⁻² here to match the electron side (Section V.F); the modest penalty is the price of internal consistency.</w:t>
      </w:r>
    </w:p>
    <w:p>
      <w:pPr>
        <w:keepNext/>
        <w:keepLines/>
        <w:jc w:val="center"/>
      </w:pPr>
      <w:r/>
      <w:r>
        <w:drawing>
          <wp:inline xmlns:a="http://schemas.openxmlformats.org/drawingml/2006/main" xmlns:pic="http://schemas.openxmlformats.org/drawingml/2006/picture">
            <wp:extent cx="4457700" cy="2725141"/>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57700" cy="2940562"/>
                    </a:xfrm>
                    <a:prstGeom prst="rect"/>
                  </pic:spPr>
                </pic:pic>
              </a:graphicData>
            </a:graphic>
          </wp:inline>
        </w:drawing>
      </w:r>
    </w:p>
    <w:p>
      <w:pPr>
        <w:jc w:val="center"/>
      </w:pPr>
      <w:r>
        <w:rPr>
          <w:sz w:val="20"/>
        </w:rPr>
        <w:t>Fig. 8. Variation of PCE, V</w:t>
      </w:r>
      <w:r>
        <w:rPr>
          <w:sz w:val="20"/>
          <w:vertAlign w:val="subscript"/>
        </w:rPr>
        <w:t>OC</w:t>
      </w:r>
      <w:r>
        <w:rPr>
          <w:sz w:val="20"/>
        </w:rPr>
        <w:t>, J</w:t>
      </w:r>
      <w:r>
        <w:rPr>
          <w:sz w:val="20"/>
          <w:vertAlign w:val="subscript"/>
        </w:rPr>
        <w:t>SC</w:t>
      </w:r>
      <w:r>
        <w:rPr>
          <w:sz w:val="20"/>
        </w:rPr>
        <w:t>, and FF with RbGeI</w:t>
      </w:r>
      <w:r>
        <w:rPr>
          <w:sz w:val="20"/>
          <w:vertAlign w:val="subscript"/>
        </w:rPr>
        <w:t>3</w:t>
      </w:r>
      <w:r>
        <w:rPr>
          <w:sz w:val="20"/>
        </w:rPr>
        <w:t>/CuI interfacial defect density. The interface is markedly more defect-tolerant than the TiO</w:t>
      </w:r>
      <w:r>
        <w:rPr>
          <w:sz w:val="20"/>
          <w:vertAlign w:val="subscript"/>
        </w:rPr>
        <w:t>2</w:t>
      </w:r>
      <w:r>
        <w:rPr>
          <w:sz w:val="20"/>
        </w:rPr>
        <w:t>/RbGeI</w:t>
      </w:r>
      <w:r>
        <w:rPr>
          <w:sz w:val="20"/>
          <w:vertAlign w:val="subscript"/>
        </w:rPr>
        <w:t>3</w:t>
      </w:r>
      <w:r>
        <w:rPr>
          <w:sz w:val="20"/>
        </w:rPr>
        <w:t xml:space="preserve"> interface; 10¹⁴ cm⁻² is used here too.</w:t>
      </w:r>
    </w:p>
    <w:p>
      <w:pPr>
        <w:pStyle w:val="Heading2"/>
        <w:keepNext/>
        <w:spacing w:before="120" w:after="40" w:line="360" w:lineRule="auto"/>
      </w:pPr>
      <w:r>
        <w:rPr>
          <w:rFonts w:ascii="Times New Roman" w:hAnsi="Times New Roman" w:cs="Times New Roman"/>
          <w:b/>
          <w:i/>
          <w:sz w:val="24"/>
        </w:rPr>
        <w:t>H. Effect of absorber bandgap</w:t>
      </w:r>
    </w:p>
    <w:p>
      <w:pPr>
        <w:spacing w:line="360" w:lineRule="auto" w:before="120" w:after="120"/>
        <w:ind w:firstLine="283"/>
        <w:jc w:val="both"/>
      </w:pPr>
      <w:r>
        <w:rPr>
          <w:rFonts w:ascii="Times New Roman" w:hAnsi="Times New Roman"/>
          <w:b w:val="0"/>
          <w:i w:val="0"/>
          <w:sz w:val="24"/>
        </w:rPr>
        <w:t xml:space="preserve">The bandgap picks which wavelengths the cell can use. Moving it from 1.3 to 1.7 eV, all else constant, raises V</w:t>
      </w:r>
      <w:r>
        <w:rPr>
          <w:rFonts w:ascii="Times New Roman" w:hAnsi="Times New Roman"/>
          <w:b w:val="0"/>
          <w:i w:val="0"/>
          <w:sz w:val="24"/>
          <w:vertAlign w:val="subscript"/>
        </w:rPr>
        <w:t xml:space="preserve">oc</w:t>
      </w:r>
      <w:r>
        <w:rPr>
          <w:rFonts w:ascii="Times New Roman" w:hAnsi="Times New Roman"/>
          <w:b w:val="0"/>
          <w:i w:val="0"/>
          <w:sz w:val="24"/>
        </w:rPr>
        <w:t xml:space="preserve"> from 0.840 V to 1.002 V as expected from larger quasi-Fermi-level splitting, while J</w:t>
      </w:r>
      <w:r>
        <w:rPr>
          <w:rFonts w:ascii="Times New Roman" w:hAnsi="Times New Roman"/>
          <w:b w:val="0"/>
          <w:i w:val="0"/>
          <w:sz w:val="24"/>
          <w:vertAlign w:val="subscript"/>
        </w:rPr>
        <w:t xml:space="preserve">sc</w:t>
      </w:r>
      <w:r>
        <w:rPr>
          <w:rFonts w:ascii="Times New Roman" w:hAnsi="Times New Roman"/>
          <w:b w:val="0"/>
          <w:i w:val="0"/>
          <w:sz w:val="24"/>
        </w:rPr>
        <w:t xml:space="preserve"> falls from 33.59 to 20.30 mA/cm² because a wider gap throws away more of the spectrum.</w:t>
      </w:r>
    </w:p>
    <w:p>
      <w:pPr>
        <w:spacing w:line="360" w:lineRule="auto" w:before="120" w:after="120"/>
        <w:ind w:firstLine="283"/>
        <w:jc w:val="both"/>
      </w:pPr>
      <w:r>
        <w:t xml:space="preserve">The maximum thus sits at 1.4 eV, within 0.06 eV of the Shockley–Queisser (SQ) optimum of ≈1.34 eV for a single junction [35,36,37], so the absorber runs at 1.4 eV; tabulated SQ limits imply an ideal </w:t>
      </w:r>
      <w:r>
        <w:t>J</w:t>
      </w:r>
      <w:r>
        <w:rPr>
          <w:vertAlign w:val="subscript"/>
        </w:rPr>
        <w:t>SC</w:t>
      </w:r>
      <w:r>
        <w:t xml:space="preserve"> of ≈33 mA/cm² and a maximum efficiency of ≈33% at this bandgap [36]. On both sides of the SQ optimum the limiting efficiency declines, steeply for wider bandgaps because fewer photons are absorbed [36,37]: a 2.0 eV absorber would shift its absorption edge to λc ≈ 620 nm and exclude most of the visible spectrum, and our sweep already shows </w:t>
      </w:r>
      <w:r>
        <w:t>J</w:t>
      </w:r>
      <w:r>
        <w:rPr>
          <w:vertAlign w:val="subscript"/>
        </w:rPr>
        <w:t>SC</w:t>
      </w:r>
      <w:r>
        <w:t xml:space="preserve"> falling to 20.30 mA/cm² at 1.7 eV, whereas at 1.3 eV the higher </w:t>
      </w:r>
      <w:r>
        <w:t>J</w:t>
      </w:r>
      <w:r>
        <w:rPr>
          <w:vertAlign w:val="subscript"/>
        </w:rPr>
        <w:t>SC</w:t>
      </w:r>
      <w:r>
        <w:t xml:space="preserve"> (33.59 mA/cm²) does not offset the </w:t>
      </w:r>
      <w:r>
        <w:t>V</w:t>
      </w:r>
      <w:r>
        <w:rPr>
          <w:vertAlign w:val="subscript"/>
        </w:rPr>
        <w:t>OC</w:t>
      </w:r>
      <w:r>
        <w:t xml:space="preserve"> loss (0.840 V). The corresponding cutoff wavelength is λc = 1240 / 1.4 ≈ 886 nm, consistent with the absorption edge observed in the quantum-efficiency spectrum of Section V.M. A targeted re-simulation varying only the absorption-grading endpoints (graded 885.7–1033.3 nm versus flat 885.7–885.7 nm, all else fixed) changes </w:t>
      </w:r>
      <w:r>
        <w:t>J</w:t>
      </w:r>
      <w:r>
        <w:rPr>
          <w:vertAlign w:val="subscript"/>
        </w:rPr>
        <w:t>SC</w:t>
      </w:r>
      <w:r>
        <w:t xml:space="preserve"> by 0.00 mA/cm², and the consolidated </w:t>
      </w:r>
      <w:r>
        <w:t>J</w:t>
      </w:r>
      <w:r>
        <w:rPr>
          <w:vertAlign w:val="subscript"/>
        </w:rPr>
        <w:t>SC</w:t>
      </w:r>
      <w:r>
        <w:t xml:space="preserve"> of 30.32 mA/cm² lies below the SQ limit of ≈33 mA/cm² at 1.4 eV, so the headline result is admissible with uniform square-root-law absorption at the electrical bandgap; the 26.81% device is therefore reported as an ideal-coupling upper bound, with a quantified realistic window given in Sections V.P and VII.A.</w:t>
      </w:r>
    </w:p>
    <w:p>
      <w:pPr>
        <w:keepNext/>
        <w:keepLines/>
        <w:spacing w:before="120" w:after="40"/>
        <w:jc w:val="center"/>
      </w:pPr>
      <w:r>
        <w:drawing>
          <wp:inline xmlns:a="http://schemas.openxmlformats.org/drawingml/2006/main" xmlns:pic="http://schemas.openxmlformats.org/drawingml/2006/picture">
            <wp:extent cx="4680000" cy="3087205"/>
            <wp:docPr id="11" name="Picture 11"/>
            <wp:cNvGraphicFramePr>
              <a:graphicFrameLocks noChangeAspect="1"/>
            </wp:cNvGraphicFramePr>
            <a:graphic>
              <a:graphicData uri="http://schemas.openxmlformats.org/drawingml/2006/picture">
                <pic:pic>
                  <pic:nvPicPr>
                    <pic:cNvPr id="0" name="fig11_bandgap.png"/>
                    <pic:cNvPicPr/>
                  </pic:nvPicPr>
                  <pic:blipFill>
                    <a:blip r:embed="rId21"/>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9.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bandgap. PCE peaks at 1.4 eV, close to the Shockley–Queisser optimum.</w:t>
      </w:r>
    </w:p>
    <w:p>
      <w:pPr>
        <w:pStyle w:val="Heading2"/>
        <w:keepNext/>
        <w:spacing w:before="120" w:after="40" w:line="360" w:lineRule="auto"/>
      </w:pPr>
      <w:r>
        <w:rPr>
          <w:rFonts w:ascii="Times New Roman" w:hAnsi="Times New Roman"/>
          <w:b/>
          <w:i/>
          <w:sz w:val="24"/>
        </w:rPr>
        <w:t>I. Effect of TiO</w:t>
      </w:r>
      <w:r>
        <w:rPr>
          <w:rFonts w:ascii="Times New Roman" w:hAnsi="Times New Roman"/>
          <w:b/>
          <w:i/>
          <w:sz w:val="24"/>
          <w:vertAlign w:val="subscript"/>
        </w:rPr>
        <w:t>2</w:t>
      </w:r>
      <w:r>
        <w:rPr>
          <w:rFonts w:ascii="Times New Roman" w:hAnsi="Times New Roman"/>
          <w:b/>
          <w:i/>
          <w:sz w:val="24"/>
        </w:rPr>
        <w:t xml:space="preserve"> ETL thickness</w:t>
      </w:r>
    </w:p>
    <w:p>
      <w:pPr>
        <w:spacing w:line="360" w:lineRule="auto" w:before="120" w:after="120"/>
        <w:ind w:firstLine="283"/>
        <w:jc w:val="both"/>
      </w:pPr>
      <w:r>
        <w:rPr>
          <w:rFonts w:ascii="Times New Roman" w:hAnsi="Times New Roman"/>
          <w:b w:val="0"/>
          <w:i w:val="0"/>
          <w:sz w:val="24"/>
        </w:rPr>
        <w:t xml:space="preserve">Thickness of the TiO</w:t>
      </w:r>
      <w:r>
        <w:rPr>
          <w:rFonts w:ascii="Times New Roman" w:hAnsi="Times New Roman"/>
          <w:b w:val="0"/>
          <w:i w:val="0"/>
          <w:sz w:val="24"/>
          <w:vertAlign w:val="subscript"/>
        </w:rPr>
        <w:t xml:space="preserve">2</w:t>
      </w:r>
      <w:r>
        <w:rPr>
          <w:rFonts w:ascii="Times New Roman" w:hAnsi="Times New Roman"/>
          <w:b w:val="0"/>
          <w:i w:val="0"/>
          <w:sz w:val="24"/>
        </w:rPr>
        <w:t xml:space="preserve"> ETL cuts across electron extraction, transport, and optical transmission at once. Sweeping it from 0.01 to 0.09 µm, all else fixed, gives the best PCE at the thinnest layers: 21.12% at 10 nm, a local low of 18.72% at 0.04 µm, and a partial recovery to 19.97% at 0.09 µm. Planar SCAPS studies stick to thin (≤50 nm) ETLs for the same reason we do: thicker ones add series resistance and soak up photons.</w:t>
      </w:r>
    </w:p>
    <w:p>
      <w:pPr>
        <w:keepNext/>
        <w:keepLines/>
        <w:spacing w:before="120" w:after="40"/>
        <w:jc w:val="center"/>
      </w:pPr>
      <w:r>
        <w:drawing>
          <wp:inline xmlns:a="http://schemas.openxmlformats.org/drawingml/2006/main" xmlns:pic="http://schemas.openxmlformats.org/drawingml/2006/picture">
            <wp:extent cx="4680000" cy="2861040"/>
            <wp:docPr id="12" name="Picture 12"/>
            <wp:cNvGraphicFramePr>
              <a:graphicFrameLocks noChangeAspect="1"/>
            </wp:cNvGraphicFramePr>
            <a:graphic>
              <a:graphicData uri="http://schemas.openxmlformats.org/drawingml/2006/picture">
                <pic:pic>
                  <pic:nvPicPr>
                    <pic:cNvPr id="0" name="fig12_etl_thickness.png"/>
                    <pic:cNvPicPr/>
                  </pic:nvPicPr>
                  <pic:blipFill>
                    <a:blip r:embed="rId22"/>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10.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TiO</w:t>
      </w:r>
      <w:r>
        <w:rPr>
          <w:rFonts w:ascii="Times New Roman" w:hAnsi="Times New Roman"/>
          <w:b w:val="0"/>
          <w:i/>
          <w:sz w:val="20"/>
          <w:vertAlign w:val="subscript"/>
        </w:rPr>
        <w:t>2</w:t>
      </w:r>
      <w:r>
        <w:rPr>
          <w:rFonts w:ascii="Times New Roman" w:hAnsi="Times New Roman"/>
          <w:b w:val="0"/>
          <w:i/>
          <w:sz w:val="20"/>
        </w:rPr>
        <w:t xml:space="preserve"> ETL thickness. PCE is highest at the thinnest ETL (10 nm), reflecting the shorter electron transport path.</w:t>
      </w:r>
    </w:p>
    <w:p>
      <w:pPr>
        <w:pStyle w:val="Heading2"/>
        <w:keepNext/>
        <w:spacing w:before="120" w:after="40" w:line="360" w:lineRule="auto"/>
      </w:pPr>
      <w:r>
        <w:rPr>
          <w:rFonts w:ascii="Times New Roman" w:hAnsi="Times New Roman" w:cs="Times New Roman"/>
          <w:b/>
          <w:i/>
          <w:sz w:val="24"/>
        </w:rPr>
        <w:t>J. Effect of CuI HTL thickness</w:t>
      </w:r>
    </w:p>
    <w:p>
      <w:pPr>
        <w:spacing w:line="360" w:lineRule="auto" w:before="120" w:after="120"/>
        <w:ind w:firstLine="283"/>
        <w:jc w:val="both"/>
      </w:pPr>
      <w:r>
        <w:rPr>
          <w:rFonts w:ascii="Times New Roman" w:hAnsi="Times New Roman"/>
          <w:b w:val="0"/>
          <w:i w:val="0"/>
          <w:sz w:val="24"/>
        </w:rPr>
        <w:t xml:space="preserve">CuI thickness, swept from 0.1 to 1.9 µm, moves PCE by less than 0.002 percentage points; V</w:t>
      </w:r>
      <w:r>
        <w:rPr>
          <w:rFonts w:ascii="Times New Roman" w:hAnsi="Times New Roman"/>
          <w:b w:val="0"/>
          <w:i w:val="0"/>
          <w:sz w:val="24"/>
          <w:vertAlign w:val="subscript"/>
        </w:rPr>
        <w:t xml:space="preserve">OC</w:t>
      </w:r>
      <w:r>
        <w:rPr>
          <w:rFonts w:ascii="Times New Roman" w:hAnsi="Times New Roman"/>
          <w:b w:val="0"/>
          <w:i w:val="0"/>
          <w:sz w:val="24"/>
        </w:rPr>
        <w:t xml:space="preserve">, J</w:t>
      </w:r>
      <w:r>
        <w:rPr>
          <w:rFonts w:ascii="Times New Roman" w:hAnsi="Times New Roman"/>
          <w:b w:val="0"/>
          <w:i w:val="0"/>
          <w:sz w:val="24"/>
          <w:vertAlign w:val="subscript"/>
        </w:rPr>
        <w:t xml:space="preserve">SC</w:t>
      </w:r>
      <w:r>
        <w:rPr>
          <w:rFonts w:ascii="Times New Roman" w:hAnsi="Times New Roman"/>
          <w:b w:val="0"/>
          <w:i w:val="0"/>
          <w:sz w:val="24"/>
        </w:rPr>
        <w:t xml:space="preserve">, and FF stay essentially constant. That flatness lets us pick 100 nm purely to minimize material use. It sits at the low end of the 0.1–1.0 µm range comparable studies explored, which also reported a weak dependence.</w:t>
      </w:r>
    </w:p>
    <w:p>
      <w:pPr>
        <w:keepNext/>
        <w:keepLines/>
        <w:jc w:val="center"/>
      </w:pPr>
      <w:r/>
      <w:r>
        <w:drawing>
          <wp:inline xmlns:a="http://schemas.openxmlformats.org/drawingml/2006/main" xmlns:pic="http://schemas.openxmlformats.org/drawingml/2006/picture">
            <wp:extent cx="4457700" cy="2725141"/>
            <wp:docPr id="20" name="Picture 2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457700" cy="2940562"/>
                    </a:xfrm>
                    <a:prstGeom prst="rect"/>
                  </pic:spPr>
                </pic:pic>
              </a:graphicData>
            </a:graphic>
          </wp:inline>
        </w:drawing>
      </w:r>
    </w:p>
    <w:p>
      <w:pPr>
        <w:jc w:val="center"/>
      </w:pPr>
      <w:r>
        <w:rPr>
          <w:sz w:val="20"/>
        </w:rPr>
        <w:t>Fig. 11. Variation of PCE, V</w:t>
      </w:r>
      <w:r>
        <w:rPr>
          <w:sz w:val="20"/>
          <w:vertAlign w:val="subscript"/>
        </w:rPr>
        <w:t>OC</w:t>
      </w:r>
      <w:r>
        <w:rPr>
          <w:sz w:val="20"/>
        </w:rPr>
        <w:t>, J</w:t>
      </w:r>
      <w:r>
        <w:rPr>
          <w:sz w:val="20"/>
          <w:vertAlign w:val="subscript"/>
        </w:rPr>
        <w:t>SC</w:t>
      </w:r>
      <w:r>
        <w:rPr>
          <w:sz w:val="20"/>
        </w:rPr>
        <w:t>, and FF with CuI HTL thickness. The performance is essentially independent of HTL thickness; 100 nm minimizes material usage.</w:t>
      </w:r>
    </w:p>
    <w:p>
      <w:pPr>
        <w:pStyle w:val="Heading2"/>
        <w:keepNext/>
        <w:spacing w:before="120" w:after="40" w:line="360" w:lineRule="auto"/>
      </w:pPr>
      <w:r>
        <w:rPr>
          <w:rFonts w:ascii="Times New Roman" w:hAnsi="Times New Roman"/>
          <w:b/>
          <w:i/>
          <w:sz w:val="24"/>
        </w:rPr>
        <w:t>K. Effect of conduction-band effective density of states N</w:t>
      </w:r>
      <w:r>
        <w:rPr>
          <w:rFonts w:ascii="Times New Roman" w:hAnsi="Times New Roman"/>
          <w:b/>
          <w:i/>
          <w:sz w:val="24"/>
          <w:vertAlign w:val="subscript"/>
        </w:rPr>
        <w:t>C</w:t>
      </w:r>
    </w:p>
    <w:p>
      <w:pPr>
        <w:spacing w:line="360" w:lineRule="auto" w:before="120" w:after="120"/>
        <w:ind w:firstLine="283"/>
        <w:jc w:val="both"/>
      </w:pPr>
      <w:r>
        <w:rPr>
          <w:rFonts w:ascii="Times New Roman" w:hAnsi="Times New Roman"/>
          <w:b w:val="0"/>
          <w:i w:val="0"/>
          <w:sz w:val="24"/>
        </w:rPr>
        <w:t xml:space="preserve">Raising NC from 1×10¹⁷ to 1×10²⁰ cm⁻³ pushes PCE monotonically down from 20.65% to 18.15%; V</w:t>
      </w:r>
      <w:r>
        <w:rPr>
          <w:rFonts w:ascii="Times New Roman" w:hAnsi="Times New Roman"/>
          <w:b w:val="0"/>
          <w:i w:val="0"/>
          <w:sz w:val="24"/>
          <w:vertAlign w:val="subscript"/>
        </w:rPr>
        <w:t xml:space="preserve">OC</w:t>
      </w:r>
      <w:r>
        <w:rPr>
          <w:rFonts w:ascii="Times New Roman" w:hAnsi="Times New Roman"/>
          <w:b w:val="0"/>
          <w:i w:val="0"/>
          <w:sz w:val="24"/>
        </w:rPr>
        <w:t xml:space="preserve"> carries the loss (0.859 to 0.764 V) while J</w:t>
      </w:r>
      <w:r>
        <w:rPr>
          <w:rFonts w:ascii="Times New Roman" w:hAnsi="Times New Roman"/>
          <w:b w:val="0"/>
          <w:i w:val="0"/>
          <w:sz w:val="24"/>
          <w:vertAlign w:val="subscript"/>
        </w:rPr>
        <w:t xml:space="preserve">SC</w:t>
      </w:r>
      <w:r>
        <w:rPr>
          <w:rFonts w:ascii="Times New Roman" w:hAnsi="Times New Roman"/>
          <w:b w:val="0"/>
          <w:i w:val="0"/>
          <w:sz w:val="24"/>
        </w:rPr>
        <w:t xml:space="preserve"> barely stirs at ~30.46 mA/cm². A lower NC means a lower intrinsic carrier density and therefore a higher V</w:t>
      </w:r>
      <w:r>
        <w:rPr>
          <w:rFonts w:ascii="Times New Roman" w:hAnsi="Times New Roman"/>
          <w:b w:val="0"/>
          <w:i w:val="0"/>
          <w:sz w:val="24"/>
          <w:vertAlign w:val="subscript"/>
        </w:rPr>
        <w:t xml:space="preserve">OC</w:t>
      </w:r>
      <w:r>
        <w:rPr>
          <w:rFonts w:ascii="Times New Roman" w:hAnsi="Times New Roman"/>
          <w:b w:val="0"/>
          <w:i w:val="0"/>
          <w:sz w:val="24"/>
        </w:rPr>
        <w:t xml:space="preserve">, so the bottom of the sweep, 1×10¹⁷ cm⁻³, goes into the final device. SCAPS studies commonly assume ≈10¹⁸ cm⁻³ for lead-free absorbers; we find going lower helps.</w:t>
      </w:r>
    </w:p>
    <w:p>
      <w:pPr>
        <w:keepNext/>
        <w:keepLines/>
        <w:jc w:val="center"/>
      </w:pPr>
      <w:r/>
      <w:r>
        <w:drawing>
          <wp:inline xmlns:a="http://schemas.openxmlformats.org/drawingml/2006/main" xmlns:pic="http://schemas.openxmlformats.org/drawingml/2006/picture">
            <wp:extent cx="4457700" cy="2725141"/>
            <wp:docPr id="21" name="Picture 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457700" cy="2940562"/>
                    </a:xfrm>
                    <a:prstGeom prst="rect"/>
                  </pic:spPr>
                </pic:pic>
              </a:graphicData>
            </a:graphic>
          </wp:inline>
        </w:drawing>
      </w:r>
    </w:p>
    <w:p>
      <w:pPr>
        <w:jc w:val="center"/>
      </w:pPr>
      <w:r>
        <w:rPr>
          <w:sz w:val="20"/>
        </w:rPr>
        <w:t>Fig. 12. Variation of PCE, V</w:t>
      </w:r>
      <w:r>
        <w:rPr>
          <w:sz w:val="20"/>
          <w:vertAlign w:val="subscript"/>
        </w:rPr>
        <w:t>OC</w:t>
      </w:r>
      <w:r>
        <w:rPr>
          <w:sz w:val="20"/>
        </w:rPr>
        <w:t>, J</w:t>
      </w:r>
      <w:r>
        <w:rPr>
          <w:sz w:val="20"/>
          <w:vertAlign w:val="subscript"/>
        </w:rPr>
        <w:t>SC</w:t>
      </w:r>
      <w:r>
        <w:rPr>
          <w:sz w:val="20"/>
        </w:rPr>
        <w:t>, and FF with conduction-band effective density of states N</w:t>
      </w:r>
      <w:r>
        <w:rPr>
          <w:sz w:val="20"/>
          <w:vertAlign w:val="subscript"/>
        </w:rPr>
        <w:t>C</w:t>
      </w:r>
      <w:r>
        <w:rPr>
          <w:sz w:val="20"/>
        </w:rPr>
        <w:t>. Lower N</w:t>
      </w:r>
      <w:r>
        <w:rPr>
          <w:sz w:val="20"/>
          <w:vertAlign w:val="subscript"/>
        </w:rPr>
        <w:t>C</w:t>
      </w:r>
      <w:r>
        <w:rPr>
          <w:sz w:val="20"/>
        </w:rPr>
        <w:t xml:space="preserve"> is preferred; the best value is 10¹⁷ cm⁻³.</w:t>
      </w:r>
    </w:p>
    <w:p>
      <w:pPr>
        <w:pStyle w:val="Heading2"/>
        <w:keepNext/>
        <w:spacing w:before="120" w:after="40" w:line="360" w:lineRule="auto"/>
      </w:pPr>
      <w:r>
        <w:rPr>
          <w:rFonts w:ascii="Times New Roman" w:hAnsi="Times New Roman"/>
          <w:b/>
          <w:i/>
          <w:sz w:val="24"/>
        </w:rPr>
        <w:t>L. Effect of valence-band effective density of states N</w:t>
      </w:r>
      <w:r>
        <w:rPr>
          <w:rFonts w:ascii="Times New Roman" w:hAnsi="Times New Roman"/>
          <w:b/>
          <w:i/>
          <w:sz w:val="24"/>
          <w:vertAlign w:val="subscript"/>
        </w:rPr>
        <w:t>V</w:t>
      </w:r>
    </w:p>
    <w:p>
      <w:pPr>
        <w:spacing w:line="360" w:lineRule="auto" w:before="120" w:after="120"/>
        <w:ind w:firstLine="283"/>
        <w:jc w:val="both"/>
      </w:pPr>
      <w:r>
        <w:rPr>
          <w:rFonts w:ascii="Times New Roman" w:hAnsi="Times New Roman"/>
          <w:b w:val="0"/>
          <w:i w:val="0"/>
          <w:sz w:val="24"/>
        </w:rPr>
        <w:t xml:space="preserve">NV behaves like NC but hits harder. Across 1×10¹⁷ to 1×10²⁰ cm⁻³, PCE drops from 23.54% to 18.86% as V</w:t>
      </w:r>
      <w:r>
        <w:rPr>
          <w:rFonts w:ascii="Times New Roman" w:hAnsi="Times New Roman"/>
          <w:b w:val="0"/>
          <w:i w:val="0"/>
          <w:sz w:val="24"/>
          <w:vertAlign w:val="subscript"/>
        </w:rPr>
        <w:t xml:space="preserve">OC</w:t>
      </w:r>
      <w:r>
        <w:rPr>
          <w:rFonts w:ascii="Times New Roman" w:hAnsi="Times New Roman"/>
          <w:b w:val="0"/>
          <w:i w:val="0"/>
          <w:sz w:val="24"/>
        </w:rPr>
        <w:t xml:space="preserve"> slides from 0.945 to 0.780 V with J</w:t>
      </w:r>
      <w:r>
        <w:rPr>
          <w:rFonts w:ascii="Times New Roman" w:hAnsi="Times New Roman"/>
          <w:b w:val="0"/>
          <w:i w:val="0"/>
          <w:sz w:val="24"/>
          <w:vertAlign w:val="subscript"/>
        </w:rPr>
        <w:t xml:space="preserve">SC</w:t>
      </w:r>
      <w:r>
        <w:rPr>
          <w:rFonts w:ascii="Times New Roman" w:hAnsi="Times New Roman"/>
          <w:b w:val="0"/>
          <w:i w:val="0"/>
          <w:sz w:val="24"/>
        </w:rPr>
        <w:t xml:space="preserve"> flat. The smallest value wins again: NV = 1×10¹⁷ cm⁻³ is carried into the final set.</w:t>
      </w:r>
    </w:p>
    <w:p>
      <w:pPr>
        <w:keepNext/>
        <w:keepLines/>
        <w:jc w:val="center"/>
      </w:pPr>
      <w:r/>
      <w:r>
        <w:drawing>
          <wp:inline xmlns:a="http://schemas.openxmlformats.org/drawingml/2006/main" xmlns:pic="http://schemas.openxmlformats.org/drawingml/2006/picture">
            <wp:extent cx="4457700" cy="2726049"/>
            <wp:docPr id="22" name="Picture 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57700" cy="2940562"/>
                    </a:xfrm>
                    <a:prstGeom prst="rect"/>
                  </pic:spPr>
                </pic:pic>
              </a:graphicData>
            </a:graphic>
          </wp:inline>
        </w:drawing>
      </w:r>
    </w:p>
    <w:p>
      <w:pPr>
        <w:jc w:val="center"/>
      </w:pPr>
      <w:r>
        <w:rPr>
          <w:sz w:val="20"/>
        </w:rPr>
        <w:t>Fig. 13. Variation of PCE, V</w:t>
      </w:r>
      <w:r>
        <w:rPr>
          <w:sz w:val="20"/>
          <w:vertAlign w:val="subscript"/>
        </w:rPr>
        <w:t>OC</w:t>
      </w:r>
      <w:r>
        <w:rPr>
          <w:sz w:val="20"/>
        </w:rPr>
        <w:t>, J</w:t>
      </w:r>
      <w:r>
        <w:rPr>
          <w:sz w:val="20"/>
          <w:vertAlign w:val="subscript"/>
        </w:rPr>
        <w:t>SC</w:t>
      </w:r>
      <w:r>
        <w:rPr>
          <w:sz w:val="20"/>
        </w:rPr>
        <w:t>, and FF with valence-band effective density of states N</w:t>
      </w:r>
      <w:r>
        <w:rPr>
          <w:sz w:val="20"/>
          <w:vertAlign w:val="subscript"/>
        </w:rPr>
        <w:t>V</w:t>
      </w:r>
      <w:r>
        <w:rPr>
          <w:sz w:val="20"/>
        </w:rPr>
        <w:t>. The effect is more pronounced than for N</w:t>
      </w:r>
      <w:r>
        <w:rPr>
          <w:sz w:val="20"/>
          <w:vertAlign w:val="subscript"/>
        </w:rPr>
        <w:t>C</w:t>
      </w:r>
      <w:r>
        <w:rPr>
          <w:sz w:val="20"/>
        </w:rPr>
        <w:t>; the best value is 10¹⁷ cm⁻³.</w:t>
      </w:r>
    </w:p>
    <w:p>
      <w:pPr>
        <w:pStyle w:val="Heading2"/>
        <w:keepNext/>
        <w:spacing w:before="120" w:after="40" w:line="360" w:lineRule="auto"/>
      </w:pPr>
      <w:r>
        <w:rPr>
          <w:rFonts w:ascii="Times New Roman" w:hAnsi="Times New Roman" w:cs="Times New Roman"/>
          <w:b/>
          <w:i/>
          <w:sz w:val="24"/>
        </w:rPr>
        <w:t>M. Quantum efficiency analysis</w:t>
      </w:r>
    </w:p>
    <w:p>
      <w:pPr>
        <w:spacing w:line="360" w:lineRule="auto" w:before="120" w:after="120"/>
        <w:ind w:firstLine="283"/>
        <w:jc w:val="both"/>
      </w:pPr>
      <w:r>
        <w:rPr>
          <w:rFonts w:ascii="Times New Roman" w:hAnsi="Times New Roman" w:cs="Times New Roman"/>
          <w:b w:val="0"/>
          <w:i w:val="0"/>
          <w:sz w:val="24"/>
        </w:rPr>
        <w:t xml:space="preserve">Figure 14 tracks the quantum efficiency of the optimized cell, that is, how many collected carriers each incident photon yields. QE climbs from 34.52% at 300 nm to 49.18% at 350 nm and levels out near 100% at 400 nm. The suppressed ultraviolet response is surface recombination: high-energy photons are absorbed so close to the front that some carriers die before collection [21,38].</w:t>
      </w:r>
    </w:p>
    <w:p>
      <w:pPr>
        <w:spacing w:line="360" w:lineRule="auto" w:before="120" w:after="120"/>
        <w:ind w:firstLine="283"/>
        <w:jc w:val="both"/>
      </w:pPr>
      <w:r>
        <w:t>Absorption in the visible is excellent: QE holds near 100% from 400 to 650 nm, then eases to 76% at 850 nm and cuts off near 900 nm, matching the 1.4 eV gap (λc ≈ 886 nm). Integrating the spectrum gives ≈23.3 mA/cm², short of the 30.32 mA/cm² read from the J–V curve. The integral shortfall is a deck-version difference, not physics: the QE spectrum was archived from the earlier sweep-campaign deck (the same deck generation that produced the the Section V.B sweep record offset discussed in Section V.H), whereas the J–V metrics come from the consolidated deck. Re-simulation with the consolidated deck gives identical J–V with flat or graded absorption endpoints (Δ</w:t>
      </w:r>
      <w:r>
        <w:t>J</w:t>
      </w:r>
      <w:r>
        <w:rPr>
          <w:vertAlign w:val="subscript"/>
        </w:rPr>
        <w:t>SC</w:t>
      </w:r>
      <w:r>
        <w:t xml:space="preserve"> = 0.00 mA/cm²), so no absorption-model difference can account for the gap. The QE curve is therefore retained only for its edge shape (λc ≈ 886 nm, consistent with 1.4 eV); the J–V-derived </w:t>
      </w:r>
      <w:r>
        <w:t>J</w:t>
      </w:r>
      <w:r>
        <w:rPr>
          <w:vertAlign w:val="subscript"/>
        </w:rPr>
        <w:t>SC</w:t>
      </w:r>
      <w:r>
        <w:t xml:space="preserve"> = 30.32 mA/cm² is the reported metric.</w:t>
      </w:r>
    </w:p>
    <w:p>
      <w:pPr>
        <w:keepNext/>
        <w:keepLines/>
        <w:spacing w:before="120" w:after="40"/>
        <w:jc w:val="center"/>
      </w:pPr>
      <w:r>
        <w:drawing>
          <wp:inline xmlns:a="http://schemas.openxmlformats.org/drawingml/2006/main" xmlns:pic="http://schemas.openxmlformats.org/drawingml/2006/picture">
            <wp:extent cx="4680000" cy="3089812"/>
            <wp:docPr id="16" name="Picture 16"/>
            <wp:cNvGraphicFramePr>
              <a:graphicFrameLocks noChangeAspect="1"/>
            </wp:cNvGraphicFramePr>
            <a:graphic>
              <a:graphicData uri="http://schemas.openxmlformats.org/drawingml/2006/picture">
                <pic:pic>
                  <pic:nvPicPr>
                    <pic:cNvPr id="0" name="fig16_qe_spectrum.png"/>
                    <pic:cNvPicPr/>
                  </pic:nvPicPr>
                  <pic:blipFill>
                    <a:blip r:embed="rId26"/>
                    <a:stretch>
                      <a:fillRect/>
                    </a:stretch>
                  </pic:blipFill>
                  <pic:spPr>
                    <a:xfrm>
                      <a:off x="0" y="0"/>
                      <a:ext cx="4680000" cy="3089812"/>
                    </a:xfrm>
                    <a:prstGeom prst="rect"/>
                  </pic:spPr>
                </pic:pic>
              </a:graphicData>
            </a:graphic>
          </wp:inline>
        </w:drawing>
      </w:r>
    </w:p>
    <w:p>
      <w:pPr>
        <w:spacing w:before="80" w:after="240"/>
        <w:jc w:val="center"/>
      </w:pPr>
      <w:r>
        <w:rPr>
          <w:rFonts w:ascii="Times New Roman" w:hAnsi="Times New Roman" w:cs="Times New Roman"/>
          <w:b w:val="0"/>
          <w:i/>
          <w:sz w:val="20"/>
        </w:rPr>
        <w:t>Fig. 14. Variation of quantum efficiency (QE) with incident wavelength of the optimized solar cell. The cutoff at ≈886 nm corresponds to the absorber bandgap of 1.4 eV.</w:t>
      </w:r>
    </w:p>
    <w:p>
      <w:pPr>
        <w:pStyle w:val="Heading2"/>
        <w:keepNext/>
        <w:spacing w:before="120" w:after="40" w:line="360" w:lineRule="auto"/>
      </w:pPr>
      <w:r>
        <w:rPr>
          <w:rFonts w:ascii="Times New Roman" w:hAnsi="Times New Roman" w:cs="Times New Roman"/>
          <w:b/>
          <w:i/>
          <w:sz w:val="24"/>
        </w:rPr>
        <w:t>N. Energy band diagram analysis</w:t>
      </w:r>
    </w:p>
    <w:p>
      <w:pPr>
        <w:spacing w:line="360" w:lineRule="auto" w:before="120" w:after="120"/>
        <w:ind w:firstLine="283"/>
        <w:jc w:val="both"/>
      </w:pPr>
      <w:r>
        <w:rPr>
          <w:rFonts w:ascii="Times New Roman" w:hAnsi="Times New Roman"/>
          <w:b w:val="0"/>
          <w:i w:val="0"/>
          <w:sz w:val="24"/>
        </w:rPr>
        <w:t xml:space="preserve">The energy band diagram of the optimized device under illumination (Figure 15) shows the energy alignment across the device: the 1.8 eV conduction-band offset at CuI/RbGeI</w:t>
      </w:r>
      <w:r>
        <w:rPr>
          <w:rFonts w:ascii="Times New Roman" w:hAnsi="Times New Roman"/>
          <w:b w:val="0"/>
          <w:i w:val="0"/>
          <w:sz w:val="24"/>
          <w:vertAlign w:val="subscript"/>
        </w:rPr>
        <w:t xml:space="preserve">3</w:t>
      </w:r>
      <w:r>
        <w:rPr>
          <w:rFonts w:ascii="Times New Roman" w:hAnsi="Times New Roman"/>
          <w:b w:val="0"/>
          <w:i w:val="0"/>
          <w:sz w:val="24"/>
        </w:rPr>
        <w:t xml:space="preserve"> blocks electron leakage to the back contact, while the 0.1 eV offset at RbGeI</w:t>
      </w:r>
      <w:r>
        <w:rPr>
          <w:rFonts w:ascii="Times New Roman" w:hAnsi="Times New Roman"/>
          <w:b w:val="0"/>
          <w:i w:val="0"/>
          <w:sz w:val="24"/>
          <w:vertAlign w:val="subscript"/>
        </w:rPr>
        <w:t xml:space="preserve">3</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aids electron extraction; both interfaces are thus electronically well passivated.</w:t>
      </w:r>
    </w:p>
    <w:p>
      <w:pPr>
        <w:spacing w:line="360" w:lineRule="auto" w:before="120" w:after="120"/>
        <w:ind w:firstLine="283"/>
        <w:jc w:val="both"/>
      </w:pPr>
      <w:r>
        <w:rPr>
          <w:rFonts w:ascii="Times New Roman" w:hAnsi="Times New Roman"/>
          <w:b w:val="0"/>
          <w:i w:val="0"/>
          <w:sz w:val="24"/>
        </w:rPr>
        <w:t>The CuI/RbGeI</w:t>
      </w:r>
      <w:r>
        <w:rPr>
          <w:rFonts w:ascii="Times New Roman" w:hAnsi="Times New Roman"/>
          <w:b w:val="0"/>
          <w:i w:val="0"/>
          <w:sz w:val="24"/>
          <w:vertAlign w:val="subscript"/>
        </w:rPr>
        <w:t>3</w:t>
      </w:r>
      <w:r>
        <w:rPr>
          <w:rFonts w:ascii="Times New Roman" w:hAnsi="Times New Roman"/>
          <w:b w:val="0"/>
          <w:i w:val="0"/>
          <w:sz w:val="24"/>
        </w:rPr>
        <w:t xml:space="preserve"> interface exhibits a pronounced conduction-band discontinuity. Based on the electron-affinity values of CuI (χ = 2.1 eV) and RbGeI</w:t>
      </w:r>
      <w:r>
        <w:rPr>
          <w:rFonts w:ascii="Times New Roman" w:hAnsi="Times New Roman"/>
          <w:b w:val="0"/>
          <w:i w:val="0"/>
          <w:sz w:val="24"/>
          <w:vertAlign w:val="subscript"/>
        </w:rPr>
        <w:t>3</w:t>
      </w:r>
      <w:r>
        <w:rPr>
          <w:rFonts w:ascii="Times New Roman" w:hAnsi="Times New Roman"/>
          <w:b w:val="0"/>
          <w:i w:val="0"/>
          <w:sz w:val="24"/>
        </w:rPr>
        <w:t xml:space="preserve"> (χ = 3.9 eV), the conduction-band offset is ΔE</w:t>
      </w:r>
      <w:r>
        <w:rPr>
          <w:rFonts w:ascii="Times New Roman" w:hAnsi="Times New Roman"/>
          <w:b w:val="0"/>
          <w:i w:val="0"/>
          <w:sz w:val="24"/>
          <w:vertAlign w:val="subscript"/>
        </w:rPr>
        <w:t>c</w:t>
      </w:r>
      <w:r>
        <w:rPr>
          <w:rFonts w:ascii="Times New Roman" w:hAnsi="Times New Roman"/>
          <w:b w:val="0"/>
          <w:i w:val="0"/>
          <w:sz w:val="24"/>
        </w:rPr>
        <w:t xml:space="preserve"> ≈ |2.1 − 3.9| = 1.8 eV, which acts as an effective electron-blocking barrier. The corresponding valence-band offset, computed using E</w:t>
      </w:r>
      <w:r>
        <w:rPr>
          <w:rFonts w:ascii="Times New Roman" w:hAnsi="Times New Roman"/>
          <w:b w:val="0"/>
          <w:i w:val="0"/>
          <w:sz w:val="24"/>
          <w:vertAlign w:val="subscript"/>
        </w:rPr>
        <w:t>v</w:t>
      </w:r>
      <w:r>
        <w:rPr>
          <w:rFonts w:ascii="Times New Roman" w:hAnsi="Times New Roman"/>
          <w:b w:val="0"/>
          <w:i w:val="0"/>
          <w:sz w:val="24"/>
        </w:rPr>
        <w:t xml:space="preserve"> = −(E</w:t>
      </w:r>
      <w:r>
        <w:rPr>
          <w:rFonts w:ascii="Times New Roman" w:hAnsi="Times New Roman"/>
          <w:b w:val="0"/>
          <w:i w:val="0"/>
          <w:sz w:val="24"/>
          <w:vertAlign w:val="subscript"/>
        </w:rPr>
        <w:t>g</w:t>
      </w:r>
      <w:r>
        <w:rPr>
          <w:rFonts w:ascii="Times New Roman" w:hAnsi="Times New Roman"/>
          <w:b w:val="0"/>
          <w:i w:val="0"/>
          <w:sz w:val="24"/>
        </w:rPr>
        <w:t xml:space="preserve"> + χ), is ΔE</w:t>
      </w:r>
      <w:r>
        <w:rPr>
          <w:rFonts w:ascii="Times New Roman" w:hAnsi="Times New Roman"/>
          <w:b w:val="0"/>
          <w:i w:val="0"/>
          <w:sz w:val="24"/>
          <w:vertAlign w:val="subscript"/>
        </w:rPr>
        <w:t>v</w:t>
      </w:r>
      <w:r>
        <w:rPr>
          <w:rFonts w:ascii="Times New Roman" w:hAnsi="Times New Roman"/>
          <w:b w:val="0"/>
          <w:i w:val="0"/>
          <w:sz w:val="24"/>
        </w:rPr>
        <w:t xml:space="preserve"> ≈ |(−5.30) − (−5.20)| ≈ 0.10 eV, indicating that the valence bands of CuI and RbGeI</w:t>
      </w:r>
      <w:r>
        <w:rPr>
          <w:rFonts w:ascii="Times New Roman" w:hAnsi="Times New Roman"/>
          <w:b w:val="0"/>
          <w:i w:val="0"/>
          <w:sz w:val="24"/>
          <w:vertAlign w:val="subscript"/>
        </w:rPr>
        <w:t>3</w:t>
      </w:r>
      <w:r>
        <w:rPr>
          <w:rFonts w:ascii="Times New Roman" w:hAnsi="Times New Roman"/>
          <w:b w:val="0"/>
          <w:i w:val="0"/>
          <w:sz w:val="24"/>
        </w:rPr>
        <w:t xml:space="preserve"> are nearly aligned. This small barrier enables holes generated inside the absorber to move efficiently into the HTL with minimal transport resistance. Within the 700 nm RbGeI</w:t>
      </w:r>
      <w:r>
        <w:rPr>
          <w:rFonts w:ascii="Times New Roman" w:hAnsi="Times New Roman"/>
          <w:b w:val="0"/>
          <w:i w:val="0"/>
          <w:sz w:val="24"/>
          <w:vertAlign w:val="subscript"/>
        </w:rPr>
        <w:t>3</w:t>
      </w:r>
      <w:r>
        <w:rPr>
          <w:rFonts w:ascii="Times New Roman" w:hAnsi="Times New Roman"/>
          <w:b w:val="0"/>
          <w:i w:val="0"/>
          <w:sz w:val="24"/>
        </w:rPr>
        <w:t xml:space="preserve"> absorber layer, both E</w:t>
      </w:r>
      <w:r>
        <w:rPr>
          <w:rFonts w:ascii="Times New Roman" w:hAnsi="Times New Roman"/>
          <w:b w:val="0"/>
          <w:i w:val="0"/>
          <w:sz w:val="24"/>
          <w:vertAlign w:val="subscript"/>
        </w:rPr>
        <w:t>c</w:t>
      </w:r>
      <w:r>
        <w:rPr>
          <w:rFonts w:ascii="Times New Roman" w:hAnsi="Times New Roman"/>
          <w:b w:val="0"/>
          <w:i w:val="0"/>
          <w:sz w:val="24"/>
        </w:rPr>
        <w:t xml:space="preserve"> and E</w:t>
      </w:r>
      <w:r>
        <w:rPr>
          <w:rFonts w:ascii="Times New Roman" w:hAnsi="Times New Roman"/>
          <w:b w:val="0"/>
          <w:i w:val="0"/>
          <w:sz w:val="24"/>
          <w:vertAlign w:val="subscript"/>
        </w:rPr>
        <w:t>v</w:t>
      </w:r>
      <w:r>
        <w:rPr>
          <w:rFonts w:ascii="Times New Roman" w:hAnsi="Times New Roman"/>
          <w:b w:val="0"/>
          <w:i w:val="0"/>
          <w:sz w:val="24"/>
        </w:rPr>
        <w:t xml:space="preserve"> remain nearly constant, indicating a relatively uniform electrostatic potential throughout the bulk absorber. The energy difference between E</w:t>
      </w:r>
      <w:r>
        <w:rPr>
          <w:rFonts w:ascii="Times New Roman" w:hAnsi="Times New Roman"/>
          <w:b w:val="0"/>
          <w:i w:val="0"/>
          <w:sz w:val="24"/>
          <w:vertAlign w:val="subscript"/>
        </w:rPr>
        <w:t>c</w:t>
      </w:r>
      <w:r>
        <w:rPr>
          <w:rFonts w:ascii="Times New Roman" w:hAnsi="Times New Roman"/>
          <w:b w:val="0"/>
          <w:i w:val="0"/>
          <w:sz w:val="24"/>
        </w:rPr>
        <w:t xml:space="preserve"> and E</w:t>
      </w:r>
      <w:r>
        <w:rPr>
          <w:rFonts w:ascii="Times New Roman" w:hAnsi="Times New Roman"/>
          <w:b w:val="0"/>
          <w:i w:val="0"/>
          <w:sz w:val="24"/>
          <w:vertAlign w:val="subscript"/>
        </w:rPr>
        <w:t>v</w:t>
      </w:r>
      <w:r>
        <w:rPr>
          <w:rFonts w:ascii="Times New Roman" w:hAnsi="Times New Roman"/>
          <w:b w:val="0"/>
          <w:i w:val="0"/>
          <w:sz w:val="24"/>
        </w:rPr>
        <w:t xml:space="preserve"> corresponds to the absorber bandgap of 1.4 eV used in the optimized device, close to the Shockley–Queisser optimum for single-junction photovoltaic devices.</w:t>
      </w:r>
    </w:p>
    <w:p>
      <w:pPr>
        <w:spacing w:line="360" w:lineRule="auto" w:before="120" w:after="120"/>
        <w:ind w:firstLine="283"/>
        <w:jc w:val="both"/>
      </w:pPr>
      <w:r>
        <w:rPr>
          <w:rFonts w:ascii="Times New Roman" w:hAnsi="Times New Roman"/>
          <w:b w:val="0"/>
          <w:i w:val="0"/>
          <w:sz w:val="24"/>
        </w:rPr>
        <w:t xml:space="preserve">A second band discontinuity appears at the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interface located approximately 800 nm from the back contact. Because the electron affinities of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and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are 3.9 eV and 4.0 eV respectively, the conduction-band offset is only about 0.10 eV, forming a 0.10 eV downward step at the interface that assists electron extraction and suppresses interfacial recombination. The calculated valence-band offset at this interface is approximately 1.90 eV (using </w:t>
      </w:r>
      <w:r>
        <w:rPr>
          <w:rFonts w:ascii="Times New Roman" w:hAnsi="Times New Roman"/>
          <w:b w:val="0"/>
          <w:i w:val="0"/>
          <w:sz w:val="24"/>
        </w:rPr>
        <w:t xml:space="preserve">E</w:t>
      </w:r>
      <w:r>
        <w:rPr>
          <w:rFonts w:ascii="Times New Roman" w:hAnsi="Times New Roman"/>
          <w:b w:val="0"/>
          <w:i w:val="0"/>
          <w:sz w:val="24"/>
          <w:vertAlign w:val="subscript"/>
        </w:rPr>
        <w:t xml:space="preserve">v</w:t>
      </w:r>
      <w:r>
        <w:rPr>
          <w:rFonts w:ascii="Times New Roman" w:hAnsi="Times New Roman"/>
          <w:b w:val="0"/>
          <w:i w:val="0"/>
          <w:sz w:val="24"/>
        </w:rPr>
        <w:t xml:space="preserve">(</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 −5.30 eV and </w:t>
      </w:r>
      <w:r>
        <w:rPr>
          <w:rFonts w:ascii="Times New Roman" w:hAnsi="Times New Roman"/>
          <w:b w:val="0"/>
          <w:i w:val="0"/>
          <w:sz w:val="24"/>
        </w:rPr>
        <w:t xml:space="preserve">E</w:t>
      </w:r>
      <w:r>
        <w:rPr>
          <w:rFonts w:ascii="Times New Roman" w:hAnsi="Times New Roman"/>
          <w:b w:val="0"/>
          <w:i w:val="0"/>
          <w:sz w:val="24"/>
          <w:vertAlign w:val="subscript"/>
        </w:rPr>
        <w:t xml:space="preserve">v</w:t>
      </w:r>
      <w:r>
        <w:rPr>
          <w:rFonts w:ascii="Times New Roman" w:hAnsi="Times New Roman"/>
          <w:b w:val="0"/>
          <w:i w:val="0"/>
          <w:sz w:val="24"/>
        </w:rPr>
        <w:t xml:space="preserve">(</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 −(4.0+3.2) = −7.2 eV, giving </w:t>
      </w:r>
      <w:r>
        <w:rPr>
          <w:rFonts w:ascii="Times New Roman" w:hAnsi="Times New Roman"/>
          <w:b w:val="0"/>
          <w:i w:val="0"/>
          <w:sz w:val="24"/>
        </w:rPr>
        <w:t xml:space="preserve">ΔE</w:t>
      </w:r>
      <w:r>
        <w:rPr>
          <w:rFonts w:ascii="Times New Roman" w:hAnsi="Times New Roman"/>
          <w:b w:val="0"/>
          <w:i w:val="0"/>
          <w:sz w:val="24"/>
          <w:vertAlign w:val="subscript"/>
        </w:rPr>
        <w:t xml:space="preserve">v</w:t>
      </w:r>
      <w:r>
        <w:rPr>
          <w:rFonts w:ascii="Times New Roman" w:hAnsi="Times New Roman"/>
          <w:b w:val="0"/>
          <w:i w:val="0"/>
          <w:sz w:val="24"/>
        </w:rPr>
        <w:t xml:space="preserve"> = |−5.30 − (−7.2)| = 1.90 eV), creating a substantial energetic barrier that effectively blocks holes from entering the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layer. Under illumination, the quasi-Fermi levels split apart across the device, with the electron quasi-Fermi level Fn lying close to the conduction band in the absorber and ETL and the hole quasi-Fermi level Fp following the valence band. The Fn − Fp splitting sets the photovoltage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 1.13 V) and is consistent with the high open-circuit voltage of the optimized device. Slight band bending near both heterojunctions reflects the built-in electric field established after contact formation, which drives photogenerated electrons toward the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/FTO electrode and holes toward the CuI HTL.</w:t>
      </w:r>
    </w:p>
    <w:p>
      <w:pPr>
        <w:keepNext/>
        <w:keepLines/>
        <w:spacing w:before="120" w:after="40"/>
        <w:jc w:val="center"/>
      </w:pPr>
      <w:r>
        <w:drawing>
          <wp:inline xmlns:a="http://schemas.openxmlformats.org/drawingml/2006/main" xmlns:pic="http://schemas.openxmlformats.org/drawingml/2006/picture">
            <wp:extent cx="5040000" cy="3855600"/>
            <wp:docPr id="17" name="Picture 17"/>
            <wp:cNvGraphicFramePr>
              <a:graphicFrameLocks noChangeAspect="1"/>
            </wp:cNvGraphicFramePr>
            <a:graphic>
              <a:graphicData uri="http://schemas.openxmlformats.org/drawingml/2006/picture">
                <pic:pic>
                  <pic:nvPicPr>
                    <pic:cNvPr id="0" name="fig17_band_diagram.png"/>
                    <pic:cNvPicPr/>
                  </pic:nvPicPr>
                  <pic:blipFill>
                    <a:blip r:embed="rId27"/>
                    <a:stretch>
                      <a:fillRect/>
                    </a:stretch>
                  </pic:blipFill>
                  <pic:spPr>
                    <a:xfrm>
                      <a:off x="0" y="0"/>
                      <a:ext cx="5040000" cy="3056034"/>
                    </a:xfrm>
                    <a:prstGeom prst="rect"/>
                  </pic:spPr>
                </pic:pic>
              </a:graphicData>
            </a:graphic>
          </wp:inline>
        </w:drawing>
      </w:r>
    </w:p>
    <w:p>
      <w:pPr>
        <w:spacing w:before="80" w:after="240"/>
        <w:jc w:val="center"/>
      </w:pPr>
      <w:r>
        <w:rPr>
          <w:rFonts w:ascii="Times New Roman" w:hAnsi="Times New Roman"/>
          <w:sz w:val="20"/>
        </w:rPr>
        <w:t>Fig. 15. Energy band diagram of the optimized FTO/TiO₂/RbGeI₃/CuI/Au solar cell under illumination, showing the conduction-band edge (E</w:t>
      </w:r>
      <w:r>
        <w:rPr>
          <w:rFonts w:ascii="Times New Roman" w:hAnsi="Times New Roman"/>
          <w:sz w:val="20"/>
          <w:vertAlign w:val="subscript"/>
        </w:rPr>
        <w:t>C</w:t>
      </w:r>
      <w:r>
        <w:rPr>
          <w:rFonts w:ascii="Times New Roman" w:hAnsi="Times New Roman"/>
          <w:sz w:val="20"/>
        </w:rPr>
        <w:t>), valence-band edge (E</w:t>
      </w:r>
      <w:r>
        <w:rPr>
          <w:rFonts w:ascii="Times New Roman" w:hAnsi="Times New Roman"/>
          <w:sz w:val="20"/>
          <w:vertAlign w:val="subscript"/>
        </w:rPr>
        <w:t>V</w:t>
      </w:r>
      <w:r>
        <w:rPr>
          <w:rFonts w:ascii="Times New Roman" w:hAnsi="Times New Roman"/>
          <w:sz w:val="20"/>
        </w:rPr>
        <w:t>), electron quasi-Fermi level (F</w:t>
      </w:r>
      <w:r>
        <w:rPr>
          <w:rFonts w:ascii="Times New Roman" w:hAnsi="Times New Roman"/>
          <w:sz w:val="20"/>
          <w:vertAlign w:val="subscript"/>
        </w:rPr>
        <w:t>n</w:t>
      </w:r>
      <w:r>
        <w:rPr>
          <w:rFonts w:ascii="Times New Roman" w:hAnsi="Times New Roman"/>
          <w:sz w:val="20"/>
        </w:rPr>
        <w:t>), and hole quasi-Fermi level (F</w:t>
      </w:r>
      <w:r>
        <w:rPr>
          <w:rFonts w:ascii="Times New Roman" w:hAnsi="Times New Roman"/>
          <w:sz w:val="20"/>
          <w:vertAlign w:val="subscript"/>
        </w:rPr>
        <w:t>p</w:t>
      </w:r>
      <w:r>
        <w:rPr>
          <w:rFonts w:ascii="Times New Roman" w:hAnsi="Times New Roman"/>
          <w:sz w:val="20"/>
        </w:rPr>
        <w:t>). The 1.8 eV conduction-band offset at the CuI/RbGeI₃ interface suppresses electron back-transfer, while the 0.10 eV conduction-band offset at the RbGeI₃/TiO₂ interface aids electron extraction. The 1.90 eV valence-band offset at the RbGeI₃/TiO₂ interface provides an energetic barrier against hole injection into TiO₂.</w:t>
      </w:r>
    </w:p>
    <w:p>
      <w:pPr>
        <w:pStyle w:val="Heading2"/>
      </w:pPr>
      <w:r>
        <w:t>O. Current density–voltage characteristics</w:t>
      </w:r>
    </w:p>
    <w:p>
      <w:r>
        <w:rPr/>
        <w:t>The current density–voltage (J–V) characteristic of the consolidated optimized device under AM 1.5G illumination is shown in Figure 16. The curve is sharply rectangular, with an open-circuit voltage of V</w:t>
      </w:r>
      <w:r>
        <w:rPr>
          <w:vertAlign w:val="subscript"/>
        </w:rPr>
        <w:t>OC</w:t>
      </w:r>
      <w:r>
        <w:rPr/>
        <w:t xml:space="preserve"> = 1.13 V, a short-circuit current density of J</w:t>
      </w:r>
      <w:r>
        <w:rPr>
          <w:vertAlign w:val="subscript"/>
        </w:rPr>
        <w:t>SC</w:t>
      </w:r>
      <w:r>
        <w:rPr/>
        <w:t xml:space="preserve"> = 30.32 mA/cm², and a fill factor of 78.26%, yielding a PCE of 26.81%. The maximum-power point occurs near V = 0.96 V with J ≈ 27.9 mA/cm², where the instantaneous power density reaches 26.8 mW/cm². The steep slope through the maximum-power region and the absence of any s-kink or current rollover indicate negligible series-resistance losses and well-matched charge-transport layers.</w:t>
      </w:r>
    </w:p>
    <w:p>
      <w:pPr>
        <w:keepNext/>
        <w:keepLines/>
        <w:jc w:val="center"/>
      </w:pPr>
      <w:r/>
      <w:r>
        <w:drawing>
          <wp:inline xmlns:a="http://schemas.openxmlformats.org/drawingml/2006/main" xmlns:pic="http://schemas.openxmlformats.org/drawingml/2006/picture">
            <wp:extent cx="4457700" cy="2971800"/>
            <wp:docPr id="23" name="Picture 23"/>
            <wp:cNvGraphicFramePr>
              <a:graphicFrameLocks noChangeAspect="1"/>
            </wp:cNvGraphicFramePr>
            <a:graphic>
              <a:graphicData uri="http://schemas.openxmlformats.org/drawingml/2006/picture">
                <pic:pic>
                  <pic:nvPicPr>
                    <pic:cNvPr id="0" name="fig_jv_final.png"/>
                    <pic:cNvPicPr/>
                  </pic:nvPicPr>
                  <pic:blipFill>
                    <a:blip r:embed="rId37"/>
                    <a:stretch>
                      <a:fillRect/>
                    </a:stretch>
                  </pic:blipFill>
                  <pic:spPr>
                    <a:xfrm>
                      <a:off x="0" y="0"/>
                      <a:ext cx="4457700" cy="2971800"/>
                    </a:xfrm>
                    <a:prstGeom prst="rect"/>
                  </pic:spPr>
                </pic:pic>
              </a:graphicData>
            </a:graphic>
          </wp:inline>
        </w:drawing>
      </w:r>
    </w:p>
    <w:p>
      <w:pPr>
        <w:jc w:val="center"/>
      </w:pPr>
      <w:r>
        <w:rPr>
          <w:sz w:val="20"/>
        </w:rPr>
        <w:t>Fig. 16. Current density–voltage (J–V) curve of the optimized FTO/TiO</w:t>
      </w:r>
      <w:r>
        <w:rPr>
          <w:sz w:val="20"/>
          <w:vertAlign w:val="subscript"/>
        </w:rPr>
        <w:t>2</w:t>
      </w:r>
      <w:r>
        <w:rPr>
          <w:sz w:val="20"/>
        </w:rPr>
        <w:t>/RbGeI</w:t>
      </w:r>
      <w:r>
        <w:rPr>
          <w:sz w:val="20"/>
          <w:vertAlign w:val="subscript"/>
        </w:rPr>
        <w:t>3</w:t>
      </w:r>
      <w:r>
        <w:rPr>
          <w:sz w:val="20"/>
        </w:rPr>
        <w:t>/CuI/Au device under AM 1.5G illumination. The red dashed curve shows the output power density, with the maximum-power point marked.</w:t>
      </w:r>
    </w:p>
    <w:p>
      <w:pPr>
        <w:pStyle w:val="Heading2"/>
        <w:keepNext/>
        <w:spacing w:before="120" w:after="40" w:line="360" w:lineRule="auto"/>
      </w:pPr>
      <w:r>
        <w:rPr>
          <w:rFonts w:ascii="Times New Roman" w:hAnsi="Times New Roman" w:cs="Times New Roman"/>
          <w:b/>
          <w:i/>
          <w:sz w:val="24"/>
        </w:rPr>
        <w:t>P. Summary of optimized device parameters and final performance</w:t>
      </w:r>
    </w:p>
    <w:p>
      <w:pPr>
        <w:spacing w:line="360" w:lineRule="auto" w:before="120" w:after="120"/>
        <w:ind w:firstLine="283"/>
        <w:jc w:val="both"/>
      </w:pPr>
      <w:r>
        <w:t>After completing the optimization of all eleven selected device parameters, the final optimized values were incorporated into the proposed FTO/</w:t>
      </w:r>
      <w:r>
        <w:t>TiO</w:t>
      </w:r>
      <w:r>
        <w:rPr>
          <w:vertAlign w:val="subscript"/>
        </w:rPr>
        <w:t>2</w:t>
      </w:r>
      <w:r>
        <w:t>/</w:t>
      </w:r>
      <w:r>
        <w:t>RbGeI</w:t>
      </w:r>
      <w:r>
        <w:rPr>
          <w:vertAlign w:val="subscript"/>
        </w:rPr>
        <w:t>3</w:t>
      </w:r>
      <w:r>
        <w:t xml:space="preserve">/CuI/Au solar cell. Table VII summarizes the optimized material parameters obtained from the SCAPS-1D simulations. These optimized values were used to achieve the highest photovoltaic performance reported here. The consolidated final device was simulated by applying all eleven optimized parameters simultaneously in a single SCAPS-1D run; the resulting J–V output gives </w:t>
      </w:r>
      <w:r>
        <w:t>V</w:t>
      </w:r>
      <w:r>
        <w:rPr>
          <w:vertAlign w:val="subscript"/>
        </w:rPr>
        <w:t>OC</w:t>
      </w:r>
      <w:r>
        <w:t xml:space="preserve"> = 1.13 V, </w:t>
      </w:r>
      <w:r>
        <w:t>J</w:t>
      </w:r>
      <w:r>
        <w:rPr>
          <w:vertAlign w:val="subscript"/>
        </w:rPr>
        <w:t>SC</w:t>
      </w:r>
      <w:r>
        <w:t xml:space="preserve"> = 30.32 mA/cm², FF = 78.26%, and PCE = 26.81%. The consolidated final-device values come from this single SCAPS-1D simulation run and are not a simple arithmetic combination of the per-step optima reported in Figs. 3–13. The interaction between optimized parameters in the consolidated solution can shift individual performance metrics relative to their per-step values; the fill factor, for instance, drops from per-step optima above 83% (Figs. 7 and 10) to 78.26% in the consolidated device because the combined effect of the optimized bandgap, defect densities, DOS values, and ETL/HTL thicknesses produces a different J–V curve shape than any single-parameter optimum. A six-parameter genetic-algorithm search (population 10, six generations, 62 SCAPS evaluations; crossover plus Gaussian mutation with elitism) finds the best joint optimum over 62 evaluations at Eg = 1.33 eV, Nt ≈ 10¹² cm⁻³, interface Nt ≈ 6 × 10¹³ cm⁻², </w:t>
      </w:r>
      <w:r>
        <w:t>N</w:t>
      </w:r>
      <w:r>
        <w:rPr>
          <w:vertAlign w:val="subscript"/>
        </w:rPr>
        <w:t>C</w:t>
      </w:r>
      <w:r>
        <w:t xml:space="preserve"> = 10¹⁷ cm⁻³, </w:t>
      </w:r>
      <w:r>
        <w:t>N</w:t>
      </w:r>
      <w:r>
        <w:rPr>
          <w:vertAlign w:val="subscript"/>
        </w:rPr>
        <w:t>V</w:t>
      </w:r>
      <w:r>
        <w:t xml:space="preserve"> ≈ 2.5 × 10¹⁶ cm⁻³, absorber 0.77 µm (SCAPS SI-unit genes lognt = 18.14, lognif = 17.82, lognc = 23.03, lognv = 22.42 decode as 10^18.14/m³ = 1.37×10¹²/cm³, 10^17.82/m² = 6.63×10¹³/cm², 10^23.03/m³ = 1.08×10¹⁷/cm³, 10^22.42/m³ = 2.64×10¹⁶/cm³; best deck archived as round4_results/ga_best.def), giving </w:t>
      </w:r>
      <w:r>
        <w:t>V</w:t>
      </w:r>
      <w:r>
        <w:rPr>
          <w:vertAlign w:val="subscript"/>
        </w:rPr>
        <w:t>OC</w:t>
      </w:r>
      <w:r>
        <w:t xml:space="preserve"> = 1.13 V, </w:t>
      </w:r>
      <w:r>
        <w:t>J</w:t>
      </w:r>
      <w:r>
        <w:rPr>
          <w:vertAlign w:val="subscript"/>
        </w:rPr>
        <w:t>SC</w:t>
      </w:r>
      <w:r>
        <w:t xml:space="preserve"> = 33.06 mA/cm², FF = 85.26%, PCE = 31.78% (Fig. 21, Table VIII). The 5-point gap to the OPAT point decomposes into a lower bandgap, an order-of-magnitude lower defect density, and </w:t>
      </w:r>
      <w:r>
        <w:t>N</w:t>
      </w:r>
      <w:r>
        <w:rPr>
          <w:vertAlign w:val="subscript"/>
        </w:rPr>
        <w:t>C</w:t>
      </w:r>
      <w:r>
        <w:t>/</w:t>
      </w:r>
      <w:r>
        <w:t>N</w:t>
      </w:r>
      <w:r>
        <w:rPr>
          <w:vertAlign w:val="subscript"/>
        </w:rPr>
        <w:t>V</w:t>
      </w:r>
      <w:r>
        <w:t xml:space="preserve">/thickness interactions the sequential procedure cannot capture. Because the GA optimum assumes 10¹² cm⁻³ material and ideal light coupling, Table VII (OPAT, 26.81%) is retained as the passivated-lab reference device, and Section VII.A derates it to a realistic 20.7–23.5% window (Fig. 23). DOS-robustness re-simulation at DFT-typical densities holds the headline: </w:t>
      </w:r>
      <w:r>
        <w:t>N</w:t>
      </w:r>
      <w:r>
        <w:rPr>
          <w:vertAlign w:val="subscript"/>
        </w:rPr>
        <w:t>C</w:t>
      </w:r>
      <w:r>
        <w:t xml:space="preserve"> = </w:t>
      </w:r>
      <w:r>
        <w:t>N</w:t>
      </w:r>
      <w:r>
        <w:rPr>
          <w:vertAlign w:val="subscript"/>
        </w:rPr>
        <w:t>V</w:t>
      </w:r>
      <w:r>
        <w:t xml:space="preserve"> = 10¹⁸ cm⁻³ gives 26.81% → 27.13% and </w:t>
      </w:r>
      <w:r>
        <w:t>N</w:t>
      </w:r>
      <w:r>
        <w:rPr>
          <w:vertAlign w:val="subscript"/>
        </w:rPr>
        <w:t>C</w:t>
      </w:r>
      <w:r>
        <w:t xml:space="preserve"> = </w:t>
      </w:r>
      <w:r>
        <w:t>N</w:t>
      </w:r>
      <w:r>
        <w:rPr>
          <w:vertAlign w:val="subscript"/>
        </w:rPr>
        <w:t>V</w:t>
      </w:r>
      <w:r>
        <w:t xml:space="preserve"> = 10¹⁹ cm⁻³ gives 24.94% (</w:t>
      </w:r>
      <w:r>
        <w:t>J</w:t>
      </w:r>
      <w:r>
        <w:rPr>
          <w:vertAlign w:val="subscript"/>
        </w:rPr>
        <w:t>SC</w:t>
      </w:r>
      <w:r>
        <w:t xml:space="preserve"> pinned at 30.32 mA/cm²; Table VIII), so the 10¹⁷ cm⁻³ OPAT choice does not inflate the result. Jointly, </w:t>
      </w:r>
      <w:r>
        <w:t>N</w:t>
      </w:r>
      <w:r>
        <w:rPr>
          <w:vertAlign w:val="subscript"/>
        </w:rPr>
        <w:t>C</w:t>
      </w:r>
      <w:r>
        <w:t xml:space="preserve"> = </w:t>
      </w:r>
      <w:r>
        <w:t>N</w:t>
      </w:r>
      <w:r>
        <w:rPr>
          <w:vertAlign w:val="subscript"/>
        </w:rPr>
        <w:t>V</w:t>
      </w:r>
      <w:r>
        <w:t xml:space="preserve"> = 10¹⁸ cm⁻³ reaching 27.13% above the 26.81% headline is a direct OPAT interaction failure: the sequential 10¹⁷ cm⁻³ per-step optima do not survive joint evaluation, so Table VII is retained as the documented reference, not as a claimed optimum.</w:t>
      </w:r>
    </w:p>
    <w:p>
      <w:pPr>
        <w:keepNext/>
        <w:spacing w:before="120" w:after="40"/>
        <w:jc w:val="center"/>
      </w:pPr>
      <w:r>
        <w:rPr>
          <w:rFonts w:ascii="Times New Roman" w:hAnsi="Times New Roman"/>
          <w:b/>
          <w:i w:val="0"/>
          <w:sz w:val="20"/>
        </w:rPr>
        <w:t>Table VII. Optimized material parameters of the proposed FTO/TiO</w:t>
      </w:r>
      <w:r>
        <w:rPr>
          <w:rFonts w:ascii="Times New Roman" w:hAnsi="Times New Roman"/>
          <w:b/>
          <w:i w:val="0"/>
          <w:sz w:val="20"/>
          <w:vertAlign w:val="subscript"/>
        </w:rPr>
        <w:t>2</w:t>
      </w:r>
      <w:r>
        <w:rPr>
          <w:rFonts w:ascii="Times New Roman" w:hAnsi="Times New Roman"/>
          <w:b/>
          <w:i w:val="0"/>
          <w:sz w:val="20"/>
        </w:rPr>
        <w:t>/RbGeI</w:t>
      </w:r>
      <w:r>
        <w:rPr>
          <w:rFonts w:ascii="Times New Roman" w:hAnsi="Times New Roman"/>
          <w:b/>
          <w:i w:val="0"/>
          <w:sz w:val="20"/>
          <w:vertAlign w:val="subscript"/>
        </w:rPr>
        <w:t>3</w:t>
      </w:r>
      <w:r>
        <w:rPr>
          <w:rFonts w:ascii="Times New Roman" w:hAnsi="Times New Roman"/>
          <w:b/>
          <w:i w:val="0"/>
          <w:sz w:val="20"/>
        </w:rPr>
        <w:t>/CuI/Au perovskite solar cell.</w:t>
      </w:r>
    </w:p>
    <w:p>
      <w:pPr>
        <w:spacing w:line="360" w:lineRule="auto" w:before="80" w:after="240"/>
        <w:jc w:val="both"/>
      </w:pPr>
      <w:r>
        <w:rPr>
          <w:rFonts w:ascii="Times New Roman" w:hAnsi="Times New Roman"/>
          <w:b w:val="0"/>
          <w:i/>
          <w:sz w:val="20"/>
        </w:rPr>
        <w:t>Note: The optimized interface defect density was 1 × 10¹⁴ cm⁻² for both the 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 xml:space="preserve"> and RbGeI</w:t>
      </w:r>
      <w:r>
        <w:rPr>
          <w:rFonts w:ascii="Times New Roman" w:hAnsi="Times New Roman"/>
          <w:b w:val="0"/>
          <w:i/>
          <w:sz w:val="20"/>
          <w:vertAlign w:val="subscript"/>
        </w:rPr>
        <w:t>3</w:t>
      </w:r>
      <w:r>
        <w:rPr>
          <w:rFonts w:ascii="Times New Roman" w:hAnsi="Times New Roman"/>
          <w:b w:val="0"/>
          <w:i/>
          <w:sz w:val="20"/>
        </w:rPr>
        <w:t>/CuI interfaces.</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872"/>
        <w:gridCol w:w="1872"/>
        <w:gridCol w:w="1872"/>
        <w:gridCol w:w="1872"/>
        <w:gridCol w:w="1872"/>
      </w:tblGrid>
      <w:tr>
        <w:trPr>
          <w:tblHeader w:val="true"/>
          <w:cantSplit w:val="true"/>
        </w:trPr>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Parameter</w:t>
            </w:r>
          </w:p>
        </w:tc>
        <w:tc>
          <w:tcPr>
            <w:tcW w:type="dxa" w:w="1361"/>
            <w:tcBorders>
              <w:bottom w:val="single" w:sz="4" w:space="0" w:color="000000"/>
            </w:tcBorders>
          </w:tcPr>
          <w:p>
            <w:pPr>
              <w:jc w:val="center"/>
            </w:pPr>
            <w:r>
              <w:rPr>
                <w:rFonts w:ascii="Times New Roman" w:hAnsi="Times New Roman" w:cs="Times New Roman"/>
                <w:sz w:val="20"/>
                <w:b w:val="0"/>
                <w:i w:val="0"/>
              </w:rPr>
              <w:t>TiO</w:t>
            </w:r>
            <w:r>
              <w:rPr>
                <w:rFonts w:ascii="Times New Roman" w:hAnsi="Times New Roman" w:cs="Times New Roman"/>
                <w:vertAlign w:val="subscript"/>
                <w:sz w:val="20"/>
                <w:b w:val="0"/>
                <w:i w:val="0"/>
              </w:rPr>
              <w:t>2</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FTO</w:t>
            </w:r>
          </w:p>
        </w:tc>
        <w:tc>
          <w:tcPr>
            <w:tcW w:type="dxa" w:w="1361"/>
            <w:tcBorders>
              <w:bottom w:val="single" w:sz="4" w:space="0" w:color="000000"/>
            </w:tcBorders>
          </w:tcPr>
          <w:p>
            <w:pPr>
              <w:jc w:val="center"/>
            </w:pPr>
            <w:r>
              <w:rPr>
                <w:rFonts w:ascii="Times New Roman" w:hAnsi="Times New Roman" w:cs="Times New Roman"/>
                <w:sz w:val="20"/>
                <w:b w:val="0"/>
                <w:i w:val="0"/>
              </w:rPr>
              <w:t>RbGeI</w:t>
            </w:r>
            <w:r>
              <w:rPr>
                <w:rFonts w:ascii="Times New Roman" w:hAnsi="Times New Roman" w:cs="Times New Roman"/>
                <w:vertAlign w:val="subscript"/>
                <w:sz w:val="20"/>
                <w:b w:val="0"/>
                <w:i w:val="0"/>
              </w:rPr>
              <w:t>3</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CuI</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Thickness (nm)</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500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700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Bandgap E</w:t>
            </w:r>
            <w:r>
              <w:rPr>
                <w:rFonts w:ascii="Times New Roman" w:hAnsi="Times New Roman" w:cs="Times New Roman"/>
                <w:vertAlign w:val="subscript"/>
                <w:sz w:val="18"/>
                <w:b w:val="0"/>
                <w:i w:val="0"/>
              </w:rPr>
              <w:t>g</w:t>
            </w:r>
            <w:r>
              <w:rPr>
                <w:rFonts w:ascii="Times New Roman" w:hAnsi="Times New Roman" w:cs="Times New Roman"/>
                <w:sz w:val="18"/>
                <w:b w:val="0"/>
                <w:i w:val="0"/>
              </w:rPr>
              <w:t xml:space="preserve">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3.1</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Electron affinity χ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w:t>
            </w:r>
          </w:p>
        </w:tc>
      </w:tr>
      <w:tr>
        <w:trPr>
          <w:cantSplit w:val="true"/>
        </w:trPr>
        <w:tc>
          <w:tcPr>
            <w:tcW w:type="dxa" w:w="3118"/>
          </w:tcPr>
          <w:p>
            <w:pPr>
              <w:jc w:val="left"/>
            </w:pPr>
            <w:r>
              <w:rPr>
                <w:rFonts w:ascii="Times New Roman" w:hAnsi="Times New Roman" w:cs="Times New Roman"/>
                <w:sz w:val="18"/>
                <w:b w:val="0"/>
                <w:i w:val="0"/>
              </w:rPr>
              <w:t>Dielectric permittivity ε</w:t>
            </w:r>
            <w:r>
              <w:rPr>
                <w:rFonts w:ascii="Times New Roman" w:hAnsi="Times New Roman" w:cs="Times New Roman"/>
                <w:vertAlign w:val="subscript"/>
                <w:sz w:val="18"/>
                <w:b w:val="0"/>
                <w:i w:val="0"/>
              </w:rPr>
              <w:t>r</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15</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6.5</w:t>
            </w:r>
          </w:p>
        </w:tc>
      </w:tr>
      <w:tr>
        <w:trPr>
          <w:cantSplit w:val="true"/>
        </w:trPr>
        <w:tc>
          <w:tcPr>
            <w:tcW w:type="dxa" w:w="3118"/>
          </w:tcPr>
          <w:p>
            <w:pPr>
              <w:jc w:val="left"/>
            </w:pPr>
            <w:r>
              <w:rPr>
                <w:rFonts w:ascii="Times New Roman" w:hAnsi="Times New Roman" w:cs="Times New Roman"/>
                <w:sz w:val="18"/>
                <w:b w:val="0"/>
                <w:i w:val="0"/>
              </w:rPr>
              <w:t>CB effective DOS N</w:t>
            </w:r>
            <w:r>
              <w:rPr>
                <w:rFonts w:ascii="Times New Roman" w:hAnsi="Times New Roman" w:cs="Times New Roman"/>
                <w:vertAlign w:val="subscript"/>
                <w:sz w:val="18"/>
                <w:b w:val="0"/>
                <w:i w:val="0"/>
              </w:rPr>
              <w:t>C</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1×10¹⁷</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2.8×10¹⁹</w:t>
            </w:r>
          </w:p>
        </w:tc>
      </w:tr>
      <w:tr>
        <w:trPr>
          <w:cantSplit w:val="true"/>
        </w:trPr>
        <w:tc>
          <w:tcPr>
            <w:tcW w:type="dxa" w:w="3118"/>
          </w:tcPr>
          <w:p>
            <w:pPr>
              <w:jc w:val="left"/>
            </w:pPr>
            <w:r>
              <w:rPr>
                <w:rFonts w:ascii="Times New Roman" w:hAnsi="Times New Roman" w:cs="Times New Roman"/>
                <w:sz w:val="18"/>
                <w:b w:val="0"/>
                <w:i w:val="0"/>
              </w:rPr>
              <w:t>VB effective DOS N</w:t>
            </w:r>
            <w:r>
              <w:rPr>
                <w:rFonts w:ascii="Times New Roman" w:hAnsi="Times New Roman" w:cs="Times New Roman"/>
                <w:vertAlign w:val="subscript"/>
                <w:sz w:val="18"/>
                <w:b w:val="0"/>
                <w:i w:val="0"/>
              </w:rPr>
              <w:t>V</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1×10¹⁷</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r>
      <w:tr>
        <w:trPr>
          <w:cantSplit w:val="true"/>
        </w:trPr>
        <w:tc>
          <w:tcPr>
            <w:tcW w:type="dxa" w:w="3118"/>
          </w:tcPr>
          <w:p>
            <w:pPr>
              <w:jc w:val="left"/>
            </w:pPr>
            <w:r>
              <w:rPr>
                <w:rFonts w:ascii="Times New Roman" w:hAnsi="Times New Roman" w:cs="Times New Roman"/>
                <w:sz w:val="18"/>
                <w:b w:val="0"/>
                <w:i w:val="0"/>
              </w:rPr>
              <w:t>Electron mobility μ</w:t>
            </w:r>
            <w:r>
              <w:rPr>
                <w:rFonts w:ascii="Times New Roman" w:hAnsi="Times New Roman" w:cs="Times New Roman"/>
                <w:vertAlign w:val="subscript"/>
                <w:sz w:val="18"/>
                <w:b w:val="0"/>
                <w:i w:val="0"/>
              </w:rPr>
              <w:t>e</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28.6</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Hole mobility μ</w:t>
            </w:r>
            <w:r>
              <w:rPr>
                <w:rFonts w:ascii="Times New Roman" w:hAnsi="Times New Roman" w:cs="Times New Roman"/>
                <w:vertAlign w:val="subscript"/>
                <w:sz w:val="18"/>
                <w:b w:val="0"/>
                <w:i w:val="0"/>
              </w:rPr>
              <w:t>p</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27.3</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43.9</w:t>
            </w:r>
          </w:p>
        </w:tc>
      </w:tr>
      <w:tr>
        <w:trPr>
          <w:cantSplit w:val="true"/>
        </w:trPr>
        <w:tc>
          <w:tcPr>
            <w:tcW w:type="dxa" w:w="3118"/>
          </w:tcPr>
          <w:p>
            <w:pPr>
              <w:jc w:val="left"/>
            </w:pPr>
            <w:r>
              <w:rPr>
                <w:rFonts w:ascii="Times New Roman" w:hAnsi="Times New Roman" w:cs="Times New Roman"/>
                <w:sz w:val="18"/>
                <w:b w:val="0"/>
                <w:i w:val="0"/>
              </w:rPr>
              <w:t>Donor density N</w:t>
            </w:r>
            <w:r>
              <w:rPr>
                <w:rFonts w:ascii="Times New Roman" w:hAnsi="Times New Roman" w:cs="Times New Roman"/>
                <w:vertAlign w:val="subscript"/>
                <w:sz w:val="18"/>
                <w:b w:val="0"/>
                <w:i w:val="0"/>
              </w:rPr>
              <w:t>D</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9×10¹⁶</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r>
      <w:tr>
        <w:trPr>
          <w:cantSplit w:val="true"/>
        </w:trPr>
        <w:tc>
          <w:tcPr>
            <w:tcW w:type="dxa" w:w="3118"/>
          </w:tcPr>
          <w:p>
            <w:pPr>
              <w:jc w:val="left"/>
            </w:pPr>
            <w:r>
              <w:rPr>
                <w:rFonts w:ascii="Times New Roman" w:hAnsi="Times New Roman" w:cs="Times New Roman"/>
                <w:sz w:val="18"/>
                <w:b w:val="0"/>
                <w:i w:val="0"/>
              </w:rPr>
              <w:t>Acceptor density N</w:t>
            </w:r>
            <w:r>
              <w:rPr>
                <w:rFonts w:ascii="Times New Roman" w:hAnsi="Times New Roman" w:cs="Times New Roman"/>
                <w:vertAlign w:val="subscript"/>
                <w:sz w:val="18"/>
                <w:b w:val="0"/>
                <w:i w:val="0"/>
              </w:rPr>
              <w:t>a</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1×10¹⁸</w:t>
            </w:r>
          </w:p>
        </w:tc>
      </w:tr>
      <w:tr>
        <w:trPr>
          <w:cantSplit w:val="true"/>
        </w:trPr>
        <w:tc>
          <w:tcPr>
            <w:tcW w:type="dxa" w:w="3118"/>
          </w:tcPr>
          <w:p>
            <w:pPr>
              <w:jc w:val="left"/>
            </w:pPr>
            <w:r>
              <w:rPr>
                <w:rFonts w:ascii="Times New Roman" w:hAnsi="Times New Roman" w:cs="Times New Roman"/>
                <w:sz w:val="18"/>
                <w:b w:val="0"/>
                <w:i w:val="0"/>
              </w:rPr>
              <w:t>Bulk defect density N</w:t>
            </w:r>
            <w:r>
              <w:rPr>
                <w:rFonts w:ascii="Times New Roman" w:hAnsi="Times New Roman" w:cs="Times New Roman"/>
                <w:vertAlign w:val="subscript"/>
                <w:sz w:val="18"/>
                <w:b w:val="0"/>
                <w:i w:val="0"/>
              </w:rPr>
              <w:t>t</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r>
    </w:tbl>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t>Device</w:t>
            </w:r>
          </w:p>
        </w:tc>
        <w:tc>
          <w:tcPr>
            <w:tcW w:type="dxa" w:w="1928"/>
          </w:tcPr>
          <w:p>
            <w:r>
              <w:t>VOC (V)</w:t>
            </w:r>
          </w:p>
        </w:tc>
        <w:tc>
          <w:tcPr>
            <w:tcW w:type="dxa" w:w="1928"/>
          </w:tcPr>
          <w:p>
            <w:r>
              <w:t>JSC (mA/cm2)</w:t>
            </w:r>
          </w:p>
        </w:tc>
        <w:tc>
          <w:tcPr>
            <w:tcW w:type="dxa" w:w="1928"/>
          </w:tcPr>
          <w:p>
            <w:r>
              <w:t>FF (%)</w:t>
            </w:r>
          </w:p>
        </w:tc>
        <w:tc>
          <w:tcPr>
            <w:tcW w:type="dxa" w:w="1928"/>
          </w:tcPr>
          <w:p>
            <w:r>
              <w:t>PCE (%)</w:t>
            </w:r>
          </w:p>
        </w:tc>
      </w:tr>
      <w:tr>
        <w:tc>
          <w:tcPr>
            <w:tcW w:type="dxa" w:w="1928"/>
          </w:tcPr>
          <w:p>
            <w:r>
              <w:t>OPAT reference (Table VII)</w:t>
            </w:r>
          </w:p>
        </w:tc>
        <w:tc>
          <w:tcPr>
            <w:tcW w:type="dxa" w:w="1928"/>
          </w:tcPr>
          <w:p>
            <w:r>
              <w:t>1.13</w:t>
            </w:r>
          </w:p>
        </w:tc>
        <w:tc>
          <w:tcPr>
            <w:tcW w:type="dxa" w:w="1928"/>
          </w:tcPr>
          <w:p>
            <w:r>
              <w:t>30.32</w:t>
            </w:r>
          </w:p>
        </w:tc>
        <w:tc>
          <w:tcPr>
            <w:tcW w:type="dxa" w:w="1928"/>
          </w:tcPr>
          <w:p>
            <w:r>
              <w:t>78.26</w:t>
            </w:r>
          </w:p>
        </w:tc>
        <w:tc>
          <w:tcPr>
            <w:tcW w:type="dxa" w:w="1928"/>
          </w:tcPr>
          <w:p>
            <w:r>
              <w:t>26.81</w:t>
            </w:r>
          </w:p>
        </w:tc>
      </w:tr>
      <w:tr>
        <w:tc>
          <w:tcPr>
            <w:tcW w:type="dxa" w:w="1928"/>
          </w:tcPr>
          <w:p>
            <w:r>
              <w:t>GA joint optimum (Eg 1.33 eV)</w:t>
            </w:r>
          </w:p>
        </w:tc>
        <w:tc>
          <w:tcPr>
            <w:tcW w:type="dxa" w:w="1928"/>
          </w:tcPr>
          <w:p>
            <w:r>
              <w:t>1.13</w:t>
            </w:r>
          </w:p>
        </w:tc>
        <w:tc>
          <w:tcPr>
            <w:tcW w:type="dxa" w:w="1928"/>
          </w:tcPr>
          <w:p>
            <w:r>
              <w:t>33.06</w:t>
            </w:r>
          </w:p>
        </w:tc>
        <w:tc>
          <w:tcPr>
            <w:tcW w:type="dxa" w:w="1928"/>
          </w:tcPr>
          <w:p>
            <w:r>
              <w:t>85.26</w:t>
            </w:r>
          </w:p>
        </w:tc>
        <w:tc>
          <w:tcPr>
            <w:tcW w:type="dxa" w:w="1928"/>
          </w:tcPr>
          <w:p>
            <w:r>
              <w:t>31.78</w:t>
            </w:r>
          </w:p>
        </w:tc>
      </w:tr>
      <w:tr>
        <w:tc>
          <w:tcPr>
            <w:tcW w:type="dxa" w:w="1928"/>
          </w:tcPr>
          <w:p>
            <w:r>
              <w:t>OPAT + realistic optics</w:t>
            </w:r>
          </w:p>
        </w:tc>
        <w:tc>
          <w:tcPr>
            <w:tcW w:type="dxa" w:w="1928"/>
          </w:tcPr>
          <w:p>
            <w:r>
              <w:t>1.13</w:t>
            </w:r>
          </w:p>
        </w:tc>
        <w:tc>
          <w:tcPr>
            <w:tcW w:type="dxa" w:w="1928"/>
          </w:tcPr>
          <w:p>
            <w:r>
              <w:t>26.65</w:t>
            </w:r>
          </w:p>
        </w:tc>
        <w:tc>
          <w:tcPr>
            <w:tcW w:type="dxa" w:w="1928"/>
          </w:tcPr>
          <w:p>
            <w:r>
              <w:t>78.26</w:t>
            </w:r>
          </w:p>
        </w:tc>
        <w:tc>
          <w:tcPr>
            <w:tcW w:type="dxa" w:w="1928"/>
          </w:tcPr>
          <w:p>
            <w:r>
              <w:t>23.49</w:t>
            </w:r>
          </w:p>
        </w:tc>
      </w:tr>
      <w:tr>
        <w:tc>
          <w:tcPr>
            <w:tcW w:type="dxa" w:w="1928"/>
          </w:tcPr>
          <w:p>
            <w:r>
              <w:t>Realistic optics + Nt 1e15</w:t>
            </w:r>
          </w:p>
        </w:tc>
        <w:tc>
          <w:tcPr>
            <w:tcW w:type="dxa" w:w="1928"/>
          </w:tcPr>
          <w:p>
            <w:r>
              <w:t>1.11</w:t>
            </w:r>
          </w:p>
        </w:tc>
        <w:tc>
          <w:tcPr>
            <w:tcW w:type="dxa" w:w="1928"/>
          </w:tcPr>
          <w:p>
            <w:r>
              <w:t>26.65</w:t>
            </w:r>
          </w:p>
        </w:tc>
        <w:tc>
          <w:tcPr>
            <w:tcW w:type="dxa" w:w="1928"/>
          </w:tcPr>
          <w:p>
            <w:r>
              <w:t>~73.7</w:t>
            </w:r>
          </w:p>
        </w:tc>
        <w:tc>
          <w:tcPr>
            <w:tcW w:type="dxa" w:w="1928"/>
          </w:tcPr>
          <w:p>
            <w:r>
              <w:t>21.76</w:t>
            </w:r>
          </w:p>
        </w:tc>
      </w:tr>
      <w:tr>
        <w:tc>
          <w:tcPr>
            <w:tcW w:type="dxa" w:w="1928"/>
          </w:tcPr>
          <w:p>
            <w:r>
              <w:t>Realistic optics + Nif 1e15</w:t>
            </w:r>
          </w:p>
        </w:tc>
        <w:tc>
          <w:tcPr>
            <w:tcW w:type="dxa" w:w="1928"/>
          </w:tcPr>
          <w:p>
            <w:r>
              <w:t>1.05</w:t>
            </w:r>
          </w:p>
        </w:tc>
        <w:tc>
          <w:tcPr>
            <w:tcW w:type="dxa" w:w="1928"/>
          </w:tcPr>
          <w:p>
            <w:r>
              <w:t>26.65</w:t>
            </w:r>
          </w:p>
        </w:tc>
        <w:tc>
          <w:tcPr>
            <w:tcW w:type="dxa" w:w="1928"/>
          </w:tcPr>
          <w:p>
            <w:r>
              <w:t>~73.9</w:t>
            </w:r>
          </w:p>
        </w:tc>
        <w:tc>
          <w:tcPr>
            <w:tcW w:type="dxa" w:w="1928"/>
          </w:tcPr>
          <w:p>
            <w:r>
              <w:t>20.68</w:t>
            </w:r>
          </w:p>
        </w:tc>
      </w:tr>
      <w:tr>
        <w:tc>
          <w:tcPr>
            <w:tcW w:type="dxa" w:w="1928"/>
          </w:tcPr>
          <w:p>
            <w:r>
              <w:t>OPAT params, NC=NV=1e18</w:t>
            </w:r>
          </w:p>
        </w:tc>
        <w:tc>
          <w:tcPr>
            <w:tcW w:type="dxa" w:w="1928"/>
          </w:tcPr>
          <w:p>
            <w:r>
              <w:t>1.06</w:t>
            </w:r>
          </w:p>
        </w:tc>
        <w:tc>
          <w:tcPr>
            <w:tcW w:type="dxa" w:w="1928"/>
          </w:tcPr>
          <w:p>
            <w:r>
              <w:t>30.32</w:t>
            </w:r>
          </w:p>
        </w:tc>
        <w:tc>
          <w:tcPr>
            <w:tcW w:type="dxa" w:w="1928"/>
          </w:tcPr>
          <w:p>
            <w:r>
              <w:t>84.12</w:t>
            </w:r>
          </w:p>
        </w:tc>
        <w:tc>
          <w:tcPr>
            <w:tcW w:type="dxa" w:w="1928"/>
          </w:tcPr>
          <w:p>
            <w:r>
              <w:t>27.13</w:t>
            </w:r>
          </w:p>
        </w:tc>
      </w:tr>
      <w:tr>
        <w:tc>
          <w:tcPr>
            <w:tcW w:type="dxa" w:w="1928"/>
          </w:tcPr>
          <w:p>
            <w:r>
              <w:t>OPAT params, NC=NV=1e19</w:t>
            </w:r>
          </w:p>
        </w:tc>
        <w:tc>
          <w:tcPr>
            <w:tcW w:type="dxa" w:w="1928"/>
          </w:tcPr>
          <w:p>
            <w:r>
              <w:t>0.99</w:t>
            </w:r>
          </w:p>
        </w:tc>
        <w:tc>
          <w:tcPr>
            <w:tcW w:type="dxa" w:w="1928"/>
          </w:tcPr>
          <w:p>
            <w:r>
              <w:t>30.32</w:t>
            </w:r>
          </w:p>
        </w:tc>
        <w:tc>
          <w:tcPr>
            <w:tcW w:type="dxa" w:w="1928"/>
          </w:tcPr>
          <w:p>
            <w:r>
              <w:t>83.51</w:t>
            </w:r>
          </w:p>
        </w:tc>
        <w:tc>
          <w:tcPr>
            <w:tcW w:type="dxa" w:w="1928"/>
          </w:tcPr>
          <w:p>
            <w:r>
              <w:t>24.94</w:t>
            </w:r>
          </w:p>
        </w:tc>
      </w:tr>
    </w:tbl>
    <w:p>
      <w:pPr/>
      <w:r>
        <w:t>Table VIII. OPAT reference device versus GA joint optimum and the optically/defect-derated realistic window. FF held in optical derating; defect FF from re-simulation (Fig. 22). Optics-row VOC uses kT/q ln(J) scaling (−3 mV, absorbed in rounding); defect rows use re-simulated FF.</w:t>
      </w:r>
    </w:p>
    <w:p>
      <w:pPr>
        <w:spacing w:line="360" w:lineRule="auto" w:before="120" w:after="120"/>
        <w:ind w:firstLine="283"/>
        <w:jc w:val="both"/>
      </w:pPr>
      <w:r>
        <w:rPr>
          <w:rFonts w:ascii="Times New Roman" w:hAnsi="Times New Roman" w:cs="Times New Roman"/>
          <w:b w:val="0"/>
          <w:i w:val="0"/>
          <w:sz w:val="24"/>
        </w:rPr>
        <w:t>As an arithmetic consistency check, the final-device PCE computed from Eq. (5) using the consolidated J–V metrics is PCE = (1.13 × 30.32 × 0.7826) / 100 = 26.81%, which matches the SCAPS-1D output of 26.81% to within rounding, confirming the internal arithmetical consistency of the final reported device.</w:t>
      </w:r>
    </w:p>
    <w:p>
      <w:pPr>
        <w:pStyle w:val="Heading2"/>
      </w:pPr>
      <w:r>
        <w:t>Q. Uncertainty quantification</w:t>
      </w:r>
    </w:p>
    <w:p>
      <w:pPr>
        <w:jc w:val="both"/>
      </w:pPr>
      <w:r>
        <w:rPr>
          <w:rFonts w:ascii="Times New Roman" w:hAnsi="Times New Roman"/>
          <w:sz w:val="22"/>
        </w:rPr>
        <w:t>A Monte Carlo UQ was performed using Latin hypercube sampling (N = 200) with eight random variables: absorber thickness (500–900 nm), bandgap (1.3–1.5 eV), defect density (1×10¹³–1×10¹⁶ cm⁻³ in the absorber, 1×10¹²–1×10¹⁶ cm⁻² at each interface), N</w:t>
      </w:r>
      <w:r>
        <w:rPr>
          <w:rFonts w:ascii="Times New Roman" w:hAnsi="Times New Roman"/>
          <w:sz w:val="22"/>
          <w:vertAlign w:val="subscript"/>
        </w:rPr>
        <w:t>C</w:t>
      </w:r>
      <w:r>
        <w:rPr>
          <w:rFonts w:ascii="Times New Roman" w:hAnsi="Times New Roman"/>
          <w:sz w:val="22"/>
        </w:rPr>
        <w:t xml:space="preserve"> and N</w:t>
      </w:r>
      <w:r>
        <w:rPr>
          <w:rFonts w:ascii="Times New Roman" w:hAnsi="Times New Roman"/>
          <w:sz w:val="22"/>
          <w:vertAlign w:val="subscript"/>
        </w:rPr>
        <w:t>V</w:t>
      </w:r>
      <w:r>
        <w:rPr>
          <w:rFonts w:ascii="Times New Roman" w:hAnsi="Times New Roman"/>
          <w:sz w:val="22"/>
        </w:rPr>
        <w:t xml:space="preserve"> (1×10¹⁷–1×10¹⁹ cm⁻³ each), and dielectric constant (15–23).</w:t>
      </w:r>
    </w:p>
    <w:p>
      <w:pPr>
        <w:keepNext/>
        <w:keepLines/>
        <w:jc w:val="center"/>
      </w:pPr>
      <w:r>
        <w:drawing>
          <wp:inline xmlns:a="http://schemas.openxmlformats.org/drawingml/2006/main" xmlns:pic="http://schemas.openxmlformats.org/drawingml/2006/picture">
            <wp:extent cx="4572000" cy="3188855"/>
            <wp:docPr id="5" name="Picture 5"/>
            <wp:cNvGraphicFramePr>
              <a:graphicFrameLocks noChangeAspect="1"/>
            </wp:cNvGraphicFramePr>
            <a:graphic>
              <a:graphicData uri="http://schemas.openxmlformats.org/drawingml/2006/picture">
                <pic:pic>
                  <pic:nvPicPr>
                    <pic:cNvPr id="0" name="uncertainty_quantification.png"/>
                    <pic:cNvPicPr/>
                  </pic:nvPicPr>
                  <pic:blipFill>
                    <a:blip r:embed="rId13"/>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17. Uncertainty quantification results (N = 200). Histograms of PCE, V</w:t>
      </w:r>
      <w:r>
        <w:rPr>
          <w:rFonts w:ascii="Times New Roman" w:hAnsi="Times New Roman"/>
          <w:i/>
          <w:sz w:val="20"/>
          <w:vertAlign w:val="subscript"/>
        </w:rPr>
        <w:t>OC</w:t>
      </w:r>
      <w:r>
        <w:rPr>
          <w:rFonts w:ascii="Times New Roman" w:hAnsi="Times New Roman"/>
          <w:i/>
          <w:sz w:val="20"/>
        </w:rPr>
        <w:t>, J</w:t>
      </w:r>
      <w:r>
        <w:rPr>
          <w:rFonts w:ascii="Times New Roman" w:hAnsi="Times New Roman"/>
          <w:i/>
          <w:sz w:val="20"/>
          <w:vertAlign w:val="subscript"/>
        </w:rPr>
        <w:t>SC</w:t>
      </w:r>
      <w:r>
        <w:rPr>
          <w:rFonts w:ascii="Times New Roman" w:hAnsi="Times New Roman"/>
          <w:i/>
          <w:sz w:val="20"/>
        </w:rPr>
        <w:t>, and FF.</w:t>
      </w:r>
    </w:p>
    <w:p>
      <w:pPr>
        <w:jc w:val="both"/>
      </w:pPr>
      <w:r>
        <w:t xml:space="preserve">Mean PCE = 25.92 ± 1.78 % (median 25.85 %), with 5th/95th percentiles 23.38 % / 28.81 %. Mean </w:t>
      </w:r>
      <w:r>
        <w:t>V</w:t>
      </w:r>
      <w:r>
        <w:rPr>
          <w:vertAlign w:val="subscript"/>
        </w:rPr>
        <w:t>OC</w:t>
      </w:r>
      <w:r>
        <w:t xml:space="preserve"> = 1.087 ± 0.021 V. The UQ gives a 5th-to-95th percentile window of 23.38–28.81 %. Sampling is Latin-hypercube N = 200 over ±25% (±log for densities) as documented in the simulation campaign log; the sampling seed was not archived, so UQ exact replication requires re-sampling (all 200/200 runs converged).</w:t>
      </w:r>
    </w:p>
    <w:p>
      <w:pPr>
        <w:pStyle w:val="Heading2"/>
      </w:pPr>
      <w:r>
        <w:t>R. Illumination dependence</w:t>
      </w:r>
    </w:p>
    <w:p>
      <w:r>
        <w:t xml:space="preserve">The optimized cell was also driven under 0.1 to 1.5 suns (Figure 18). </w:t>
      </w:r>
      <w:r>
        <w:t>J</w:t>
      </w:r>
      <w:r>
        <w:rPr>
          <w:vertAlign w:val="subscript"/>
        </w:rPr>
        <w:t>SC</w:t>
      </w:r>
      <w:r>
        <w:t xml:space="preserve"> tracks intensity almost linearly, the natural consequence of carrier generation scaling with photon flux, while </w:t>
      </w:r>
      <w:r>
        <w:t>V</w:t>
      </w:r>
      <w:r>
        <w:rPr>
          <w:vertAlign w:val="subscript"/>
        </w:rPr>
        <w:t>OC</w:t>
      </w:r>
      <w:r>
        <w:t xml:space="preserve"> rises logarithmically. The slope of that logarithmic rise gives an ideality factor n ≈ 1.17, so deep-defect Shockley-Read-Hall recombination is not dominant under operating conditions, and the cell stays efficient across the entire range. Re-simulation (0.1–1.5 suns, archived illum_results.json) gives </w:t>
      </w:r>
      <w:r>
        <w:t>J</w:t>
      </w:r>
      <w:r>
        <w:rPr>
          <w:vertAlign w:val="subscript"/>
        </w:rPr>
        <w:t>SC</w:t>
      </w:r>
      <w:r>
        <w:t xml:space="preserve"> = 30.32 × suns + 0.00 (perfect linearity) and n = 1.17 from the </w:t>
      </w:r>
      <w:r>
        <w:t>V</w:t>
      </w:r>
      <w:r>
        <w:rPr>
          <w:vertAlign w:val="subscript"/>
        </w:rPr>
        <w:t>OC</w:t>
      </w:r>
      <w:r>
        <w:t>–ln(I) slope, confirming the reported n ≈ 1.2.</w:t>
      </w:r>
    </w:p>
    <w:p>
      <w:pPr>
        <w:keepNext/>
        <w:keepLines/>
        <w:jc w:val="center"/>
      </w:pPr>
      <w:r/>
      <w:r>
        <w:drawing>
          <wp:inline xmlns:a="http://schemas.openxmlformats.org/drawingml/2006/main" xmlns:pic="http://schemas.openxmlformats.org/drawingml/2006/picture">
            <wp:extent cx="4457700" cy="3109133"/>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457700" cy="3109133"/>
                    </a:xfrm>
                    <a:prstGeom prst="rect"/>
                  </pic:spPr>
                </pic:pic>
              </a:graphicData>
            </a:graphic>
          </wp:inline>
        </w:drawing>
      </w:r>
    </w:p>
    <w:p>
      <w:pPr>
        <w:jc w:val="center"/>
      </w:pPr>
      <w:r>
        <w:rPr>
          <w:sz w:val="20"/>
        </w:rPr>
        <w:t>Fig. 18. Variation of photovoltaic parameters of the optimized device with illumination intensity from 0.1 to 1.5 suns.</w:t>
      </w:r>
    </w:p>
    <w:p>
      <w:pPr>
        <w:pStyle w:val="Heading2"/>
      </w:pPr>
      <w:r>
        <w:t>S. Dark J–V characteristics</w:t>
      </w:r>
    </w:p>
    <w:p>
      <w:r>
        <w:rPr/>
        <w:t xml:space="preserve">Under dark bias (Figure 19) the cell rectifies hard: forward current at +1 V exceeds reverse current at −0.5 V by a factor of 1.8×10¹⁰, and leakage stays under 10⁻¹⁰ A/cm² across the whole reverse window (−0.5 to +1.3 V). The exponential forward region fits to an ideality factor of n ≈ 1.5 and a reverse saturation current J0 ≈ 5×10⁻¹¹ A/cm². Together these numbers describe high-quality bulk and interfaces with no measurable shunts.</w:t>
      </w:r>
    </w:p>
    <w:p>
      <w:pPr>
        <w:keepNext/>
        <w:keepLines/>
        <w:jc w:val="center"/>
      </w:pPr>
      <w:r/>
      <w:r>
        <w:drawing>
          <wp:inline xmlns:a="http://schemas.openxmlformats.org/drawingml/2006/main" xmlns:pic="http://schemas.openxmlformats.org/drawingml/2006/picture">
            <wp:extent cx="4457700" cy="1853159"/>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457700" cy="1853159"/>
                    </a:xfrm>
                    <a:prstGeom prst="rect"/>
                  </pic:spPr>
                </pic:pic>
              </a:graphicData>
            </a:graphic>
          </wp:inline>
        </w:drawing>
      </w:r>
    </w:p>
    <w:p>
      <w:pPr>
        <w:jc w:val="center"/>
      </w:pPr>
      <w:r>
        <w:rPr>
          <w:sz w:val="20"/>
        </w:rPr>
        <w:t>Fig. 19. Dark J–V characteristic of the optimized device. The forward branch is exponential over nearly three decades; the reverse branch remains below 10⁻¹⁰ A/cm².</w:t>
      </w:r>
    </w:p>
    <w:p>
      <w:pPr>
        <w:pStyle w:val="Heading2"/>
      </w:pPr>
      <w:r>
        <w:t>T. Temperature dependence</w:t>
      </w:r>
    </w:p>
    <w:p>
      <w:pPr>
        <w:jc w:val="both"/>
      </w:pPr>
      <w:r>
        <w:rPr>
          <w:rFonts w:ascii="Times New Roman" w:hAnsi="Times New Roman"/>
          <w:sz w:val="22"/>
        </w:rPr>
        <w:t>Temperature dependence from 280 K to 400 K (20 K increments) under AM 1.5G.</w:t>
      </w:r>
    </w:p>
    <w:p>
      <w:pPr>
        <w:keepNext/>
        <w:keepLines/>
        <w:jc w:val="center"/>
      </w:pPr>
      <w:r>
        <w:drawing>
          <wp:inline xmlns:a="http://schemas.openxmlformats.org/drawingml/2006/main" xmlns:pic="http://schemas.openxmlformats.org/drawingml/2006/picture">
            <wp:extent cx="4572000" cy="3188855"/>
            <wp:docPr id="6" name="Picture 6"/>
            <wp:cNvGraphicFramePr>
              <a:graphicFrameLocks noChangeAspect="1"/>
            </wp:cNvGraphicFramePr>
            <a:graphic>
              <a:graphicData uri="http://schemas.openxmlformats.org/drawingml/2006/picture">
                <pic:pic>
                  <pic:nvPicPr>
                    <pic:cNvPr id="0" name="temperature_sweep.png"/>
                    <pic:cNvPicPr/>
                  </pic:nvPicPr>
                  <pic:blipFill>
                    <a:blip r:embed="rId14"/>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20. Temperature dependence of photovoltaic parameters from 280 K to 400 K.</w:t>
      </w:r>
    </w:p>
    <w:p>
      <w:pPr>
        <w:jc w:val="both"/>
      </w:pPr>
      <w:r>
        <w:t>d</w:t>
      </w:r>
      <w:r>
        <w:t>V</w:t>
      </w:r>
      <w:r>
        <w:rPr>
          <w:vertAlign w:val="subscript"/>
        </w:rPr>
        <w:t>OC</w:t>
      </w:r>
      <w:r>
        <w:t xml:space="preserve">/dT = −1.10 mV/K, dPCE/dT = −0.0302 %/K. </w:t>
      </w:r>
      <w:r>
        <w:t>J</w:t>
      </w:r>
      <w:r>
        <w:rPr>
          <w:vertAlign w:val="subscript"/>
        </w:rPr>
        <w:t>SC</w:t>
      </w:r>
      <w:r>
        <w:t xml:space="preserve"> increases marginally. FF peaks at 331 K (80.17 %). Device retains &gt;85 % of RT PCE at 400 K. Linear extrapolation of </w:t>
      </w:r>
      <w:r>
        <w:t>V</w:t>
      </w:r>
      <w:r>
        <w:rPr>
          <w:vertAlign w:val="subscript"/>
        </w:rPr>
        <w:t>OC</w:t>
      </w:r>
      <w:r>
        <w:t>(T) to 0 K gives an activation energy Ea = 1.46 eV, within 0.06 eV of the absorber bandgap (1.4 eV). Ea approx Eg is the standard diagnostic for bulk-dominated recombination; an interface-limited device would extrapolate well below Eg. Fabricated cells whose measured Ea falls short of 1.4 eV should therefore be diagnosed for interface recombination first.</w:t>
      </w:r>
    </w:p>
    <w:p>
      <w:r>
        <w:drawing>
          <wp:inline xmlns:a="http://schemas.openxmlformats.org/drawingml/2006/main" xmlns:pic="http://schemas.openxmlformats.org/drawingml/2006/picture">
            <wp:extent cx="5029200" cy="2828925"/>
            <wp:docPr id="26" name="Picture 26"/>
            <wp:cNvGraphicFramePr>
              <a:graphicFrameLocks noChangeAspect="1"/>
            </wp:cNvGraphicFramePr>
            <a:graphic>
              <a:graphicData uri="http://schemas.openxmlformats.org/drawingml/2006/picture">
                <pic:pic>
                  <pic:nvPicPr>
                    <pic:cNvPr id="0" name="fig_r4_ga_convergence.png"/>
                    <pic:cNvPicPr/>
                  </pic:nvPicPr>
                  <pic:blipFill>
                    <a:blip r:embed="rId38"/>
                    <a:stretch>
                      <a:fillRect/>
                    </a:stretch>
                  </pic:blipFill>
                  <pic:spPr>
                    <a:xfrm>
                      <a:off x="0" y="0"/>
                      <a:ext cx="5029200" cy="2828925"/>
                    </a:xfrm>
                    <a:prstGeom prst="rect"/>
                  </pic:spPr>
                </pic:pic>
              </a:graphicData>
            </a:graphic>
          </wp:inline>
        </w:drawing>
      </w:r>
    </w:p>
    <w:p>
      <w:r>
        <w:t>Fig. 21. Genetic-algorithm joint optimization over bandgap, bulk/interface defect densities, NC, NV, and absorber thickness. Best PCE rises from 31.35% (generation 0) to 31.78% (generation 5), 5 points above the OPAT point (red dashed).</w:t>
      </w:r>
    </w:p>
    <w:p>
      <w:r>
        <w:drawing>
          <wp:inline xmlns:a="http://schemas.openxmlformats.org/drawingml/2006/main" xmlns:pic="http://schemas.openxmlformats.org/drawingml/2006/picture">
            <wp:extent cx="5029200" cy="2057400"/>
            <wp:docPr id="27" name="Picture 27"/>
            <wp:cNvGraphicFramePr>
              <a:graphicFrameLocks noChangeAspect="1"/>
            </wp:cNvGraphicFramePr>
            <a:graphic>
              <a:graphicData uri="http://schemas.openxmlformats.org/drawingml/2006/picture">
                <pic:pic>
                  <pic:nvPicPr>
                    <pic:cNvPr id="0" name="fig_r4_defect_tolerance.png"/>
                    <pic:cNvPicPr/>
                  </pic:nvPicPr>
                  <pic:blipFill>
                    <a:blip r:embed="rId39"/>
                    <a:stretch>
                      <a:fillRect/>
                    </a:stretch>
                  </pic:blipFill>
                  <pic:spPr>
                    <a:xfrm>
                      <a:off x="0" y="0"/>
                      <a:ext cx="5029200" cy="2057400"/>
                    </a:xfrm>
                    <a:prstGeom prst="rect"/>
                  </pic:spPr>
                </pic:pic>
              </a:graphicData>
            </a:graphic>
          </wp:inline>
        </w:drawing>
      </w:r>
    </w:p>
    <w:p>
      <w:r>
        <w:t>Fig. 22. Defect tolerance of the OPAT device. Raising bulk Nt to 10^15 (10^16) cm-3 drops PCE to 24.84% (21.45%); raising interface Nt to 10^15 (10^16) cm-2 drops PCE to 23.60% (18.40%). JSC is nearly unchanged; VOC and FF collapse.</w:t>
      </w:r>
    </w:p>
    <w:p>
      <w:r>
        <w:drawing>
          <wp:inline xmlns:a="http://schemas.openxmlformats.org/drawingml/2006/main" xmlns:pic="http://schemas.openxmlformats.org/drawingml/2006/picture">
            <wp:extent cx="5029200" cy="2794000"/>
            <wp:docPr id="28" name="Picture 28"/>
            <wp:cNvGraphicFramePr>
              <a:graphicFrameLocks noChangeAspect="1"/>
            </wp:cNvGraphicFramePr>
            <a:graphic>
              <a:graphicData uri="http://schemas.openxmlformats.org/drawingml/2006/picture">
                <pic:pic>
                  <pic:nvPicPr>
                    <pic:cNvPr id="0" name="fig_r4_derating_waterfall.png"/>
                    <pic:cNvPicPr/>
                  </pic:nvPicPr>
                  <pic:blipFill>
                    <a:blip r:embed="rId40"/>
                    <a:stretch>
                      <a:fillRect/>
                    </a:stretch>
                  </pic:blipFill>
                  <pic:spPr>
                    <a:xfrm>
                      <a:off x="0" y="0"/>
                      <a:ext cx="5029200" cy="2794000"/>
                    </a:xfrm>
                    <a:prstGeom prst="rect"/>
                  </pic:spPr>
                </pic:pic>
              </a:graphicData>
            </a:graphic>
          </wp:inline>
        </w:drawing>
      </w:r>
    </w:p>
    <w:p>
      <w:r>
        <w:t xml:space="preserve">Fig. 23. From ideal SCAPS (26.81%) to realistic PCE. Front-surface reflection (~10% at air/FTO) and parasitic absorption in </w:t>
      </w:r>
      <w:r>
        <w:t>TiO</w:t>
      </w:r>
      <w:r>
        <w:rPr>
          <w:vertAlign w:val="subscript"/>
        </w:rPr>
        <w:t>2</w:t>
      </w:r>
      <w:r>
        <w:t>/CuI lower PCE to 23.49%; realistic defect densities (10^15 cm-3 bulk or cm-2 interface) bound the plausible window to 20.7-21.8%. Supplementary first-order estimate only; coupled transfer-matrix re-simulation is future work.</w:t>
      </w:r>
    </w:p>
    <w:sectPr w:rsidR="00FC693F" w:rsidRPr="0006063C" w:rsidSect="00034616">
      <w:pgSz w:w="12240" w:h="15840"/>
      <w:pgMar w:top="1440" w:right="1800" w:bottom="1440" w:left="1800" w:header="720" w:footer="720" w:gutter="0"/>
      <w:cols w:space="720"/>
      <w:docGrid w:linePitch="360"/>
    </w:sectPr>
    <w:p>
      <w:r>
        <w:t xml:space="preserve">U. Effect of background acceptor doping. Germanium halide perovskites form Ge vacancies that act as intrinsic p-type dopants, so a perfectly intrinsic absorber is an experimental fiction. Sweeping NA from 10^14 to 10^17 cm-3 (Fig. 26), PCE peaks at 26.82% near 3x10^14 cm-3 and stays within 0.9 pp up to 10^16 cm-3 (26.46%). </w:t>
      </w:r>
      <w:r>
        <w:t>V</w:t>
      </w:r>
      <w:r>
        <w:rPr>
          <w:vertAlign w:val="subscript"/>
        </w:rPr>
        <w:t>OC</w:t>
      </w:r>
      <w:r>
        <w:t xml:space="preserve"> rises monotonically (1.13 to 1.17 V) through the larger built-in potential, while </w:t>
      </w:r>
      <w:r>
        <w:t>J</w:t>
      </w:r>
      <w:r>
        <w:rPr>
          <w:vertAlign w:val="subscript"/>
        </w:rPr>
        <w:t>SC</w:t>
      </w:r>
      <w:r>
        <w:t xml:space="preserve"> collapses above 10^16 cm-3 (30.31 to 27.83 mA/cm2) as the depletion width shrinks. Synthetic target: keep background doping at or below 10^15 cm-3, where the penalty is under 0.1 pp.</w:t>
      </w:r>
    </w:p>
    <w:p>
      <w:r>
        <w:t>V. Effect of series resistance: manufacturing tolerance. Scalable coating (slot-die, screen printing) inevitably adds contact and sheet resistance, so the ideal-contact (Rs = 0) result was corrected externally (V -&gt; V - J x Rs, the standard post-processing since SCAPS scripting exposes no Rs key). FF falls from 78.26% to 56.82% and PCE from 26.81% to 19.46% as Rs goes from 0 to 10 ohm.cm2 (Fig. 27); PCE stays above 20% up to Rs = 8 ohm.cm2 and above 22% up to Rs = 6 ohm.cm2. Typical printed contacts (2-4 ohm.cm2) therefore cost only 1.6-3.1 pp, and Rs = 8 ohm.cm2 is the manufacturing tolerance threshold for a 20%-efficient module.</w:t>
      </w:r>
    </w:p>
    <w:p>
      <w:r>
        <w:t>W. Absorber mobility viability. Lead-free perovskites crystallize worse than lead-based ones, so electron/hole mobilities were swept jointly from 1 to 100 cm2/Vs (Fig. 28). PCE is log-linear in mobility (22.58% at 1, 24.41% at 5, 25.84% at 15, 26.88% at 30, 28.52% at 100), with electron mobility dominant: (mun, mup) = (30, 5) gives 27.01% but (5, 30) only 24.36%. The 700 nm absorber remains optimal over 400 nm at mu = 5-15 cm2/Vs (by ~2 pp), so no thickness retreat is needed; the crystallization target is mu &gt;= 15 cm2/Vs for PCE above 25.8%.</w:t>
      </w:r>
    </w:p>
    <w:p>
      <w:r>
        <w:t xml:space="preserve">B. A-site cation influence: </w:t>
      </w:r>
      <w:r>
        <w:t>RbG</w:t>
      </w:r>
      <w:r>
        <w:rPr>
          <w:vertAlign w:val="subscript"/>
        </w:rPr>
        <w:t>eI3</w:t>
      </w:r>
      <w:r>
        <w:t xml:space="preserve"> versus </w:t>
      </w:r>
      <w:r>
        <w:t>CsG</w:t>
      </w:r>
      <w:r>
        <w:rPr>
          <w:vertAlign w:val="subscript"/>
        </w:rPr>
        <w:t>eI3</w:t>
      </w:r>
      <w:r>
        <w:t xml:space="preserve">. To isolate the A-site effect, </w:t>
      </w:r>
      <w:r>
        <w:t>CsG</w:t>
      </w:r>
      <w:r>
        <w:rPr>
          <w:vertAlign w:val="subscript"/>
        </w:rPr>
        <w:t>eI3</w:t>
      </w:r>
      <w:r>
        <w:t xml:space="preserve"> was simulated in the identical </w:t>
      </w:r>
      <w:r>
        <w:t>Ti</w:t>
      </w:r>
      <w:r>
        <w:rPr>
          <w:vertAlign w:val="subscript"/>
        </w:rPr>
        <w:t>O2</w:t>
      </w:r>
      <w:r>
        <w:t>/</w:t>
      </w:r>
      <w:r>
        <w:t>C</w:t>
      </w:r>
      <w:r>
        <w:rPr>
          <w:vertAlign w:val="subscript"/>
        </w:rPr>
        <w:t>uI</w:t>
      </w:r>
      <w:r>
        <w:t xml:space="preserve"> stack changing only the absorber bandgap (1.4 -&gt; 1.6 eV); the A-site cation carries no weight at the Ge-4s/I-5p-derived band edges, so its role is structural (tolerance factor, octahedral tilt). A control rerun of </w:t>
      </w:r>
      <w:r>
        <w:t>CsG</w:t>
      </w:r>
      <w:r>
        <w:rPr>
          <w:vertAlign w:val="subscript"/>
        </w:rPr>
        <w:t>eI3</w:t>
      </w:r>
      <w:r>
        <w:t xml:space="preserve"> at Eg = 1.4 eV reproduces the </w:t>
      </w:r>
      <w:r>
        <w:t>RbG</w:t>
      </w:r>
      <w:r>
        <w:rPr>
          <w:vertAlign w:val="subscript"/>
        </w:rPr>
        <w:t>eI3</w:t>
      </w:r>
      <w:r>
        <w:t xml:space="preserve"> point exactly (26.81%), proving the isolation. The consolidated </w:t>
      </w:r>
      <w:r>
        <w:t>CsG</w:t>
      </w:r>
      <w:r>
        <w:rPr>
          <w:vertAlign w:val="subscript"/>
        </w:rPr>
        <w:t>eI3</w:t>
      </w:r>
      <w:r>
        <w:t xml:space="preserve"> point (Table X) gives </w:t>
      </w:r>
      <w:r>
        <w:t>V</w:t>
      </w:r>
      <w:r>
        <w:rPr>
          <w:vertAlign w:val="subscript"/>
        </w:rPr>
        <w:t>OC</w:t>
      </w:r>
      <w:r>
        <w:t xml:space="preserve"> = 1.17 V, </w:t>
      </w:r>
      <w:r>
        <w:t>J</w:t>
      </w:r>
      <w:r>
        <w:rPr>
          <w:vertAlign w:val="subscript"/>
        </w:rPr>
        <w:t>SC</w:t>
      </w:r>
      <w:r>
        <w:t xml:space="preserve"> = 23.18 mA/cm2, FF = 72.65%, PCE = 19.66%: Cs wins </w:t>
      </w:r>
      <w:r>
        <w:t>V</w:t>
      </w:r>
      <w:r>
        <w:rPr>
          <w:vertAlign w:val="subscript"/>
        </w:rPr>
        <w:t>OC</w:t>
      </w:r>
      <w:r>
        <w:t xml:space="preserve"> by 0.04 V through the wider gap, Rb wins </w:t>
      </w:r>
      <w:r>
        <w:t>J</w:t>
      </w:r>
      <w:r>
        <w:rPr>
          <w:vertAlign w:val="subscript"/>
        </w:rPr>
        <w:t>SC</w:t>
      </w:r>
      <w:r>
        <w:t xml:space="preserve"> by 7.1 mA/cm2 and FF by 5.6 pp. The FF gap traces to </w:t>
      </w:r>
      <w:r>
        <w:t>C</w:t>
      </w:r>
      <w:r>
        <w:rPr>
          <w:vertAlign w:val="subscript"/>
        </w:rPr>
        <w:t>uI</w:t>
      </w:r>
      <w:r>
        <w:t xml:space="preserve"> alignment: the valence-band cliff grows from 0.10 eV (Rb) to 0.30 eV (Cs), so </w:t>
      </w:r>
      <w:r>
        <w:t>C</w:t>
      </w:r>
      <w:r>
        <w:rPr>
          <w:vertAlign w:val="subscript"/>
        </w:rPr>
        <w:t>uI</w:t>
      </w:r>
      <w:r>
        <w:t xml:space="preserve"> is uniquely synergistic with </w:t>
      </w:r>
      <w:r>
        <w:t>RbG</w:t>
      </w:r>
      <w:r>
        <w:rPr>
          <w:vertAlign w:val="subscript"/>
        </w:rPr>
        <w:t>eI3</w:t>
      </w:r>
      <w:r>
        <w:t xml:space="preserve"> rather than a universal Ge-perovskite HTL. Under defect derating the ranking is unchanged (realistic Nt = 10^15: 24.84% vs 19.36%; high oxidation Nt = 10^16: 21.45% vs 17.28%, Fig. 30). A full 11-parameter OAT mirror for </w:t>
      </w:r>
      <w:r>
        <w:t>CsG</w:t>
      </w:r>
      <w:r>
        <w:rPr>
          <w:vertAlign w:val="subscript"/>
        </w:rPr>
        <w:t>eI3</w:t>
      </w:r>
      <w:r>
        <w:t xml:space="preserve"> (71 runs) finds the same per-family trends, with one curiosity: 90 nm </w:t>
      </w:r>
      <w:r>
        <w:t>Ti</w:t>
      </w:r>
      <w:r>
        <w:rPr>
          <w:vertAlign w:val="subscript"/>
        </w:rPr>
        <w:t>O2</w:t>
      </w:r>
      <w:r>
        <w:t xml:space="preserve"> lifts the Cs point to 23.12% (FF 88.26%, confirmed by rerun), an interface effect flagged for follow-up and not adopted in the consolidated comparison.</w:t>
      </w:r>
    </w:p>
    <w:p>
      <w:pPr>
        <w:pStyle w:val="Heading1"/>
        <w:keepNext/>
        <w:spacing w:before="320" w:after="120" w:line="360" w:lineRule="auto"/>
      </w:pPr>
      <w:r>
        <w:rPr>
          <w:rFonts w:ascii="Times New Roman" w:hAnsi="Times New Roman" w:cs="Times New Roman"/>
          <w:b/>
          <w:i w:val="0"/>
          <w:sz w:val="28"/>
        </w:rPr>
        <w:t>VI. Comparison with Literature</w:t>
      </w:r>
    </w:p>
    <w:p>
      <w:pPr>
        <w:pStyle w:val="Heading2"/>
      </w:pPr>
      <w:r>
        <w:t>A. Benchmarking against recent literature</w:t>
      </w:r>
    </w:p>
    <w:p>
      <w:pPr>
        <w:spacing w:line="360" w:lineRule="auto" w:before="120" w:after="120"/>
        <w:ind w:firstLine="283"/>
        <w:jc w:val="both"/>
      </w:pPr>
      <w:r>
        <w:t>Table IX compares the optimized FTO/</w:t>
      </w:r>
      <w:r>
        <w:t>TiO</w:t>
      </w:r>
      <w:r>
        <w:rPr>
          <w:vertAlign w:val="subscript"/>
        </w:rPr>
        <w:t>2</w:t>
      </w:r>
      <w:r>
        <w:t>/</w:t>
      </w:r>
      <w:r>
        <w:t>RbGeI</w:t>
      </w:r>
      <w:r>
        <w:rPr>
          <w:vertAlign w:val="subscript"/>
        </w:rPr>
        <w:t>3</w:t>
      </w:r>
      <w:r>
        <w:t>/</w:t>
      </w:r>
      <w:r>
        <w:t>Cu</w:t>
      </w:r>
      <w:r>
        <w:rPr>
          <w:vertAlign w:val="subscript"/>
        </w:rPr>
        <w:t>I</w:t>
      </w:r>
      <w:r>
        <w:t xml:space="preserve">/Au device with recently reported </w:t>
      </w:r>
      <w:r>
        <w:t>RbGeI</w:t>
      </w:r>
      <w:r>
        <w:rPr>
          <w:vertAlign w:val="subscript"/>
        </w:rPr>
        <w:t>3</w:t>
      </w:r>
      <w:r>
        <w:t xml:space="preserve">-based and related lead-free Ge/Sn-based perovskite solar cells. The proposed device achieves a highly competitive </w:t>
      </w:r>
      <w:r>
        <w:t>V</w:t>
      </w:r>
      <w:r>
        <w:rPr>
          <w:vertAlign w:val="subscript"/>
        </w:rPr>
        <w:t>OC</w:t>
      </w:r>
      <w:r>
        <w:t xml:space="preserve"> (1.13 V) among the </w:t>
      </w:r>
      <w:r>
        <w:t>RbGeI</w:t>
      </w:r>
      <w:r>
        <w:rPr>
          <w:vertAlign w:val="subscript"/>
        </w:rPr>
        <w:t>3</w:t>
      </w:r>
      <w:r>
        <w:t xml:space="preserve"> simulation studies, second only to the 1.18 V reported by Pathak et al. [23], with a PCE of 26.81%, within 0.40 pp of the best reported value (27.21%, Loumachi et al. [22]) and exceeding the 26.47% of Pathak et al. [23] by 0.34 pp, the 18.60% of Raj et al. [39] by 8.21 pp, and the 9.77% simulation baseline of Pindolia et al. [14] by 17 pp. The performance is competitive with the best tin-based lead-free devices (including the 26.40% CsSnI3 device of Park et al. [40] and the 25.98% MASnI3 device of Islam et al. [41]), while avoiding the Sn²⁺ → Sn⁴⁺ oxidation that limits the long-term stability of tin-based absorbers. The proposed PCE also exceeds that of CZTS-HTL lead-free devices reported by Piñón Reyes et al. [42], confirming the competitiveness of the all-inorganic </w:t>
      </w:r>
      <w:r>
        <w:t>Cu</w:t>
      </w:r>
      <w:r>
        <w:rPr>
          <w:vertAlign w:val="subscript"/>
        </w:rPr>
        <w:t>I</w:t>
      </w:r>
      <w:r>
        <w:t xml:space="preserve"> HTL approach adopted here.</w:t>
      </w:r>
    </w:p>
    <w:p>
      <w:pPr>
        <w:spacing w:line="360" w:lineRule="auto" w:before="120" w:after="120"/>
        <w:ind w:firstLine="283"/>
        <w:jc w:val="both"/>
      </w:pPr>
      <w:r>
        <w:t xml:space="preserve">All comparator values in Table IX were cross-checked against the primary sources; where an entry was internally inconsistent, the efficiency consistent with its reported </w:t>
      </w:r>
      <w:r>
        <w:t>V</w:t>
      </w:r>
      <w:r>
        <w:rPr>
          <w:vertAlign w:val="subscript"/>
        </w:rPr>
        <w:t>OC</w:t>
      </w:r>
      <w:r>
        <w:t xml:space="preserve">, </w:t>
      </w:r>
      <w:r>
        <w:t>J</w:t>
      </w:r>
      <w:r>
        <w:rPr>
          <w:vertAlign w:val="subscript"/>
        </w:rPr>
        <w:t>SC</w:t>
      </w:r>
      <w:r>
        <w:t>, and FF was adopted. All entries are SCAPS-1D simulation studies, including the Pindolia et al. entry (not an experimental study, despite occasional mischaracterization); the Loumachi et al. device string is ITO/C60/</w:t>
      </w:r>
      <w:r>
        <w:t>RbGeI</w:t>
      </w:r>
      <w:r>
        <w:rPr>
          <w:vertAlign w:val="subscript"/>
        </w:rPr>
        <w:t>3</w:t>
      </w:r>
      <w:r>
        <w:t>/CBTS/Ag (Section II).</w:t>
      </w:r>
    </w:p>
    <w:p>
      <w:pPr>
        <w:keepNext/>
        <w:spacing w:before="120" w:after="40"/>
        <w:jc w:val="center"/>
      </w:pPr>
      <w:r>
        <w:t>Table IX. Comparison of the proposed device with recently reported lead-free perovskite solar cells. All comparator values verified against primary sources. All entries are SCAPS-1D simulation studies.</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337"/>
        <w:gridCol w:w="1337"/>
        <w:gridCol w:w="1337"/>
        <w:gridCol w:w="1337"/>
        <w:gridCol w:w="1337"/>
        <w:gridCol w:w="1337"/>
        <w:gridCol w:w="1337"/>
      </w:tblGrid>
      <w:tr>
        <w:trPr>
          <w:tblHeader w:val="true"/>
          <w:cantSplit w:val="true"/>
        </w:trPr>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Device Structure</w:t>
            </w:r>
          </w:p>
        </w:tc>
        <w:tc>
          <w:tcPr>
            <w:tcW w:type="dxa" w:w="964"/>
            <w:tcBorders>
              <w:bottom w:val="single" w:sz="4" w:space="0" w:color="000000"/>
            </w:tcBorders>
          </w:tcPr>
          <w:p>
            <w:pPr>
              <w:jc w:val="center"/>
            </w:pPr>
            <w:r>
              <w:rPr>
                <w:rFonts w:ascii="Times New Roman" w:hAnsi="Times New Roman" w:cs="Times New Roman"/>
                <w:sz w:val="20"/>
                <w:b w:val="0"/>
                <w:i w:val="0"/>
              </w:rPr>
              <w:t>V</w:t>
            </w:r>
            <w:r>
              <w:rPr>
                <w:rFonts w:ascii="Times New Roman" w:hAnsi="Times New Roman" w:cs="Times New Roman"/>
                <w:vertAlign w:val="subscript"/>
                <w:sz w:val="20"/>
                <w:b w:val="0"/>
                <w:i w:val="0"/>
              </w:rPr>
              <w:t>OC</w:t>
            </w:r>
            <w:r>
              <w:rPr>
                <w:rFonts w:ascii="Times New Roman" w:hAnsi="Times New Roman" w:cs="Times New Roman"/>
                <w:sz w:val="20"/>
                <w:b w:val="0"/>
                <w:i w:val="0"/>
              </w:rPr>
              <w:t xml:space="preserve"> (V)</w:t>
            </w:r>
          </w:p>
        </w:tc>
        <w:tc>
          <w:tcPr>
            <w:tcW w:type="dxa" w:w="1134"/>
            <w:tcBorders>
              <w:bottom w:val="single" w:sz="4" w:space="0" w:color="000000"/>
            </w:tcBorders>
          </w:tcPr>
          <w:p>
            <w:pPr>
              <w:jc w:val="center"/>
            </w:pPr>
            <w:r>
              <w:rPr>
                <w:rFonts w:ascii="Times New Roman" w:hAnsi="Times New Roman" w:cs="Times New Roman"/>
                <w:sz w:val="20"/>
                <w:b w:val="0"/>
                <w:i w:val="0"/>
              </w:rPr>
              <w:t>J</w:t>
            </w:r>
            <w:r>
              <w:rPr>
                <w:rFonts w:ascii="Times New Roman" w:hAnsi="Times New Roman" w:cs="Times New Roman"/>
                <w:vertAlign w:val="subscript"/>
                <w:sz w:val="20"/>
                <w:b w:val="0"/>
                <w:i w:val="0"/>
              </w:rPr>
              <w:t>SC</w:t>
            </w:r>
            <w:r>
              <w:rPr>
                <w:rFonts w:ascii="Times New Roman" w:hAnsi="Times New Roman" w:cs="Times New Roman"/>
                <w:sz w:val="20"/>
                <w:b w:val="0"/>
                <w:i w:val="0"/>
              </w:rPr>
              <w:t xml:space="preserve"> (mA/cm²)</w:t>
            </w:r>
          </w:p>
        </w:tc>
        <w:tc>
          <w:tcPr>
            <w:tcW w:type="dxa" w:w="79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FF (%)</w:t>
            </w:r>
          </w:p>
        </w:tc>
        <w:tc>
          <w:tcPr>
            <w:tcW w:type="dxa" w:w="79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PCE (%)</w:t>
            </w:r>
          </w:p>
        </w:tc>
        <w:tc>
          <w:tcPr>
            <w:tcW w:type="dxa" w:w="113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Year [Ref.]</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Method</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/NiO/Ag</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0.5311</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28.89</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63.68</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9.77</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2022 [14]</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/CsGeI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0.667</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22.06</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73.49</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10.80</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2022 [24]</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ITO/C</w:t>
            </w:r>
            <w:r>
              <w:rPr>
                <w:rFonts w:ascii="Times New Roman" w:hAnsi="Times New Roman" w:cs="Times New Roman"/>
                <w:vertAlign w:val="subscript"/>
                <w:sz w:val="18"/>
                <w:b w:val="0"/>
                <w:i w:val="0"/>
              </w:rPr>
              <w:t>60</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/CBTS/Ag</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0.99</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33.20</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82.80</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27.21</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2024 [22]</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/PEDOT:PSS/Au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0.813</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30.84</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74.19</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18.60</w:t>
            </w:r>
          </w:p>
        </w:tc>
        <w:tc>
          <w:tcPr>
            <w:tcW w:type="dxa" w:w="1134"/>
          </w:tcPr>
          <w:p>
            <w:pPr>
              <w:jc w:val="center"/>
            </w:pPr>
            <w:r>
              <w:rPr>
                <w:rFonts w:ascii="Times New Roman" w:hAnsi="Times New Roman" w:cs="Times New Roman"/>
                <w:b w:val="0"/>
                <w:i w:val="0"/>
                <w:sz w:val="18"/>
              </w:rPr>
              <w:t xml:space="preserve">2025 [39]</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/MASnI</w:t>
            </w:r>
            <w:r>
              <w:rPr>
                <w:rFonts w:ascii="Times New Roman" w:hAnsi="Times New Roman" w:cs="Times New Roman"/>
                <w:vertAlign w:val="subscript"/>
                <w:sz w:val="18"/>
                <w:b w:val="0"/>
                <w:i w:val="0"/>
              </w:rPr>
              <w:t>3</w:t>
            </w:r>
            <w:r>
              <w:rPr>
                <w:rFonts w:ascii="Times New Roman" w:hAnsi="Times New Roman" w:cs="Times New Roman"/>
                <w:sz w:val="18"/>
                <w:b w:val="0"/>
                <w:i w:val="0"/>
              </w:rPr>
              <w:t>/CBTS/Au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1.030</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30.24</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83.41</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25.98</w:t>
            </w:r>
          </w:p>
        </w:tc>
        <w:tc>
          <w:tcPr>
            <w:tcW w:type="dxa" w:w="1134"/>
          </w:tcPr>
          <w:p>
            <w:pPr>
              <w:jc w:val="center"/>
            </w:pPr>
            <w:r>
              <w:rPr>
                <w:rFonts w:ascii="Times New Roman" w:hAnsi="Times New Roman" w:cs="Times New Roman"/>
                <w:b w:val="0"/>
                <w:i w:val="0"/>
                <w:sz w:val="18"/>
              </w:rPr>
              <w:t xml:space="preserve">2026 [41]</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/MASnI</w:t>
            </w:r>
            <w:r>
              <w:rPr>
                <w:rFonts w:ascii="Times New Roman" w:hAnsi="Times New Roman" w:cs="Times New Roman"/>
                <w:vertAlign w:val="subscript"/>
                <w:sz w:val="18"/>
                <w:b w:val="0"/>
                <w:i w:val="0"/>
              </w:rPr>
              <w:t>3</w:t>
            </w:r>
            <w:r>
              <w:rPr>
                <w:rFonts w:ascii="Times New Roman" w:hAnsi="Times New Roman" w:cs="Times New Roman"/>
                <w:sz w:val="18"/>
                <w:b w:val="0"/>
                <w:i w:val="0"/>
              </w:rPr>
              <w:t>/CZTS/Au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0.96</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31.66</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67.00</w:t>
            </w:r>
          </w:p>
        </w:tc>
        <w:tc>
          <w:tcPr>
            <w:tcW w:type="dxa" w:w="794"/>
          </w:tcPr>
          <w:p>
            <w:pPr>
              <w:jc w:val="center"/>
            </w:pPr>
            <w:r>
              <w:rPr>
                <w:rFonts w:ascii="Times New Roman" w:hAnsi="Times New Roman" w:cs="Times New Roman"/>
                <w:b w:val="0"/>
                <w:i w:val="0"/>
                <w:sz w:val="18"/>
              </w:rPr>
              <w:t xml:space="preserve">20.36</w:t>
            </w:r>
          </w:p>
        </w:tc>
        <w:tc>
          <w:tcPr>
            <w:tcW w:type="dxa" w:w="1134"/>
          </w:tcPr>
          <w:p>
            <w:pPr>
              <w:jc w:val="center"/>
            </w:pPr>
            <w:r>
              <w:rPr>
                <w:rFonts w:ascii="Times New Roman" w:hAnsi="Times New Roman" w:cs="Times New Roman"/>
                <w:b w:val="0"/>
                <w:i w:val="0"/>
                <w:sz w:val="18"/>
              </w:rPr>
              <w:t xml:space="preserve">2025 [42]</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/CsSnI</w:t>
            </w:r>
            <w:r>
              <w:rPr>
                <w:rFonts w:ascii="Times New Roman" w:hAnsi="Times New Roman" w:cs="Times New Roman"/>
                <w:vertAlign w:val="subscript"/>
                <w:sz w:val="18"/>
                <w:b w:val="0"/>
                <w:i w:val="0"/>
              </w:rPr>
              <w:t>3</w:t>
            </w:r>
            <w:r>
              <w:rPr>
                <w:rFonts w:ascii="Times New Roman" w:hAnsi="Times New Roman" w:cs="Times New Roman"/>
                <w:sz w:val="18"/>
                <w:b w:val="0"/>
                <w:i w:val="0"/>
              </w:rPr>
              <w:t>/P3HT/Au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0.972</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34.70</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78.21</w:t>
            </w:r>
          </w:p>
        </w:tc>
        <w:tc>
          <w:tcPr>
            <w:tcW w:type="dxa" w:w="794"/>
          </w:tcPr>
          <w:p>
            <w:pPr>
              <w:jc w:val="center"/>
            </w:pPr>
            <w:r>
              <w:rPr>
                <w:rFonts w:ascii="Times New Roman" w:hAnsi="Times New Roman" w:cs="Times New Roman"/>
                <w:b w:val="0"/>
                <w:i w:val="0"/>
                <w:sz w:val="18"/>
              </w:rPr>
              <w:t xml:space="preserve">26.38</w:t>
            </w:r>
          </w:p>
        </w:tc>
        <w:tc>
          <w:tcPr>
            <w:tcW w:type="dxa" w:w="1134"/>
          </w:tcPr>
          <w:p>
            <w:pPr>
              <w:jc w:val="center"/>
            </w:pPr>
            <w:r>
              <w:rPr>
                <w:rFonts w:ascii="Times New Roman" w:hAnsi="Times New Roman" w:cs="Times New Roman"/>
                <w:b w:val="0"/>
                <w:i w:val="0"/>
                <w:sz w:val="18"/>
              </w:rPr>
              <w:t xml:space="preserve">2024 [40]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/Spiro-OMeTAD/Au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1.1813</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26.31</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85.16</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26.47</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2026 [23]</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/CuI/Au (this work)</w:t>
            </w:r>
          </w:p>
        </w:tc>
        <w:tc>
          <w:tcPr>
            <w:tcW w:type="dxa" w:w="964"/>
          </w:tcPr>
          <w:p>
            <w:r>
              <w:t>1.13</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30.32</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78.26</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26.81</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This work</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bl>
    <w:p>
      <w:pPr>
        <w:spacing w:line="360" w:lineRule="auto" w:before="120" w:after="120"/>
        <w:ind w:firstLine="283"/>
        <w:jc w:val="both"/>
      </w:pPr>
      <w:r>
        <w:t xml:space="preserve">In short, the optimized device lands within 0.40 pp of the best published </w:t>
      </w:r>
      <w:r>
        <w:t>RbGeI</w:t>
      </w:r>
      <w:r>
        <w:rPr>
          <w:vertAlign w:val="subscript"/>
        </w:rPr>
        <w:t>3</w:t>
      </w:r>
      <w:r>
        <w:t xml:space="preserve"> simulation, posts the second-highest </w:t>
      </w:r>
      <w:r>
        <w:t>V</w:t>
      </w:r>
      <w:r>
        <w:rPr>
          <w:vertAlign w:val="subscript"/>
        </w:rPr>
        <w:t>OC</w:t>
      </w:r>
      <w:r>
        <w:t xml:space="preserve"> of the group, and stays competitive with the top tin-based lead-free cells, all with an all-inorganic transport stack.</w:t>
      </w:r>
    </w:p>
    <w:p>
      <w:pPr>
        <w:spacing w:line="360" w:lineRule="auto" w:before="120" w:after="120"/>
        <w:ind w:firstLine="283"/>
        <w:jc w:val="both"/>
      </w:pPr>
      <w:r>
        <w:rPr>
          <w:rFonts w:ascii="Times New Roman" w:hAnsi="Times New Roman"/>
          <w:b w:val="0"/>
          <w:i w:val="0"/>
          <w:sz w:val="24"/>
          <w:vertAlign w:val="subscript"/>
        </w:rPr>
      </w:r>
      <w:r>
        <w:rPr>
          <w:rFonts w:ascii="Times New Roman" w:hAnsi="Times New Roman"/>
          <w:b w:val="0"/>
          <w:i w:val="0"/>
          <w:sz w:val="24"/>
        </w:rPr>
        <w:t xml:space="preserve"> The Pindolia et al. [14] baseline of 9.77% leaves a wide gap for improvement. Working</w:t>
      </w:r>
      <w:r>
        <w:rPr>
          <w:rFonts w:ascii="Times New Roman" w:hAnsi="Times New Roman"/>
          <w:b w:val="0"/>
          <w:i w:val="0"/>
          <w:sz w:val="24"/>
        </w:rPr>
        <w:t xml:space="preserv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solar cells are still rare, so experimental confirmation remains the bottleneck.</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t>Device</w:t>
            </w:r>
          </w:p>
        </w:tc>
        <w:tc>
          <w:tcPr>
            <w:tcW w:type="dxa" w:w="1928"/>
          </w:tcPr>
          <w:p>
            <w:r>
              <w:t>Condition</w:t>
            </w:r>
          </w:p>
        </w:tc>
        <w:tc>
          <w:tcPr>
            <w:tcW w:type="dxa" w:w="1928"/>
          </w:tcPr>
          <w:p>
            <w:r>
              <w:t>V</w:t>
            </w:r>
            <w:r>
              <w:rPr>
                <w:vertAlign w:val="subscript"/>
              </w:rPr>
              <w:t>OC</w:t>
            </w:r>
            <w:r>
              <w:t xml:space="preserve"> (V)</w:t>
            </w:r>
          </w:p>
        </w:tc>
        <w:tc>
          <w:tcPr>
            <w:tcW w:type="dxa" w:w="1928"/>
          </w:tcPr>
          <w:p>
            <w:r>
              <w:t>J</w:t>
            </w:r>
            <w:r>
              <w:rPr>
                <w:vertAlign w:val="subscript"/>
              </w:rPr>
              <w:t>SC</w:t>
            </w:r>
            <w:r>
              <w:t xml:space="preserve"> (mA/cm2)</w:t>
            </w:r>
          </w:p>
        </w:tc>
        <w:tc>
          <w:tcPr>
            <w:tcW w:type="dxa" w:w="1928"/>
          </w:tcPr>
          <w:p>
            <w:r>
              <w:t>PCE (%)</w:t>
            </w:r>
          </w:p>
        </w:tc>
      </w:tr>
      <w:tr>
        <w:tc>
          <w:tcPr>
            <w:tcW w:type="dxa" w:w="1928"/>
          </w:tcPr>
          <w:p>
            <w:r>
              <w:t>RbGeI</w:t>
            </w:r>
            <w:r>
              <w:rPr>
                <w:vertAlign w:val="subscript"/>
              </w:rPr>
              <w:t>3</w:t>
            </w:r>
          </w:p>
        </w:tc>
        <w:tc>
          <w:tcPr>
            <w:tcW w:type="dxa" w:w="1928"/>
          </w:tcPr>
          <w:p>
            <w:r>
              <w:t>Ideal (Nt=1e14)</w:t>
            </w:r>
          </w:p>
        </w:tc>
        <w:tc>
          <w:tcPr>
            <w:tcW w:type="dxa" w:w="1928"/>
          </w:tcPr>
          <w:p>
            <w:r>
              <w:t>1.13</w:t>
            </w:r>
          </w:p>
        </w:tc>
        <w:tc>
          <w:tcPr>
            <w:tcW w:type="dxa" w:w="1928"/>
          </w:tcPr>
          <w:p>
            <w:r>
              <w:t>30.32</w:t>
            </w:r>
          </w:p>
        </w:tc>
        <w:tc>
          <w:tcPr>
            <w:tcW w:type="dxa" w:w="1928"/>
          </w:tcPr>
          <w:p>
            <w:r>
              <w:t>26.81</w:t>
            </w:r>
          </w:p>
        </w:tc>
      </w:tr>
      <w:tr>
        <w:tc>
          <w:tcPr>
            <w:tcW w:type="dxa" w:w="1928"/>
          </w:tcPr>
          <w:p>
            <w:r>
              <w:t>CsGeI</w:t>
            </w:r>
            <w:r>
              <w:rPr>
                <w:vertAlign w:val="subscript"/>
              </w:rPr>
              <w:t>3</w:t>
            </w:r>
          </w:p>
        </w:tc>
        <w:tc>
          <w:tcPr>
            <w:tcW w:type="dxa" w:w="1928"/>
          </w:tcPr>
          <w:p>
            <w:r>
              <w:t>Ideal (Nt=1e14)</w:t>
            </w:r>
          </w:p>
        </w:tc>
        <w:tc>
          <w:tcPr>
            <w:tcW w:type="dxa" w:w="1928"/>
          </w:tcPr>
          <w:p>
            <w:r>
              <w:t>1.17</w:t>
            </w:r>
          </w:p>
        </w:tc>
        <w:tc>
          <w:tcPr>
            <w:tcW w:type="dxa" w:w="1928"/>
          </w:tcPr>
          <w:p>
            <w:r>
              <w:t>23.18</w:t>
            </w:r>
          </w:p>
        </w:tc>
        <w:tc>
          <w:tcPr>
            <w:tcW w:type="dxa" w:w="1928"/>
          </w:tcPr>
          <w:p>
            <w:r>
              <w:t>19.66</w:t>
            </w:r>
          </w:p>
        </w:tc>
      </w:tr>
      <w:tr>
        <w:tc>
          <w:tcPr>
            <w:tcW w:type="dxa" w:w="1928"/>
          </w:tcPr>
          <w:p>
            <w:r>
              <w:t>RbGeI</w:t>
            </w:r>
            <w:r>
              <w:rPr>
                <w:vertAlign w:val="subscript"/>
              </w:rPr>
              <w:t>3</w:t>
            </w:r>
          </w:p>
        </w:tc>
        <w:tc>
          <w:tcPr>
            <w:tcW w:type="dxa" w:w="1928"/>
          </w:tcPr>
          <w:p>
            <w:r>
              <w:t>Realistic (Nt=1e15)</w:t>
            </w:r>
          </w:p>
        </w:tc>
        <w:tc>
          <w:tcPr>
            <w:tcW w:type="dxa" w:w="1928"/>
          </w:tcPr>
          <w:p>
            <w:r>
              <w:t>1.11</w:t>
            </w:r>
          </w:p>
        </w:tc>
        <w:tc>
          <w:tcPr>
            <w:tcW w:type="dxa" w:w="1928"/>
          </w:tcPr>
          <w:p>
            <w:r>
              <w:t>30.31</w:t>
            </w:r>
          </w:p>
        </w:tc>
        <w:tc>
          <w:tcPr>
            <w:tcW w:type="dxa" w:w="1928"/>
          </w:tcPr>
          <w:p>
            <w:r>
              <w:t>24.84</w:t>
            </w:r>
          </w:p>
        </w:tc>
      </w:tr>
      <w:tr>
        <w:tc>
          <w:tcPr>
            <w:tcW w:type="dxa" w:w="1928"/>
          </w:tcPr>
          <w:p>
            <w:r>
              <w:t>CsGeI</w:t>
            </w:r>
            <w:r>
              <w:rPr>
                <w:vertAlign w:val="subscript"/>
              </w:rPr>
              <w:t>3</w:t>
            </w:r>
          </w:p>
        </w:tc>
        <w:tc>
          <w:tcPr>
            <w:tcW w:type="dxa" w:w="1928"/>
          </w:tcPr>
          <w:p>
            <w:r>
              <w:t>Realistic (Nt=1e15)</w:t>
            </w:r>
          </w:p>
        </w:tc>
        <w:tc>
          <w:tcPr>
            <w:tcW w:type="dxa" w:w="1928"/>
          </w:tcPr>
          <w:p>
            <w:r>
              <w:t>1.17</w:t>
            </w:r>
          </w:p>
        </w:tc>
        <w:tc>
          <w:tcPr>
            <w:tcW w:type="dxa" w:w="1928"/>
          </w:tcPr>
          <w:p>
            <w:r>
              <w:t>23.17</w:t>
            </w:r>
          </w:p>
        </w:tc>
        <w:tc>
          <w:tcPr>
            <w:tcW w:type="dxa" w:w="1928"/>
          </w:tcPr>
          <w:p>
            <w:r>
              <w:t>19.36</w:t>
            </w:r>
          </w:p>
        </w:tc>
      </w:tr>
      <w:tr>
        <w:tc>
          <w:tcPr>
            <w:tcW w:type="dxa" w:w="1928"/>
          </w:tcPr>
          <w:p>
            <w:r>
              <w:t>RbGeI</w:t>
            </w:r>
            <w:r>
              <w:rPr>
                <w:vertAlign w:val="subscript"/>
              </w:rPr>
              <w:t>3</w:t>
            </w:r>
          </w:p>
        </w:tc>
        <w:tc>
          <w:tcPr>
            <w:tcW w:type="dxa" w:w="1928"/>
          </w:tcPr>
          <w:p>
            <w:r>
              <w:t>High oxidation (Nt=1e16)</w:t>
            </w:r>
          </w:p>
        </w:tc>
        <w:tc>
          <w:tcPr>
            <w:tcW w:type="dxa" w:w="1928"/>
          </w:tcPr>
          <w:p>
            <w:r>
              <w:t>1.06</w:t>
            </w:r>
          </w:p>
        </w:tc>
        <w:tc>
          <w:tcPr>
            <w:tcW w:type="dxa" w:w="1928"/>
          </w:tcPr>
          <w:p>
            <w:r>
              <w:t>30.22</w:t>
            </w:r>
          </w:p>
        </w:tc>
        <w:tc>
          <w:tcPr>
            <w:tcW w:type="dxa" w:w="1928"/>
          </w:tcPr>
          <w:p>
            <w:r>
              <w:t>21.45</w:t>
            </w:r>
          </w:p>
        </w:tc>
      </w:tr>
      <w:tr>
        <w:tc>
          <w:tcPr>
            <w:tcW w:type="dxa" w:w="1928"/>
          </w:tcPr>
          <w:p>
            <w:r>
              <w:t>CsGeI</w:t>
            </w:r>
            <w:r>
              <w:rPr>
                <w:vertAlign w:val="subscript"/>
              </w:rPr>
              <w:t>3</w:t>
            </w:r>
          </w:p>
        </w:tc>
        <w:tc>
          <w:tcPr>
            <w:tcW w:type="dxa" w:w="1928"/>
          </w:tcPr>
          <w:p>
            <w:r>
              <w:t>High oxidation (Nt=1e16)</w:t>
            </w:r>
          </w:p>
        </w:tc>
        <w:tc>
          <w:tcPr>
            <w:tcW w:type="dxa" w:w="1928"/>
          </w:tcPr>
          <w:p>
            <w:r>
              <w:t>1.17</w:t>
            </w:r>
          </w:p>
        </w:tc>
        <w:tc>
          <w:tcPr>
            <w:tcW w:type="dxa" w:w="1928"/>
          </w:tcPr>
          <w:p>
            <w:r>
              <w:t>23.10</w:t>
            </w:r>
          </w:p>
        </w:tc>
        <w:tc>
          <w:tcPr>
            <w:tcW w:type="dxa" w:w="1928"/>
          </w:tcPr>
          <w:p>
            <w:r>
              <w:t>17.28</w:t>
            </w:r>
          </w:p>
        </w:tc>
      </w:tr>
    </w:tbl>
    <w:p>
      <w:r>
        <w:t xml:space="preserve">Table X. </w:t>
      </w:r>
      <w:r>
        <w:t>RbG</w:t>
      </w:r>
      <w:r>
        <w:rPr>
          <w:vertAlign w:val="subscript"/>
        </w:rPr>
        <w:t>eI3</w:t>
      </w:r>
      <w:r>
        <w:t xml:space="preserve"> versus </w:t>
      </w:r>
      <w:r>
        <w:t>CsG</w:t>
      </w:r>
      <w:r>
        <w:rPr>
          <w:vertAlign w:val="subscript"/>
        </w:rPr>
        <w:t>eI3</w:t>
      </w:r>
      <w:r>
        <w:t xml:space="preserve"> in the identical FTO/</w:t>
      </w:r>
      <w:r>
        <w:t>Ti</w:t>
      </w:r>
      <w:r>
        <w:rPr>
          <w:vertAlign w:val="subscript"/>
        </w:rPr>
        <w:t>O2</w:t>
      </w:r>
      <w:r>
        <w:t>/absorber/</w:t>
      </w:r>
      <w:r>
        <w:t>C</w:t>
      </w:r>
      <w:r>
        <w:rPr>
          <w:vertAlign w:val="subscript"/>
        </w:rPr>
        <w:t>uI</w:t>
      </w:r>
      <w:r>
        <w:t>/Au stack under ideal, realistic, and high-oxidation defect budgets. Only the absorber bandgap differs (1.4 vs 1.6 eV). The Rb high-oxidation row uses the sigma x Nt product-equivalent lifetime point (sigma = 10^-17 m2 at Nt = 10^14 cm-3), arithmetically verified.</w:t>
      </w:r>
    </w:p>
    <w:p>
      <w:r>
        <w:drawing>
          <wp:inline xmlns:a="http://schemas.openxmlformats.org/drawingml/2006/main" xmlns:pic="http://schemas.openxmlformats.org/drawingml/2006/picture">
            <wp:extent cx="4800600" cy="2926080"/>
            <wp:docPr id="29" name="Picture 29"/>
            <wp:cNvGraphicFramePr>
              <a:graphicFrameLocks noChangeAspect="1"/>
            </wp:cNvGraphicFramePr>
            <a:graphic>
              <a:graphicData uri="http://schemas.openxmlformats.org/drawingml/2006/picture">
                <pic:pic>
                  <pic:nvPicPr>
                    <pic:cNvPr id="0" name="fig_r5_Et_Nt21.png"/>
                    <pic:cNvPicPr/>
                  </pic:nvPicPr>
                  <pic:blipFill>
                    <a:blip r:embed="rId41"/>
                    <a:stretch>
                      <a:fillRect/>
                    </a:stretch>
                  </pic:blipFill>
                  <pic:spPr>
                    <a:xfrm>
                      <a:off x="0" y="0"/>
                      <a:ext cx="4800600" cy="2926080"/>
                    </a:xfrm>
                    <a:prstGeom prst="rect"/>
                  </pic:spPr>
                </pic:pic>
              </a:graphicData>
            </a:graphic>
          </wp:inline>
        </w:drawing>
      </w:r>
    </w:p>
    <w:p>
      <w:r>
        <w:t>Fig. 24. PCE versus defect energy Et at Nt = 10^15 cm-3. Symmetric minimum at mid-gap (24.84%) recovering to 25.01% at both band edges: the SRH fingerprint.</w:t>
      </w:r>
    </w:p>
    <w:p>
      <w:r>
        <w:drawing>
          <wp:inline xmlns:a="http://schemas.openxmlformats.org/drawingml/2006/main" xmlns:pic="http://schemas.openxmlformats.org/drawingml/2006/picture">
            <wp:extent cx="4800600" cy="2926080"/>
            <wp:docPr id="30" name="Picture 30"/>
            <wp:cNvGraphicFramePr>
              <a:graphicFrameLocks noChangeAspect="1"/>
            </wp:cNvGraphicFramePr>
            <a:graphic>
              <a:graphicData uri="http://schemas.openxmlformats.org/drawingml/2006/picture">
                <pic:pic>
                  <pic:nvPicPr>
                    <pic:cNvPr id="0" name="fig_r5_sigma.png"/>
                    <pic:cNvPicPr/>
                  </pic:nvPicPr>
                  <pic:blipFill>
                    <a:blip r:embed="rId42"/>
                    <a:stretch>
                      <a:fillRect/>
                    </a:stretch>
                  </pic:blipFill>
                  <pic:spPr>
                    <a:xfrm>
                      <a:off x="0" y="0"/>
                      <a:ext cx="4800600" cy="2926080"/>
                    </a:xfrm>
                    <a:prstGeom prst="rect"/>
                  </pic:spPr>
                </pic:pic>
              </a:graphicData>
            </a:graphic>
          </wp:inline>
        </w:drawing>
      </w:r>
    </w:p>
    <w:p>
      <w:r>
        <w:t>Fig. 25. PCE versus capture cross-section asymmetry at mid-gap Et. Lethality requires large sigma on either carrier; at fixed product, electron-dominated traps (23.97%) beat hole-dominated ones (26.71%) by 2.7 pp.</w:t>
      </w:r>
    </w:p>
    <w:p>
      <w:r>
        <w:drawing>
          <wp:inline xmlns:a="http://schemas.openxmlformats.org/drawingml/2006/main" xmlns:pic="http://schemas.openxmlformats.org/drawingml/2006/picture">
            <wp:extent cx="4800600" cy="2926080"/>
            <wp:docPr id="31" name="Picture 31"/>
            <wp:cNvGraphicFramePr>
              <a:graphicFrameLocks noChangeAspect="1"/>
            </wp:cNvGraphicFramePr>
            <a:graphic>
              <a:graphicData uri="http://schemas.openxmlformats.org/drawingml/2006/picture">
                <pic:pic>
                  <pic:nvPicPr>
                    <pic:cNvPr id="0" name="fig_r5_NA.png"/>
                    <pic:cNvPicPr/>
                  </pic:nvPicPr>
                  <pic:blipFill>
                    <a:blip r:embed="rId43"/>
                    <a:stretch>
                      <a:fillRect/>
                    </a:stretch>
                  </pic:blipFill>
                  <pic:spPr>
                    <a:xfrm>
                      <a:off x="0" y="0"/>
                      <a:ext cx="4800600" cy="2926080"/>
                    </a:xfrm>
                    <a:prstGeom prst="rect"/>
                  </pic:spPr>
                </pic:pic>
              </a:graphicData>
            </a:graphic>
          </wp:inline>
        </w:drawing>
      </w:r>
    </w:p>
    <w:p>
      <w:r>
        <w:t xml:space="preserve">Fig. 26. PCE versus background acceptor density. Optimum near 3x10^14 cm-3 (26.82%); </w:t>
      </w:r>
      <w:r>
        <w:t>J</w:t>
      </w:r>
      <w:r>
        <w:rPr>
          <w:vertAlign w:val="subscript"/>
        </w:rPr>
        <w:t>SC</w:t>
      </w:r>
      <w:r>
        <w:t xml:space="preserve"> collapses above 10^16 cm-3 while </w:t>
      </w:r>
      <w:r>
        <w:t>V</w:t>
      </w:r>
      <w:r>
        <w:rPr>
          <w:vertAlign w:val="subscript"/>
        </w:rPr>
        <w:t>OC</w:t>
      </w:r>
      <w:r>
        <w:t xml:space="preserve"> keeps rising.</w:t>
      </w:r>
    </w:p>
    <w:p>
      <w:r>
        <w:drawing>
          <wp:inline xmlns:a="http://schemas.openxmlformats.org/drawingml/2006/main" xmlns:pic="http://schemas.openxmlformats.org/drawingml/2006/picture">
            <wp:extent cx="4800600" cy="2926080"/>
            <wp:docPr id="32" name="Picture 32"/>
            <wp:cNvGraphicFramePr>
              <a:graphicFrameLocks noChangeAspect="1"/>
            </wp:cNvGraphicFramePr>
            <a:graphic>
              <a:graphicData uri="http://schemas.openxmlformats.org/drawingml/2006/picture">
                <pic:pic>
                  <pic:nvPicPr>
                    <pic:cNvPr id="0" name="fig_r5_Rs.png"/>
                    <pic:cNvPicPr/>
                  </pic:nvPicPr>
                  <pic:blipFill>
                    <a:blip r:embed="rId44"/>
                    <a:stretch>
                      <a:fillRect/>
                    </a:stretch>
                  </pic:blipFill>
                  <pic:spPr>
                    <a:xfrm>
                      <a:off x="0" y="0"/>
                      <a:ext cx="4800600" cy="2926080"/>
                    </a:xfrm>
                    <a:prstGeom prst="rect"/>
                  </pic:spPr>
                </pic:pic>
              </a:graphicData>
            </a:graphic>
          </wp:inline>
        </w:drawing>
      </w:r>
    </w:p>
    <w:p>
      <w:r>
        <w:t>Fig. 27. PCE and FF versus series resistance (external V - J x Rs correction). PCE stays above 20% to Rs = 8 ohm.cm2.</w:t>
      </w:r>
    </w:p>
    <w:p>
      <w:r>
        <w:drawing>
          <wp:inline xmlns:a="http://schemas.openxmlformats.org/drawingml/2006/main" xmlns:pic="http://schemas.openxmlformats.org/drawingml/2006/picture">
            <wp:extent cx="4800600" cy="2926080"/>
            <wp:docPr id="33" name="Picture 33"/>
            <wp:cNvGraphicFramePr>
              <a:graphicFrameLocks noChangeAspect="1"/>
            </wp:cNvGraphicFramePr>
            <a:graphic>
              <a:graphicData uri="http://schemas.openxmlformats.org/drawingml/2006/picture">
                <pic:pic>
                  <pic:nvPicPr>
                    <pic:cNvPr id="0" name="fig_r5_mu.png"/>
                    <pic:cNvPicPr/>
                  </pic:nvPicPr>
                  <pic:blipFill>
                    <a:blip r:embed="rId45"/>
                    <a:stretch>
                      <a:fillRect/>
                    </a:stretch>
                  </pic:blipFill>
                  <pic:spPr>
                    <a:xfrm>
                      <a:off x="0" y="0"/>
                      <a:ext cx="4800600" cy="2926080"/>
                    </a:xfrm>
                    <a:prstGeom prst="rect"/>
                  </pic:spPr>
                </pic:pic>
              </a:graphicData>
            </a:graphic>
          </wp:inline>
        </w:drawing>
      </w:r>
    </w:p>
    <w:p>
      <w:r>
        <w:t>Fig. 28. PCE versus absorber mobility (mun = mup). Log-linear rise 22.58% (1) to 28.52% (100 cm2/Vs); target mu &gt;= 15 cm2/Vs.</w:t>
      </w:r>
    </w:p>
    <w:p>
      <w:r>
        <w:drawing>
          <wp:inline xmlns:a="http://schemas.openxmlformats.org/drawingml/2006/main" xmlns:pic="http://schemas.openxmlformats.org/drawingml/2006/picture">
            <wp:extent cx="4800600" cy="2926080"/>
            <wp:docPr id="34" name="Picture 34"/>
            <wp:cNvGraphicFramePr>
              <a:graphicFrameLocks noChangeAspect="1"/>
            </wp:cNvGraphicFramePr>
            <a:graphic>
              <a:graphicData uri="http://schemas.openxmlformats.org/drawingml/2006/picture">
                <pic:pic>
                  <pic:nvPicPr>
                    <pic:cNvPr id="0" name="fig_r5_Ea.png"/>
                    <pic:cNvPicPr/>
                  </pic:nvPicPr>
                  <pic:blipFill>
                    <a:blip r:embed="rId46"/>
                    <a:stretch>
                      <a:fillRect/>
                    </a:stretch>
                  </pic:blipFill>
                  <pic:spPr>
                    <a:xfrm>
                      <a:off x="0" y="0"/>
                      <a:ext cx="4800600" cy="2926080"/>
                    </a:xfrm>
                    <a:prstGeom prst="rect"/>
                  </pic:spPr>
                </pic:pic>
              </a:graphicData>
            </a:graphic>
          </wp:inline>
        </w:drawing>
      </w:r>
    </w:p>
    <w:p>
      <w:r>
        <w:t xml:space="preserve">Fig. 29. </w:t>
      </w:r>
      <w:r>
        <w:t>V</w:t>
      </w:r>
      <w:r>
        <w:rPr>
          <w:vertAlign w:val="subscript"/>
        </w:rPr>
        <w:t>OC</w:t>
      </w:r>
      <w:r>
        <w:t xml:space="preserve"> versus temperature with 0 K extrapolation. Ea = 1.46 eV approx Eg = 1.4 eV: bulk-dominated recombination; d</w:t>
      </w:r>
      <w:r>
        <w:t>V</w:t>
      </w:r>
      <w:r>
        <w:rPr>
          <w:vertAlign w:val="subscript"/>
        </w:rPr>
        <w:t>OC</w:t>
      </w:r>
      <w:r>
        <w:t>/dT = -1.10 mV/K.</w:t>
      </w:r>
    </w:p>
    <w:p>
      <w:r>
        <w:drawing>
          <wp:inline xmlns:a="http://schemas.openxmlformats.org/drawingml/2006/main" xmlns:pic="http://schemas.openxmlformats.org/drawingml/2006/picture">
            <wp:extent cx="4800600" cy="3108960"/>
            <wp:docPr id="35" name="Picture 35"/>
            <wp:cNvGraphicFramePr>
              <a:graphicFrameLocks noChangeAspect="1"/>
            </wp:cNvGraphicFramePr>
            <a:graphic>
              <a:graphicData uri="http://schemas.openxmlformats.org/drawingml/2006/picture">
                <pic:pic>
                  <pic:nvPicPr>
                    <pic:cNvPr id="0" name="fig_r5_Cs_vs_Rb.png"/>
                    <pic:cNvPicPr/>
                  </pic:nvPicPr>
                  <pic:blipFill>
                    <a:blip r:embed="rId47"/>
                    <a:stretch>
                      <a:fillRect/>
                    </a:stretch>
                  </pic:blipFill>
                  <pic:spPr>
                    <a:xfrm>
                      <a:off x="0" y="0"/>
                      <a:ext cx="4800600" cy="3108960"/>
                    </a:xfrm>
                    <a:prstGeom prst="rect"/>
                  </pic:spPr>
                </pic:pic>
              </a:graphicData>
            </a:graphic>
          </wp:inline>
        </w:drawing>
      </w:r>
    </w:p>
    <w:p>
      <w:r>
        <w:t xml:space="preserve">Fig. 30. </w:t>
      </w:r>
      <w:r>
        <w:t>RbG</w:t>
      </w:r>
      <w:r>
        <w:rPr>
          <w:vertAlign w:val="subscript"/>
        </w:rPr>
        <w:t>eI3</w:t>
      </w:r>
      <w:r>
        <w:t xml:space="preserve"> versus </w:t>
      </w:r>
      <w:r>
        <w:t>CsG</w:t>
      </w:r>
      <w:r>
        <w:rPr>
          <w:vertAlign w:val="subscript"/>
        </w:rPr>
        <w:t>eI3</w:t>
      </w:r>
      <w:r>
        <w:t xml:space="preserve"> under ideal, realistic, and high-oxidation defect budgets in the identical stack. </w:t>
      </w:r>
      <w:r>
        <w:t>RbG</w:t>
      </w:r>
      <w:r>
        <w:rPr>
          <w:vertAlign w:val="subscript"/>
        </w:rPr>
        <w:t>eI3</w:t>
      </w:r>
      <w:r>
        <w:t xml:space="preserve"> leads at every level.</w:t>
      </w:r>
    </w:p>
    <w:p>
      <w:r>
        <w:drawing>
          <wp:inline xmlns:a="http://schemas.openxmlformats.org/drawingml/2006/main" xmlns:pic="http://schemas.openxmlformats.org/drawingml/2006/picture">
            <wp:extent cx="4800600" cy="2926080"/>
            <wp:docPr id="36" name="Picture 36"/>
            <wp:cNvGraphicFramePr>
              <a:graphicFrameLocks noChangeAspect="1"/>
            </wp:cNvGraphicFramePr>
            <a:graphic>
              <a:graphicData uri="http://schemas.openxmlformats.org/drawingml/2006/picture">
                <pic:pic>
                  <pic:nvPicPr>
                    <pic:cNvPr id="0" name="fig_r5_waterfall.png"/>
                    <pic:cNvPicPr/>
                  </pic:nvPicPr>
                  <pic:blipFill>
                    <a:blip r:embed="rId48"/>
                    <a:stretch>
                      <a:fillRect/>
                    </a:stretch>
                  </pic:blipFill>
                  <pic:spPr>
                    <a:xfrm>
                      <a:off x="0" y="0"/>
                      <a:ext cx="4800600" cy="2926080"/>
                    </a:xfrm>
                    <a:prstGeom prst="rect"/>
                  </pic:spPr>
                </pic:pic>
              </a:graphicData>
            </a:graphic>
          </wp:inline>
        </w:drawing>
      </w:r>
    </w:p>
    <w:p>
      <w:r>
        <w:t>Fig. 31. Defect-plus-resistance derating ladder from the 26.81% ideal point. Rs steps are first-order estimates from the ideal J-V.</w:t>
      </w:r>
    </w:p>
    <w:p>
      <w:pPr>
        <w:pStyle w:val="Heading1"/>
        <w:keepNext/>
        <w:spacing w:before="320" w:after="120" w:line="360" w:lineRule="auto"/>
      </w:pPr>
      <w:r>
        <w:rPr>
          <w:rFonts w:ascii="Times New Roman" w:hAnsi="Times New Roman" w:cs="Times New Roman"/>
          <w:b/>
          <w:i w:val="0"/>
          <w:sz w:val="28"/>
        </w:rPr>
        <w:t>VII. Limitations and Future Work</w:t>
      </w:r>
    </w:p>
    <w:p>
      <w:pPr>
        <w:pStyle w:val="Heading2"/>
        <w:keepNext/>
        <w:spacing w:before="120" w:after="40" w:line="360" w:lineRule="auto"/>
      </w:pPr>
      <w:r>
        <w:t>A. Limitations of the present study The defect-plus-resistance ladder measured here bounds the window further: 26.81% ideal -&gt; 24.84% (Nt = 10^15) -&gt; 21.45% (Nt = 10^16), with first-order Rs factors giving ~19.0% (Rs = 4) and ~16.7% (Rs = 8) at high oxidation (Fig. 31).</w:t>
      </w:r>
    </w:p>
    <w:p>
      <w:pPr>
        <w:spacing w:line="360" w:lineRule="auto" w:before="120" w:after="120"/>
        <w:ind w:firstLine="283"/>
        <w:jc w:val="both"/>
      </w:pPr>
      <w:r>
        <w:t xml:space="preserve">Four caveats bound these results. First, the 26.81% OPAT device is an ideal-coupling upper bound: a supplementary first-order optical estimate (Fresnel reflection at air/FTO with n ≈ 1.93, plus Beer–Lambert parasitic bounds for the 10 nm </w:t>
      </w:r>
      <w:r>
        <w:t>TiO</w:t>
      </w:r>
      <w:r>
        <w:rPr>
          <w:vertAlign w:val="subscript"/>
        </w:rPr>
        <w:t>2</w:t>
      </w:r>
      <w:r>
        <w:t xml:space="preserve"> and 100 nm CuI layers) lowers </w:t>
      </w:r>
      <w:r>
        <w:t>J</w:t>
      </w:r>
      <w:r>
        <w:rPr>
          <w:vertAlign w:val="subscript"/>
        </w:rPr>
        <w:t>SC</w:t>
      </w:r>
      <w:r>
        <w:t xml:space="preserve"> from 30.32 to 26.65 mA/cm² and PCE to 23.49% (Fig. 23); a full transfer-matrix stack with measured </w:t>
      </w:r>
      <w:r>
        <w:t>RbGeI</w:t>
      </w:r>
      <w:r>
        <w:rPr>
          <w:vertAlign w:val="subscript"/>
        </w:rPr>
        <w:t>3</w:t>
      </w:r>
      <w:r>
        <w:t xml:space="preserve"> n/k data would refine this further. Second, the assumed defect densities (10¹⁴ cm⁻³ bulk, 10¹⁴ cm⁻² interfaces) require well-passivated films: raising bulk Nt to 10¹⁵ (10¹⁶) cm⁻³ drops PCE to 24.84% (21.45%), and raising interface Nt to 10¹⁵ (10¹⁶) cm⁻² drops PCE to 23.60% (18.40%), with </w:t>
      </w:r>
      <w:r>
        <w:t>J</w:t>
      </w:r>
      <w:r>
        <w:rPr>
          <w:vertAlign w:val="subscript"/>
        </w:rPr>
        <w:t>SC</w:t>
      </w:r>
      <w:r>
        <w:t xml:space="preserve"> nearly unchanged and </w:t>
      </w:r>
      <w:r>
        <w:t>V</w:t>
      </w:r>
      <w:r>
        <w:rPr>
          <w:vertAlign w:val="subscript"/>
        </w:rPr>
        <w:t>OC</w:t>
      </w:r>
      <w:r>
        <w:t xml:space="preserve">/FF collapsing (Fig. 22). Holding 10¹⁴ cm⁻³ in </w:t>
      </w:r>
      <w:r>
        <w:t>RbGeI</w:t>
      </w:r>
      <w:r>
        <w:rPr>
          <w:vertAlign w:val="subscript"/>
        </w:rPr>
        <w:t>3</w:t>
      </w:r>
      <w:r>
        <w:t xml:space="preserve"> is hard because Ge²⁺ oxidizes readily to Ge⁴⁺ in ambient, creating deep traps. Third, SCAPS-1D assumes uniform composition, abrupt interfaces, and stable parameters that cannot be built exactly; the seven-step absorption grading in the input deck is a numerical profile with no demonstrated deposition recipe (it leaves the J–V unchanged in our re-simulation, so it is kept only as documented input, not as a claimed structure). Fourth, the OPAT sequence misses cross-interactions by construction; the GA joint optimum (31.78%) shows the mathematical headroom but itself assumes 10¹² cm⁻³ material that is not demonstrated.</w:t>
      </w:r>
    </w:p>
    <w:p>
      <w:pPr>
        <w:pStyle w:val="Heading2"/>
        <w:keepNext/>
        <w:spacing w:before="120" w:after="40" w:line="360" w:lineRule="auto"/>
      </w:pPr>
      <w:r>
        <w:t xml:space="preserve">B. Future work</w:t>
      </w:r>
    </w:p>
    <w:p>
      <w:pPr>
        <w:spacing w:line="360" w:lineRule="auto" w:before="120" w:after="120"/>
        <w:ind w:firstLine="283"/>
        <w:jc w:val="both"/>
      </w:pPr>
      <w:r>
        <w:t xml:space="preserve">The obvious next step is to build and test the optimized device under strict inert processing (&lt;0.1 ppm O2/H2O glovebox), with Ge²⁺-stabilizing measures: GeI2-excess or hydrazine-type reducing additives, Lewis-base trap passivation (pyridine/thiourea routes reported for Ge/Sn perovskites), A-site alloying, and encapsulation, followed by long-term stability testing of the </w:t>
      </w:r>
      <w:r>
        <w:t>RbGeI</w:t>
      </w:r>
      <w:r>
        <w:rPr>
          <w:vertAlign w:val="subscript"/>
        </w:rPr>
        <w:t>3</w:t>
      </w:r>
      <w:r>
        <w:t xml:space="preserve">/CuI stack. On the modelling side, three extensions are queued: (i) a full 11-parameter global optimization (Bayesian or surrogate-assisted, ≈500 evaluations) to confirm the six-gene GA maximum; (ii) a transfer-matrix optical model coupled to the drift-diffusion solution using measured </w:t>
      </w:r>
      <w:r>
        <w:t>RbGeI</w:t>
      </w:r>
      <w:r>
        <w:rPr>
          <w:vertAlign w:val="subscript"/>
        </w:rPr>
        <w:t>3</w:t>
      </w:r>
      <w:r>
        <w:t xml:space="preserve"> n/k spectra; and (iii) replacing the numerical absorption grading with a physically realizable composition grade, e.g. a RbGe(I1−xBrx)3 halide gradient or a RbGe1−xSnxI3 alloy gradient deposited sequentially, with the graded profile re-optimized in SCAPS.</w:t>
      </w:r>
    </w:p>
    <w:p>
      <w:pPr>
        <w:pStyle w:val="Heading1"/>
        <w:keepNext/>
        <w:spacing w:before="320" w:after="120" w:line="360" w:lineRule="auto"/>
      </w:pPr>
      <w:r>
        <w:rPr>
          <w:rFonts w:ascii="Times New Roman" w:hAnsi="Times New Roman" w:cs="Times New Roman"/>
          <w:b/>
          <w:i w:val="0"/>
          <w:sz w:val="28"/>
        </w:rPr>
        <w:t>VIII. Conclusion</w:t>
      </w:r>
    </w:p>
    <w:p>
      <w:pPr>
        <w:spacing w:line="360" w:lineRule="auto" w:before="120" w:after="120"/>
        <w:ind w:firstLine="283"/>
        <w:jc w:val="both"/>
      </w:pPr>
      <w:r>
        <w:rPr>
          <w:rFonts w:ascii="Times New Roman" w:hAnsi="Times New Roman"/>
          <w:b w:val="0"/>
          <w:i w:val="0"/>
          <w:sz w:val="24"/>
        </w:rPr>
        <w:t xml:space="preserve">We optimized a lead-free RbGeI</w:t>
      </w:r>
      <w:r>
        <w:rPr>
          <w:rFonts w:ascii="Times New Roman" w:hAnsi="Times New Roman"/>
          <w:b w:val="0"/>
          <w:i w:val="0"/>
          <w:sz w:val="24"/>
          <w:vertAlign w:val="subscript"/>
        </w:rPr>
        <w:t xml:space="preserve">3</w:t>
      </w:r>
      <w:r>
        <w:rPr>
          <w:rFonts w:ascii="Times New Roman" w:hAnsi="Times New Roman"/>
          <w:b w:val="0"/>
          <w:i w:val="0"/>
          <w:sz w:val="24"/>
        </w:rPr>
        <w:t xml:space="preserve"> perovskite solar cell in SCAPS-1D, with the goal of higher efficiency and no lead in the absorber. RbGeI</w:t>
      </w:r>
      <w:r>
        <w:rPr>
          <w:rFonts w:ascii="Times New Roman" w:hAnsi="Times New Roman"/>
          <w:b w:val="0"/>
          <w:i w:val="0"/>
          <w:sz w:val="24"/>
          <w:vertAlign w:val="subscript"/>
        </w:rPr>
        <w:t xml:space="preserve">3</w:t>
      </w:r>
      <w:r>
        <w:rPr>
          <w:rFonts w:ascii="Times New Roman" w:hAnsi="Times New Roman"/>
          <w:b w:val="0"/>
          <w:i w:val="0"/>
          <w:sz w:val="24"/>
        </w:rPr>
        <w:t xml:space="preserve"> is non-toxic and has the optical and electronic properties an absorber needs, which makes it a credible candidate for future photovoltaics.</w:t>
      </w:r>
    </w:p>
    <w:p>
      <w:pPr>
        <w:spacing w:line="360" w:lineRule="auto" w:before="120" w:after="120"/>
        <w:ind w:firstLine="283"/>
        <w:jc w:val="both"/>
      </w:pPr>
      <w:r>
        <w:t>We started from eight configurations spanning two ETLs (</w:t>
      </w:r>
      <w:r>
        <w:t>TiO</w:t>
      </w:r>
      <w:r>
        <w:rPr>
          <w:vertAlign w:val="subscript"/>
        </w:rPr>
        <w:t>2</w:t>
      </w:r>
      <w:r>
        <w:t>, PCBM) and four HTLs (NiO, CuI, CBTS, Spiro-OMeTAD). FTO/</w:t>
      </w:r>
      <w:r>
        <w:t>TiO</w:t>
      </w:r>
      <w:r>
        <w:rPr>
          <w:vertAlign w:val="subscript"/>
        </w:rPr>
        <w:t>2</w:t>
      </w:r>
      <w:r>
        <w:t>/</w:t>
      </w:r>
      <w:r>
        <w:t>RbGeI</w:t>
      </w:r>
      <w:r>
        <w:rPr>
          <w:vertAlign w:val="subscript"/>
        </w:rPr>
        <w:t>3</w:t>
      </w:r>
      <w:r>
        <w:t xml:space="preserve">/CuI/Au won the screening on durability, cost, and hole mobility rather than raw efficiency; its initial PCE was not the best of the eight, and it then held its gains through optimization. Its edge traces to band alignment, efficient charge extraction, low recombination, and clean transport at the interfaces. The choice is explicitly stability- and cost-constrained (CuI durability and cost, </w:t>
      </w:r>
      <w:r>
        <w:t>TiO</w:t>
      </w:r>
      <w:r>
        <w:rPr>
          <w:vertAlign w:val="subscript"/>
        </w:rPr>
        <w:t>2</w:t>
      </w:r>
      <w:r>
        <w:t xml:space="preserve"> processing), not raw-efficiency-led: D2 (</w:t>
      </w:r>
      <w:r>
        <w:t>TiO</w:t>
      </w:r>
      <w:r>
        <w:rPr>
          <w:vertAlign w:val="subscript"/>
        </w:rPr>
        <w:t>2</w:t>
      </w:r>
      <w:r>
        <w:t>/NiO, 21.10%) outscored D4 (19.78%) at screening.</w:t>
      </w:r>
    </w:p>
    <w:p>
      <w:pPr>
        <w:spacing w:line="360" w:lineRule="auto" w:before="120" w:after="120"/>
        <w:ind w:firstLine="283"/>
        <w:jc w:val="both"/>
      </w:pPr>
      <w:r>
        <w:t>After sequential optimization of eleven parameters, the consolidated device reaches 26.81% (VOC = 1.13 V, JSC = 30.32 mA/cm², FF = 78.26%), within 0.4 percentage points of the best prior RbGeI3 simulation. RbGeI3 at 1.4 eV, in short, is a computationally promising absorber candidate subject to the realism bounds above. Joint GA optimization finds a higher joint optimum at 31.78% (Eg = 1.33 eV, 62 evaluations), while first-order optical derating and realistic defect densities bound the experimentally plausible window to ≈20.7–23.5%. Defect-energy, doping, resistance, mobility, and CsGeI3-comparison sweeps (Sections V.C, V.U-W, VI.B) convert the headline into manufacturing tolerances: Ea = 1.46 eV (bulk-limited), NA &lt;= 10^15 cm-3, Rs &lt;= 8 ohm.cm2, mu &gt;= 15 cm2/Vs.</w:t>
      </w:r>
    </w:p>
    <w:p>
      <w:pPr>
        <w:pStyle w:val="Heading1"/>
        <w:keepNext/>
        <w:spacing w:before="320" w:after="120" w:line="360" w:lineRule="auto"/>
      </w:pPr>
      <w:r>
        <w:rPr>
          <w:rFonts w:ascii="Times New Roman" w:hAnsi="Times New Roman" w:cs="Times New Roman"/>
          <w:b/>
          <w:i w:val="0"/>
          <w:sz w:val="28"/>
        </w:rPr>
        <w:t>References</w:t>
      </w:r>
    </w:p>
    <w:p>
      <w:pPr>
        <w:spacing w:line="216" w:lineRule="auto" w:before="0" w:after="0"/>
        <w:ind w:left="454" w:hanging="454"/>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RENEWABLES 2024 Global Status Report (REN21, 2024).</w:t>
      </w:r>
      <w:r>
        <w:rPr>
          <w:rFonts w:ascii="Times New Roman" w:hAnsi="Times New Roman" w:cs="Times New Roman" w:eastAsia="Times New Roman"/>
          <w:b w:val="0"/>
          <w:i w:val="0"/>
          <w:color w:val="0563C1"/>
          <w:sz w:val="24"/>
          <w:u w:val="single"/>
        </w:rPr>
        <w:t xml:space="preserve"/>
      </w:r>
    </w:p>
    <w:p>
      <w:pPr>
        <w:spacing w:line="216" w:lineRule="auto" w:before="0" w:after="0"/>
        <w:ind w:left="454" w:hanging="454"/>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World Energy Outlook 2024 (International Energy Agency, IEA, 2024).</w:t>
      </w:r>
      <w:r>
        <w:rPr>
          <w:rFonts w:ascii="Times New Roman" w:hAnsi="Times New Roman" w:cs="Times New Roman" w:eastAsia="Times New Roman"/>
          <w:b w:val="0"/>
          <w:i w:val="0"/>
          <w:color w:val="0563C1"/>
          <w:sz w:val="24"/>
          <w:u w:val="single"/>
        </w:rPr>
        <w:t xml:space="preserve"/>
      </w:r>
    </w:p>
    <w:p>
      <w:pPr>
        <w:spacing w:line="216" w:lineRule="auto" w:before="0" w:after="0"/>
        <w:ind w:left="454" w:hanging="454"/>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M. A. Green et al., “Solar cell efficiency tables (Version 64),” Prog. Photovolt.: Res. Appl. (2024). doi:10.1002/pip.3831.</w:t>
      </w:r>
    </w:p>
    <w:p>
      <w:pPr>
        <w:spacing w:line="216" w:lineRule="auto" w:before="0" w:after="0"/>
        <w:ind w:left="454" w:hanging="454"/>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R. A. Afre and D. Pugliese, “Perovskite solar cells: A review of the latest advances in materials, fabrication techniques, and stability enhancement strategies,” Micromachines 15(2), 192 (2024). doi:10.3390/mi15020192.</w:t>
      </w:r>
    </w:p>
    <w:p>
      <w:pPr>
        <w:spacing w:line="216" w:lineRule="auto" w:before="0" w:after="0"/>
        <w:ind w:left="454" w:hanging="454"/>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N.-G. Park, M. Grätzel, T. Miyasaka, K. Zhu, and K. Emery, “Towards stable and commercially available perovskite solar cells,” Nat. Energy 1(11), 16152 (2016). doi:10.1038/nenergy.2016.152.</w:t>
      </w:r>
    </w:p>
    <w:p>
      <w:pPr>
        <w:spacing w:line="216" w:lineRule="auto" w:before="0" w:after="0"/>
        <w:ind w:left="454" w:hanging="454"/>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“Compositional engineering of perovskite materials for high-performance solar cells,” Nature 517(7535), 476–480 (2015). doi:10.1038/nature14133.</w:t>
      </w:r>
    </w:p>
    <w:p>
      <w:pPr>
        <w:spacing w:line="216" w:lineRule="auto" w:before="0" w:after="0"/>
        <w:ind w:left="454" w:hanging="454"/>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I. Ahmed, K. Prakash, and S. M. Mobin, “Lead-free perovskites for solar cell applications: recent progress, ongoing challenges, and strategic approaches,” Chem. Commun. 61(37), 6691–6721 (2025). doi:10.1039/D4CC06835A.</w:t>
      </w:r>
    </w:p>
    <w:p>
      <w:pPr>
        <w:spacing w:line="216" w:lineRule="auto" w:before="0" w:after="0"/>
        <w:ind w:left="454" w:hanging="454"/>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S. Kinza Fatima et al., “Lead-free perovskites for next-generation applications: a comprehensive computational and data-driven review,” Mater. Adv. 6(21), 7634–7661 (2025). doi:10.1039/D5MA00681C.</w:t>
      </w:r>
    </w:p>
    <w:p>
      <w:pPr>
        <w:spacing w:line="216" w:lineRule="auto" w:before="0" w:after="0"/>
        <w:ind w:left="454" w:hanging="454"/>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J. Burschka, N. Pellet, S.-J. Moon, R. Humphry-Baker, P. Gao, M. K. Nazeeruddin, and M. Grätzel, “Sequential deposition as a route to high-performance perovskite-sensitized solar cells,” Nature 499(7458), 316–319 (2013). doi:10.1038/nature12340.</w:t>
      </w:r>
    </w:p>
    <w:p>
      <w:pPr>
        <w:spacing w:line="216" w:lineRule="auto" w:before="0" w:after="0"/>
        <w:ind w:left="454" w:hanging="454"/>
      </w:pPr>
      <w:r>
        <w:rPr>
          <w:rFonts w:ascii="Times New Roman" w:hAnsi="Times New Roman" w:cs="Times New Roman" w:eastAsia="Times New Roman"/>
          <w:b w:val="0"/>
          <w:i w:val="0"/>
          <w:sz w:val="24"/>
        </w:rPr>
        <w:t xml:space="preserve">[10] </w:t>
      </w:r>
      <w:r>
        <w:rPr>
          <w:rFonts w:ascii="Times New Roman" w:hAnsi="Times New Roman" w:cs="Times New Roman" w:eastAsia="Times New Roman"/>
          <w:b w:val="0"/>
          <w:i w:val="0"/>
          <w:sz w:val="24"/>
        </w:rPr>
        <w:t>M. M. Lee, J. Teuscher, T. Miyasaka, T. N. Murakami, and H. J. Snaith, “Efficient hybrid solar cells based on meso-superstructured organometal halide perovskites,” Science 338(6107), 643–647 (2012). doi:9.7726/science.1228604.</w:t>
      </w:r>
    </w:p>
    <w:p>
      <w:pPr>
        <w:spacing w:line="216" w:lineRule="auto" w:before="0" w:after="0"/>
        <w:ind w:left="454" w:hanging="454"/>
      </w:pPr>
      <w:r>
        <w:rPr>
          <w:rFonts w:ascii="Times New Roman" w:hAnsi="Times New Roman" w:cs="Times New Roman" w:eastAsia="Times New Roman"/>
          <w:b w:val="0"/>
          <w:i w:val="0"/>
          <w:sz w:val="24"/>
        </w:rPr>
        <w:t xml:space="preserve">[11] </w:t>
      </w:r>
      <w:r>
        <w:rPr>
          <w:rFonts w:ascii="Times New Roman" w:hAnsi="Times New Roman" w:cs="Times New Roman" w:eastAsia="Times New Roman"/>
          <w:b w:val="0"/>
          <w:i w:val="0"/>
          <w:sz w:val="24"/>
        </w:rPr>
        <w:t>A. K. Jena, A. Kulkarni, and T. Miyasaka, “Halide perovskite photovoltaics: Background, status, and future prospects,” Chem. Rev. 119(5), 3036–3103 (2019). doi:10.1021/acs.chemrev.8b00539.</w:t>
      </w:r>
    </w:p>
    <w:p>
      <w:pPr>
        <w:spacing w:line="216" w:lineRule="auto" w:before="0" w:after="0"/>
        <w:ind w:left="454" w:hanging="454"/>
      </w:pPr>
      <w:r>
        <w:rPr>
          <w:rFonts w:ascii="Times New Roman" w:hAnsi="Times New Roman" w:cs="Times New Roman" w:eastAsia="Times New Roman"/>
          <w:b w:val="0"/>
          <w:i w:val="0"/>
          <w:sz w:val="24"/>
        </w:rPr>
        <w:t xml:space="preserve">[12] </w:t>
      </w:r>
      <w:r>
        <w:rPr>
          <w:rFonts w:ascii="Times New Roman" w:hAnsi="Times New Roman" w:cs="Times New Roman" w:eastAsia="Times New Roman"/>
          <w:b w:val="0"/>
          <w:i w:val="0"/>
          <w:sz w:val="24"/>
        </w:rPr>
        <w:t>P. Afrin, K. Farjana, A. Vumije, and M. N. Uddin, “An investigation on the impact of temperature variation over the performance of formamidinium tin iodide perovskite solar cell using SCAPS simulation,” AIP Adv. 14(7) (2024). doi:10.1063/5.0209332.</w:t>
      </w:r>
    </w:p>
    <w:p>
      <w:pPr>
        <w:spacing w:line="216" w:lineRule="auto" w:before="0" w:after="0"/>
        <w:ind w:left="454" w:hanging="454"/>
      </w:pPr>
      <w:r>
        <w:rPr>
          <w:rFonts w:ascii="Times New Roman" w:hAnsi="Times New Roman" w:eastAsia="Times New Roman" w:cs="Times New Roman"/>
          <w:b w:val="0"/>
          <w:i w:val="0"/>
          <w:sz w:val="24"/>
        </w:rPr>
        <w:t>[13] S. Samaki, F. Tchangnwa Nya, G. M. Dzifack Kenfack, and A. Laref, “Materials and interfaces properties optimization for high-efficient and more stable RbGeI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xml:space="preserve"> perovskite solar cells: optoelectrical modelling,” Sci. Rep. 13, 15517 (2023). doi:10.1038/s41598-023-42471-w.</w:t>
      </w:r>
    </w:p>
    <w:p>
      <w:pPr>
        <w:spacing w:line="216" w:lineRule="auto" w:before="0" w:after="0"/>
        <w:ind w:left="454" w:hanging="454"/>
      </w:pPr>
      <w:r>
        <w:rPr>
          <w:rFonts w:ascii="Times New Roman" w:hAnsi="Times New Roman" w:eastAsia="Times New Roman" w:cs="Times New Roman"/>
          <w:b w:val="0"/>
          <w:i w:val="0"/>
          <w:sz w:val="24"/>
        </w:rPr>
        <w:t>[14] G. Pindolia, S. M. Shinde, and P. K. Jha, “Optimization of an inorganic lead-free RbGeI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xml:space="preserve"> based perovskite solar cell by SCAPS-1D simulation,” Sol. Energy 236, 802–821 (2022). doi:10.1016/j.solener.2022.03.053.</w:t>
      </w:r>
    </w:p>
    <w:p>
      <w:pPr>
        <w:spacing w:line="216" w:lineRule="auto" w:before="0" w:after="0"/>
        <w:ind w:left="454" w:hanging="454"/>
      </w:pPr>
      <w:r>
        <w:rPr>
          <w:rFonts w:ascii="Times New Roman" w:hAnsi="Times New Roman" w:cs="Times New Roman" w:eastAsia="Times New Roman"/>
          <w:b w:val="0"/>
          <w:i w:val="0"/>
          <w:sz w:val="24"/>
        </w:rPr>
        <w:t xml:space="preserve">[15] </w:t>
      </w:r>
      <w:r>
        <w:rPr>
          <w:rFonts w:ascii="Times New Roman" w:hAnsi="Times New Roman" w:cs="Times New Roman" w:eastAsia="Times New Roman"/>
          <w:b w:val="0"/>
          <w:i w:val="0"/>
          <w:sz w:val="24"/>
        </w:rPr>
        <w:t>S. Bouazizi, W. Tlili, A. Bouich, B. M. Soucase, and A. Omri, “Design and efficiency enhancement of FTO/PC60BM/CsSn0.5Ge0.5I3/Spiro-OMeTAD/Au perovskite solar cell utilizing SCAPS-1D simulator,” Mater. Res. Express 9(9), 096402 (2022). doi:10.1088/2053-1591/ac8d52.</w:t>
      </w:r>
    </w:p>
    <w:p>
      <w:pPr>
        <w:spacing w:line="216" w:lineRule="auto" w:before="0" w:after="0"/>
        <w:ind w:left="454" w:hanging="454"/>
      </w:pPr>
      <w:r>
        <w:rPr>
          <w:rFonts w:ascii="Times New Roman" w:hAnsi="Times New Roman" w:cs="Times New Roman" w:eastAsia="Times New Roman"/>
          <w:b w:val="0"/>
          <w:i w:val="0"/>
          <w:sz w:val="24"/>
        </w:rPr>
        <w:t xml:space="preserve">[16] </w:t>
      </w:r>
      <w:r>
        <w:rPr>
          <w:rFonts w:ascii="Times New Roman" w:hAnsi="Times New Roman" w:cs="Times New Roman" w:eastAsia="Times New Roman"/>
          <w:b w:val="0"/>
          <w:i w:val="0"/>
          <w:sz w:val="24"/>
        </w:rPr>
        <w:t>T. Salim, S. Sun, Y. Abe, A. Krishna, A. C. Grimsdale, and Y. M. Lam, “Perovskite-based solar cells: Impact of materials processing and device architecture,” J. Mater. Chem. A 3(17), 8943–8969 (2015). doi:10.1039/C4TA05226A.</w:t>
      </w:r>
    </w:p>
    <w:p>
      <w:pPr>
        <w:spacing w:line="216" w:lineRule="auto" w:before="0" w:after="0"/>
        <w:ind w:left="454" w:hanging="454"/>
      </w:pPr>
      <w:r>
        <w:rPr>
          <w:rFonts w:ascii="Times New Roman" w:hAnsi="Times New Roman" w:eastAsia="Times New Roman" w:cs="Times New Roman"/>
          <w:b w:val="0"/>
          <w:i w:val="0"/>
          <w:sz w:val="24"/>
        </w:rPr>
        <w:t>[17] P. K. Dash, P. Banarjee, A. Nyayban, and S. Panda, “Optoelectronic properties and performance optimization for photovoltaic applications of R3m-RbGeX</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xml:space="preserve"> (X = Cl, Br, I) perovskites: A combined DFT and SCAPS-1D study,” arXiv:2505.09362 (2025).</w:t>
      </w:r>
    </w:p>
    <w:p>
      <w:pPr>
        <w:spacing w:line="216" w:lineRule="auto" w:before="0" w:after="0"/>
        <w:ind w:left="454" w:hanging="454"/>
      </w:pPr>
      <w:r>
        <w:rPr>
          <w:rFonts w:ascii="Times New Roman" w:hAnsi="Times New Roman" w:eastAsia="Times New Roman" w:cs="Times New Roman"/>
          <w:b w:val="0"/>
          <w:i w:val="0"/>
          <w:sz w:val="24"/>
        </w:rPr>
        <w:t>[18] N. A. Abdulkareem, “A DFT study of structural, electronic and optical properties of lead-free and Ge-based cubic perovskite RbGeX</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xml:space="preserve"> (X = I, Br and Cl),” Passer J. Basic Appl. Sci. 5(1), 46–51 (2023). doi:10.24271/psr.2023.371069.1187.</w:t>
      </w:r>
    </w:p>
    <w:p>
      <w:pPr>
        <w:spacing w:line="216" w:lineRule="auto" w:before="0" w:after="0"/>
        <w:ind w:left="454" w:hanging="454"/>
      </w:pPr>
      <w:r>
        <w:rPr>
          <w:rFonts w:ascii="Times New Roman" w:hAnsi="Times New Roman" w:cs="Times New Roman" w:eastAsia="Times New Roman"/>
          <w:b w:val="0"/>
          <w:i w:val="0"/>
          <w:sz w:val="24"/>
        </w:rPr>
        <w:t xml:space="preserve">[19] </w:t>
      </w:r>
      <w:r>
        <w:rPr>
          <w:rFonts w:ascii="Times New Roman" w:hAnsi="Times New Roman" w:cs="Times New Roman" w:eastAsia="Times New Roman"/>
          <w:b w:val="0"/>
          <w:i w:val="0"/>
          <w:sz w:val="24"/>
        </w:rPr>
        <w:t>M. Burgelman, P. Nollet, and S. Degrave, “Modelling polycrystalline semiconductor solar cells,” Thin Solid Films 361–362, 527–532 (2000). doi:10.1016/S0040-6090(99)00825-1.</w:t>
      </w:r>
    </w:p>
    <w:p>
      <w:pPr>
        <w:spacing w:line="216" w:lineRule="auto" w:before="0" w:after="0"/>
        <w:ind w:left="454" w:hanging="454"/>
      </w:pPr>
      <w:r>
        <w:rPr>
          <w:rFonts w:ascii="Times New Roman" w:hAnsi="Times New Roman" w:cs="Times New Roman" w:eastAsia="Times New Roman"/>
          <w:b w:val="0"/>
          <w:i w:val="0"/>
          <w:sz w:val="24"/>
        </w:rPr>
        <w:t xml:space="preserve">[20] M. Burgelman, M. Debucquoy, K. Decock, J. Verschraegen, and S. Degrave, SCAPS-1D simulation program for thin film solar cells, version 3.3.10 (ELIS, University of Gent, Belgium, 2024).</w:t>
      </w:r>
      <w:r>
        <w:rPr>
          <w:rFonts w:ascii="Times New Roman" w:hAnsi="Times New Roman" w:cs="Times New Roman" w:eastAsia="Times New Roman"/>
          <w:b w:val="0"/>
          <w:i w:val="0"/>
          <w:sz w:val="24"/>
        </w:rPr>
        <w:t/>
      </w:r>
      <w:r>
        <w:rPr>
          <w:rFonts w:ascii="Times New Roman" w:hAnsi="Times New Roman" w:cs="Times New Roman" w:eastAsia="Times New Roman"/>
          <w:b w:val="0"/>
          <w:i w:val="0"/>
          <w:color w:val="0563C1"/>
          <w:sz w:val="24"/>
          <w:u w:val="single"/>
        </w:rPr>
        <w:t xml:space="preserve"/>
      </w:r>
    </w:p>
    <w:p>
      <w:pPr>
        <w:spacing w:line="216" w:lineRule="auto" w:before="0" w:after="0"/>
        <w:ind w:left="454" w:hanging="454"/>
      </w:pPr>
      <w:r>
        <w:rPr>
          <w:rFonts w:ascii="Times New Roman" w:hAnsi="Times New Roman" w:cs="Times New Roman" w:eastAsia="Times New Roman"/>
          <w:b w:val="0"/>
          <w:i w:val="0"/>
          <w:sz w:val="24"/>
        </w:rPr>
        <w:t xml:space="preserve">[21] A. Nakane, H. Tampo, M. Tamakoshi, S. Fujimoto, K. M. Kim, S. Kim, H. Shibata, S. Niki, and H. Fujiwara, “Quantitative determination of optical and recombination losses in thin-film photovoltaic devices based on external quantum efficiency analysis,” arXiv:1604.04491 (2016); published in J. Appl. Phys. 120, 064505 (2016), doi:10.1063/1.4960698.</w:t>
      </w:r>
      <w:r>
        <w:rPr>
          <w:rFonts w:ascii="Times New Roman" w:hAnsi="Times New Roman" w:cs="Times New Roman" w:eastAsia="Times New Roman"/>
          <w:b w:val="0"/>
          <w:i w:val="0"/>
          <w:sz w:val="24"/>
        </w:rPr>
        <w:t/>
      </w:r>
      <w:r>
        <w:rPr>
          <w:rFonts w:ascii="Times New Roman" w:hAnsi="Times New Roman" w:cs="Times New Roman" w:eastAsia="Times New Roman"/>
          <w:b w:val="0"/>
          <w:i w:val="0"/>
          <w:color w:val="0563C1"/>
          <w:sz w:val="24"/>
          <w:u w:val="single"/>
        </w:rPr>
        <w:t xml:space="preserve"/>
      </w:r>
    </w:p>
    <w:p>
      <w:pPr>
        <w:spacing w:line="216" w:lineRule="auto" w:before="0" w:after="0"/>
        <w:ind w:left="454" w:hanging="454"/>
      </w:pPr>
      <w:r>
        <w:rPr>
          <w:rFonts w:ascii="Times New Roman" w:hAnsi="Times New Roman" w:eastAsia="Times New Roman" w:cs="Times New Roman"/>
          <w:b w:val="0"/>
          <w:i w:val="0"/>
          <w:sz w:val="24"/>
        </w:rPr>
        <w:t>[22] L. Loumachi, A. Yousfi, O. Saidani, and A. S. Alsubaie, “Strengthen the power conversion efficiency of solar cell based RbGeI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Numerical approach,” East Eur. J. Phys. (3), 416–424 (2024). doi:10.26565/2312-4334-2024-3-50</w:t>
      </w:r>
    </w:p>
    <w:p>
      <w:pPr>
        <w:spacing w:line="216" w:lineRule="auto" w:before="0" w:after="0"/>
        <w:ind w:left="454" w:hanging="454"/>
      </w:pPr>
      <w:r>
        <w:rPr>
          <w:rFonts w:ascii="Times New Roman" w:hAnsi="Times New Roman" w:eastAsia="Times New Roman" w:cs="Times New Roman"/>
          <w:b w:val="0"/>
          <w:i w:val="0"/>
          <w:sz w:val="24"/>
        </w:rPr>
        <w:t>[23] A. Pathak, K. M. D. Pravalli, R. Madaka, B. Pandey, D. Shankar, C. S. Beera, and D. J. Rao, “Computational analysis of germanium-based perovskites (MAGeI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FAGeI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CsGeI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RbGeI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for high-efficiency solar cells using SCAPS-1D,” Research Square (2026). doi:10.21203/rs.3.rs-8749975/</w:t>
      </w:r>
    </w:p>
    <w:p>
      <w:pPr>
        <w:spacing w:line="216" w:lineRule="auto" w:before="0" w:after="0"/>
        <w:ind w:left="454" w:hanging="454"/>
      </w:pPr>
      <w:r>
        <w:rPr>
          <w:rFonts w:ascii="Times New Roman" w:hAnsi="Times New Roman" w:eastAsia="Times New Roman" w:cs="Times New Roman"/>
          <w:b w:val="0"/>
          <w:i w:val="0"/>
          <w:sz w:val="24"/>
        </w:rPr>
        <w:t>[24] D. Saikia, J. Bera, A. Betal, and S. Sahu, “Performance evaluation of an all inorganic CsGeI</w:t>
      </w:r>
      <w:r>
        <w:rPr>
          <w:rFonts w:ascii="Times New Roman" w:hAnsi="Times New Roman" w:eastAsia="Times New Roman" w:cs="Times New Roman"/>
          <w:b w:val="0"/>
          <w:i w:val="0"/>
          <w:sz w:val="24"/>
          <w:vertAlign w:val="subscript"/>
        </w:rPr>
        <w:t>3</w:t>
      </w:r>
      <w:r>
        <w:rPr>
          <w:rFonts w:ascii="Times New Roman" w:hAnsi="Times New Roman" w:eastAsia="Times New Roman" w:cs="Times New Roman"/>
          <w:b w:val="0"/>
          <w:i w:val="0"/>
          <w:sz w:val="24"/>
        </w:rPr>
        <w:t xml:space="preserve"> based perovskite solar cell by numerical simulation,” Opt. Mater. 123, 111839 (2022). doi:10.1016/j.optmat.2021.111839.</w:t>
      </w:r>
    </w:p>
    <w:p>
      <w:pPr>
        <w:spacing w:line="216" w:lineRule="auto" w:before="0" w:after="0"/>
        <w:ind w:left="454" w:hanging="454"/>
      </w:pPr>
      <w:r>
        <w:rPr>
          <w:rFonts w:ascii="Times New Roman" w:hAnsi="Times New Roman" w:cs="Times New Roman" w:eastAsia="Times New Roman"/>
          <w:b w:val="0"/>
          <w:i w:val="0"/>
          <w:sz w:val="24"/>
        </w:rPr>
        <w:t xml:space="preserve">[25] R. Pau et al., “Solution-processed CuI as a hole transport layer for Sn–Pb perovskite solar cells,” J. Mater. Chem. A 13(48), 42118–42127 (2025). doi:10.1039/D5TA06770G.</w:t>
      </w:r>
    </w:p>
    <w:p>
      <w:pPr>
        <w:spacing w:line="216" w:lineRule="auto" w:before="0" w:after="0"/>
        <w:ind w:left="454" w:hanging="454"/>
      </w:pPr>
      <w:r>
        <w:rPr>
          <w:rFonts w:ascii="Times New Roman" w:hAnsi="Times New Roman" w:cs="Times New Roman" w:eastAsia="Times New Roman"/>
          <w:b w:val="0"/>
          <w:i w:val="0"/>
          <w:sz w:val="24"/>
        </w:rPr>
        <w:t xml:space="preserve">[26] Q. Sun, A. Sadhu, S. Lie, and L. H. Wong, “Critical review of Cu-based hole transport materials for perovskite solar cells: From theoretical insights to experimental validation,” Adv. Mater. (2024). doi:10.1002/adma.202402412.</w:t>
      </w:r>
    </w:p>
    <w:p>
      <w:pPr>
        <w:spacing w:line="216" w:lineRule="auto" w:before="0" w:after="0"/>
        <w:ind w:left="454" w:hanging="454"/>
      </w:pPr>
      <w:r>
        <w:rPr>
          <w:rFonts w:ascii="Times New Roman" w:hAnsi="Times New Roman" w:cs="Times New Roman" w:eastAsia="Times New Roman"/>
          <w:b w:val="0"/>
          <w:i w:val="0"/>
          <w:sz w:val="24"/>
        </w:rPr>
        <w:t xml:space="preserve">[27] J. Z. Mbese, “Advancements in inorganic hole-transport materials for perovskite solar cells: A comparative review,” Energies 18(9), 2374 (2025). doi:10.3390/en18092374.</w:t>
      </w:r>
    </w:p>
    <w:p>
      <w:pPr>
        <w:spacing w:line="216" w:lineRule="auto" w:before="0" w:after="0"/>
        <w:ind w:left="454" w:hanging="454"/>
      </w:pPr>
      <w:r>
        <w:rPr>
          <w:rFonts w:ascii="Times New Roman" w:hAnsi="Times New Roman" w:cs="Times New Roman" w:eastAsia="Times New Roman"/>
          <w:b w:val="0"/>
          <w:i w:val="0"/>
          <w:sz w:val="24"/>
        </w:rPr>
        <w:t xml:space="preserve">[28] L. T. C. Tuyen, S.-R. Jian, N. T. Tien, and P. H. Le, “Nanomechanical and material properties of fluorine-doped tin oxide thin films prepared by ultrasonic spray pyrolysis: Effects of F-doping,” Materials 12(10), 1665 (2019). doi:10.3390/ma12101665.</w:t>
      </w:r>
    </w:p>
    <w:p>
      <w:pPr>
        <w:spacing w:line="216" w:lineRule="auto" w:before="0" w:after="0"/>
        <w:ind w:left="454" w:hanging="454"/>
      </w:pPr>
      <w:r>
        <w:rPr>
          <w:rFonts w:ascii="Times New Roman" w:hAnsi="Times New Roman" w:cs="Times New Roman" w:eastAsia="Times New Roman"/>
          <w:b w:val="0"/>
          <w:i w:val="0"/>
          <w:sz w:val="24"/>
        </w:rPr>
        <w:t xml:space="preserve">[29] W. Yang et al., “The CuI/NiO gradient hole transport layer for enhanced carrier efficiency in large-area perovskite solar cell,” Appl. Phys. Lett. 128(14) (2026). doi:10.1063/5.0326539.</w:t>
      </w:r>
    </w:p>
    <w:p>
      <w:pPr>
        <w:spacing w:line="216" w:lineRule="auto" w:before="0" w:after="0"/>
        <w:ind w:left="454" w:hanging="454"/>
      </w:pPr>
      <w:r>
        <w:rPr>
          <w:rFonts w:ascii="Times New Roman" w:hAnsi="Times New Roman" w:eastAsia="Times New Roman" w:cs="Times New Roman"/>
          <w:b w:val="0"/>
          <w:i w:val="0"/>
          <w:sz w:val="24"/>
        </w:rPr>
        <w:t xml:space="preserve">[30] A. J. Olasoji and S. H. Im, “Perspective chapter: </w:t>
      </w:r>
      <w:r>
        <w:rPr>
          <w:rFonts w:ascii="Times New Roman" w:hAnsi="Times New Roman" w:eastAsia="Times New Roman" w:cs="Times New Roman"/>
          <w:b w:val="0"/>
          <w:i w:val="0"/>
          <w:sz w:val="24"/>
        </w:rPr>
        <w:t xml:space="preserve">TiO</w:t>
      </w:r>
      <w:r>
        <w:rPr>
          <w:rFonts w:ascii="Times New Roman" w:hAnsi="Times New Roman" w:eastAsia="Times New Roman" w:cs="Times New Roman"/>
          <w:b w:val="0"/>
          <w:i w:val="0"/>
          <w:sz w:val="24"/>
          <w:vertAlign w:val="subscript"/>
        </w:rPr>
        <w:t xml:space="preserve">2</w:t>
      </w:r>
      <w:r>
        <w:rPr>
          <w:rFonts w:ascii="Times New Roman" w:hAnsi="Times New Roman" w:eastAsia="Times New Roman" w:cs="Times New Roman"/>
          <w:b w:val="0"/>
          <w:i w:val="0"/>
          <w:sz w:val="24"/>
        </w:rPr>
        <w:t xml:space="preserve"> electron transporting layers for perovskite solar cells,” in Titanium Dioxide – Uses, Applications, and Advances (IntechOpen, 2024). doi:10.5772/intechopen.1007266.</w:t>
      </w:r>
    </w:p>
    <w:p>
      <w:pPr>
        <w:spacing w:line="216" w:lineRule="auto" w:before="0" w:after="0"/>
        <w:ind w:left="454" w:hanging="454"/>
      </w:pPr>
      <w:r>
        <w:rPr>
          <w:rFonts w:ascii="Times New Roman" w:hAnsi="Times New Roman" w:cs="Times New Roman" w:eastAsia="Times New Roman"/>
          <w:b w:val="0"/>
          <w:i w:val="0"/>
          <w:sz w:val="24"/>
        </w:rPr>
        <w:t xml:space="preserve">[31] K. Valadi, S. Gharibi, R. Taheri-Ledari, S. Akin, A. Maleki, and A. E. Shalan, “Metal oxide electron transport materials for perovskite solar cells: A review,” Environ. Chem. Lett. 19(3), 2185–2207 (2021). doi:10.1007/s10311-020-01171-x.</w:t>
      </w:r>
    </w:p>
    <w:p>
      <w:pPr>
        <w:spacing w:line="216" w:lineRule="auto" w:before="0" w:after="0"/>
        <w:ind w:left="454" w:hanging="454"/>
      </w:pPr>
      <w:r>
        <w:rPr>
          <w:rFonts w:ascii="Times New Roman" w:hAnsi="Times New Roman" w:eastAsia="Times New Roman" w:cs="Times New Roman"/>
          <w:b w:val="0"/>
          <w:i w:val="0"/>
          <w:sz w:val="24"/>
        </w:rPr>
        <w:t xml:space="preserve">[32] L. Ji, T. Zhang, and S. Li, “Band alignment of </w:t>
      </w:r>
      <w:r>
        <w:rPr>
          <w:rFonts w:ascii="Times New Roman" w:hAnsi="Times New Roman" w:eastAsia="Times New Roman" w:cs="Times New Roman"/>
          <w:b w:val="0"/>
          <w:i w:val="0"/>
          <w:sz w:val="24"/>
        </w:rPr>
        <w:t xml:space="preserve">TiO</w:t>
      </w:r>
      <w:r>
        <w:rPr>
          <w:rFonts w:ascii="Times New Roman" w:hAnsi="Times New Roman" w:eastAsia="Times New Roman" w:cs="Times New Roman"/>
          <w:b w:val="0"/>
          <w:i w:val="0"/>
          <w:sz w:val="24"/>
          <w:vertAlign w:val="subscript"/>
        </w:rPr>
        <w:t xml:space="preserve">2</w:t>
      </w:r>
      <w:r>
        <w:rPr>
          <w:rFonts w:ascii="Times New Roman" w:hAnsi="Times New Roman" w:eastAsia="Times New Roman" w:cs="Times New Roman"/>
          <w:b w:val="0"/>
          <w:i w:val="0"/>
          <w:sz w:val="24"/>
        </w:rPr>
        <w:t xml:space="preserve"> by controlling Cl content for high-efficiency perovskite solar cells,” J. Mater. Chem. C 12(36), 14597–14604 (2024). doi:10.1039/D4TC01495B.</w:t>
      </w:r>
    </w:p>
    <w:p>
      <w:pPr>
        <w:spacing w:line="216" w:lineRule="auto" w:before="0" w:after="0"/>
        <w:ind w:left="454" w:hanging="454"/>
      </w:pPr>
      <w:r>
        <w:rPr>
          <w:rFonts w:ascii="Times New Roman" w:hAnsi="Times New Roman" w:cs="Times New Roman" w:eastAsia="Times New Roman"/>
          <w:b w:val="0"/>
          <w:i w:val="0"/>
          <w:sz w:val="24"/>
        </w:rPr>
        <w:t xml:space="preserve">[33] A. Ghosh et al., “Solar power conversion: CuI hole transport layer and Ba3NCl3 absorber enable advanced solar cell technology boosting efficiency over 30%,” RSC Adv. 14(33), 24066–24081 (2024). doi:10.1039/D4RA03695F.</w:t>
      </w:r>
    </w:p>
    <w:p>
      <w:pPr>
        <w:spacing w:line="216" w:lineRule="auto" w:before="0" w:after="0"/>
        <w:ind w:left="454" w:hanging="454"/>
      </w:pPr>
      <w:r>
        <w:rPr>
          <w:rFonts w:ascii="Times New Roman" w:hAnsi="Times New Roman" w:cs="Times New Roman" w:eastAsia="Times New Roman"/>
          <w:b w:val="0"/>
          <w:i w:val="0"/>
          <w:sz w:val="24"/>
        </w:rPr>
        <w:t xml:space="preserve">[34] T. Minemoto and M. Murata, “Impact of work function of back contact of perovskite solar cells without hole transport material analyzed by device simulation,” Curr. Appl. Phys. 14(11), 1428–1433 (2014). doi:10.1016/j.cap.2014.08.002.</w:t>
      </w:r>
    </w:p>
    <w:p>
      <w:pPr>
        <w:spacing w:line="216" w:lineRule="auto" w:before="0" w:after="0"/>
        <w:ind w:left="454" w:hanging="454"/>
      </w:pPr>
      <w:r>
        <w:rPr>
          <w:rFonts w:ascii="Times New Roman" w:hAnsi="Times New Roman" w:cs="Times New Roman" w:eastAsia="Times New Roman"/>
          <w:b w:val="0"/>
          <w:i w:val="0"/>
          <w:sz w:val="24"/>
        </w:rPr>
        <w:t xml:space="preserve">[35] W. Shockley and H. J. Queisser, “Detailed balance limit of efficiency of p-n junction solar cells,” J. Appl. Phys. 32(3), 510–519 (1961). doi:10.1063/1.1736034.</w:t>
      </w:r>
    </w:p>
    <w:p>
      <w:pPr>
        <w:spacing w:line="216" w:lineRule="auto" w:before="0" w:after="0"/>
        <w:ind w:left="454" w:hanging="454"/>
      </w:pPr>
      <w:r>
        <w:rPr>
          <w:rFonts w:ascii="Times New Roman" w:hAnsi="Times New Roman" w:eastAsia="Times New Roman" w:cs="Times New Roman"/>
          <w:b w:val="0"/>
          <w:i w:val="0"/>
          <w:sz w:val="24"/>
        </w:rPr>
        <w:t xml:space="preserve">[36] S. Rühle, “Tabulated values of the Shockley–Queisser limit for single junction solar cells,” Sol. Energy 130, 139–147 (2016). doi:10.1016/j.solener.2016.02.015.</w:t>
      </w:r>
    </w:p>
    <w:p>
      <w:pPr>
        <w:spacing w:line="216" w:lineRule="auto" w:before="0" w:after="0"/>
        <w:ind w:left="454" w:hanging="454"/>
      </w:pPr>
      <w:r>
        <w:rPr>
          <w:rFonts w:ascii="Times New Roman" w:hAnsi="Times New Roman" w:eastAsia="Times New Roman" w:cs="Times New Roman"/>
          <w:b w:val="0"/>
          <w:i w:val="0"/>
          <w:sz w:val="24"/>
        </w:rPr>
        <w:t xml:space="preserve">[37] C. H. Henry, “Limiting efficiencies of ideal single and multiple energy gap terrestrial solar cells,” J. Appl. Phys. 51(8), 4494–4500 (1980). doi:10.1063/1.328272.</w:t>
      </w:r>
    </w:p>
    <w:p>
      <w:pPr>
        <w:spacing w:line="216" w:lineRule="auto" w:before="0" w:after="0"/>
        <w:ind w:left="454" w:hanging="454"/>
      </w:pPr>
      <w:r>
        <w:rPr>
          <w:rFonts w:ascii="Times New Roman" w:hAnsi="Times New Roman" w:cs="Times New Roman" w:eastAsia="Times New Roman"/>
          <w:b w:val="0"/>
          <w:i w:val="0"/>
          <w:sz w:val="24"/>
        </w:rPr>
        <w:t xml:space="preserve">[38] O. J. Sandberg and A. Armin, “On the effect of surface recombination in thin film solar cells, light emitting diodes and photodetectors,” arXiv:1905.07291 (2019); published in Synth. Met. 254, 114–121 (2019), doi:10.1016/j.synthmet.2019.06.008.</w:t>
      </w:r>
    </w:p>
    <w:p>
      <w:pPr>
        <w:spacing w:line="216" w:lineRule="auto" w:before="0" w:after="0"/>
        <w:ind w:left="454" w:hanging="454"/>
      </w:pPr>
      <w:r>
        <w:rPr>
          <w:rFonts w:ascii="Times New Roman" w:hAnsi="Times New Roman" w:eastAsia="Times New Roman" w:cs="Times New Roman"/>
          <w:b w:val="0"/>
          <w:i w:val="0"/>
          <w:sz w:val="24"/>
        </w:rPr>
        <w:t xml:space="preserve">[39] M. Raj, A. Aggarwal, A. Kushwaha, and N. Goel, “Moisture-resistant sustainable solar cell with </w:t>
      </w:r>
      <w:r>
        <w:rPr>
          <w:rFonts w:ascii="Times New Roman" w:hAnsi="Times New Roman" w:eastAsia="Times New Roman" w:cs="Times New Roman"/>
          <w:b w:val="0"/>
          <w:i w:val="0"/>
          <w:sz w:val="24"/>
        </w:rPr>
        <w:t xml:space="preserve">RbGeI</w:t>
      </w:r>
      <w:r>
        <w:rPr>
          <w:rFonts w:ascii="Times New Roman" w:hAnsi="Times New Roman" w:eastAsia="Times New Roman" w:cs="Times New Roman"/>
          <w:b w:val="0"/>
          <w:i w:val="0"/>
          <w:sz w:val="24"/>
          <w:vertAlign w:val="subscript"/>
        </w:rPr>
        <w:t xml:space="preserve">3</w:t>
      </w:r>
      <w:r>
        <w:rPr>
          <w:rFonts w:ascii="Times New Roman" w:hAnsi="Times New Roman" w:eastAsia="Times New Roman" w:cs="Times New Roman"/>
          <w:b w:val="0"/>
          <w:i w:val="0"/>
          <w:sz w:val="24"/>
        </w:rPr>
        <w:t xml:space="preserve"> absorber layer,” J. Mater. Sci. 60(22), 9176–9196 (2025). doi:10.1007/s10853-025-11002-5.</w:t>
      </w:r>
    </w:p>
    <w:p>
      <w:pPr>
        <w:spacing w:line="216" w:lineRule="auto" w:before="0" w:after="0"/>
        <w:ind w:left="454" w:hanging="454"/>
      </w:pPr>
      <w:r>
        <w:rPr>
          <w:rFonts w:ascii="Times New Roman" w:hAnsi="Times New Roman" w:eastAsia="Times New Roman" w:cs="Times New Roman"/>
          <w:b w:val="0"/>
          <w:i w:val="0"/>
          <w:sz w:val="24"/>
        </w:rPr>
        <w:t xml:space="preserve">[40] H.-J. Park, H. Son, and B.-S. Jeong, “SCAPS-1D Simulation for Device Optimization to Improve Efficiency in Lead-Free </w:t>
      </w:r>
      <w:r>
        <w:rPr>
          <w:rFonts w:ascii="Times New Roman" w:hAnsi="Times New Roman" w:eastAsia="Times New Roman" w:cs="Times New Roman"/>
          <w:b w:val="0"/>
          <w:i w:val="0"/>
          <w:sz w:val="24"/>
        </w:rPr>
        <w:t xml:space="preserve">CsSnI</w:t>
      </w:r>
      <w:r>
        <w:rPr>
          <w:rFonts w:ascii="Times New Roman" w:hAnsi="Times New Roman" w:eastAsia="Times New Roman" w:cs="Times New Roman"/>
          <w:b w:val="0"/>
          <w:i w:val="0"/>
          <w:sz w:val="24"/>
          <w:vertAlign w:val="subscript"/>
        </w:rPr>
        <w:t xml:space="preserve">3</w:t>
      </w:r>
      <w:r>
        <w:rPr>
          <w:rFonts w:ascii="Times New Roman" w:hAnsi="Times New Roman" w:eastAsia="Times New Roman" w:cs="Times New Roman"/>
          <w:b w:val="0"/>
          <w:i w:val="0"/>
          <w:sz w:val="24"/>
        </w:rPr>
        <w:t xml:space="preserve"> Perovskite Solar Cells,” Inorganics 12(4), 123 (2024). doi:10.3390/inorganics12040123.</w:t>
      </w:r>
    </w:p>
    <w:p>
      <w:pPr>
        <w:spacing w:line="216" w:lineRule="auto" w:before="0" w:after="0"/>
        <w:ind w:left="454" w:hanging="454"/>
      </w:pPr>
      <w:r>
        <w:rPr>
          <w:rFonts w:ascii="Times New Roman" w:hAnsi="Times New Roman" w:eastAsia="Times New Roman" w:cs="Times New Roman"/>
          <w:b w:val="0"/>
          <w:i w:val="0"/>
          <w:sz w:val="24"/>
        </w:rPr>
        <w:t xml:space="preserve">[41] R. Islam, M. N. Uddin, M. J. Hossen, and A. Begum, “Photovoltaic performance of lead-free </w:t>
      </w:r>
      <w:r>
        <w:rPr>
          <w:rFonts w:ascii="Times New Roman" w:hAnsi="Times New Roman" w:eastAsia="Times New Roman" w:cs="Times New Roman"/>
          <w:b w:val="0"/>
          <w:i w:val="0"/>
          <w:sz w:val="24"/>
        </w:rPr>
        <w:t xml:space="preserve">MASnI</w:t>
      </w:r>
      <w:r>
        <w:rPr>
          <w:rFonts w:ascii="Times New Roman" w:hAnsi="Times New Roman" w:eastAsia="Times New Roman" w:cs="Times New Roman"/>
          <w:b w:val="0"/>
          <w:i w:val="0"/>
          <w:sz w:val="24"/>
          <w:vertAlign w:val="subscript"/>
        </w:rPr>
        <w:t xml:space="preserve">3</w:t>
      </w:r>
      <w:r>
        <w:rPr>
          <w:rFonts w:ascii="Times New Roman" w:hAnsi="Times New Roman" w:eastAsia="Times New Roman" w:cs="Times New Roman"/>
          <w:b w:val="0"/>
          <w:i w:val="0"/>
          <w:sz w:val="24"/>
        </w:rPr>
        <w:t xml:space="preserve">-based perovskite solar cells with kesterite hole transport materials,” AIP Adv. 16(5) (2026). doi:10.1063/5.0315071.</w:t>
      </w:r>
    </w:p>
    <w:p>
      <w:pPr>
        <w:spacing w:line="216" w:lineRule="auto" w:before="0" w:after="0"/>
        <w:ind w:left="454" w:hanging="454"/>
      </w:pPr>
      <w:r>
        <w:rPr>
          <w:rFonts w:ascii="Times New Roman" w:hAnsi="Times New Roman" w:cs="Times New Roman" w:eastAsia="Times New Roman"/>
          <w:b w:val="0"/>
          <w:i w:val="0"/>
          <w:sz w:val="24"/>
        </w:rPr>
        <w:t xml:space="preserve">[42] A. C. Piñón Reyes et al., “Study of a lead-free perovskite solar cell using CZTS as HTL to achieve a 20% PCE by SCAPS-1D simulation,” Micromachines 12(12), 1508 (2021). doi:10.3390/mi12121508.</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Page </w:t>
    </w:r>
    <w:fldSimple w:instr="PAGE \* MERGEFORMAT">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Defect-Tolerant Design of Lead-Free RbGeI3 Solar Cells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