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rPr>
          <w:b/>
          <w:sz w:val="28"/>
        </w:rPr>
        <w:t>Oxidation-Budgeted Design of Lead-Free RbGeI3 Solar Cells: Back-Surface-Field Enhancement, Realistic Loss Budgeting and SHAP Sensitivity From SCAPS-1D Optimization to Manufacturing Tolerances, Benchmarked Against CsGeI3</w:t>
      </w:r>
    </w:p>
    <w:p>
      <w:r>
        <w:t>Md. Abdul Malek Fahimᵃ and Hussain Touhid Siddiqueeᵃʲ</w:t>
      </w:r>
    </w:p>
    <w:p>
      <w:r>
        <w:t>ᵃDepartment of Electrical and Electronic Engineering, Leading University, Sylhet, Bangladesh</w:t>
      </w:r>
    </w:p>
    <w:p>
      <w:r>
        <w:t>First author: Md. Abdul Malek Fahim. E-mail: mdabdulmalekfahim@gmail.com</w:t>
      </w:r>
    </w:p>
    <w:p>
      <w:r>
        <w:t>Corresponding author: Hussain Touhid Siddiquee, Department of Electrical and Electronic Engineering, Leading University, Sylhet, Bangladesh. E-mail: touhidsiddiqueeraj@gmail.com</w:t>
      </w:r>
    </w:p>
    <w:p>
      <w:r>
        <w:t>Article type: Regular Paper, Solar Energy (Elsevier).</w:t>
      </w:r>
    </w:p>
    <w:p>
      <w:r>
        <w:t>Word count: ~4,060 words excluding references (body prose ~2,880; tables/figure captions ~1,180), within the 4,000–6,000-word guide for Regular Papers.</w:t>
      </w:r>
    </w:p>
    <w:p>
      <w:r>
        <w:t>Figures and tables: Main manuscript: 25 figures, 8 tables. Supplementary material: 12 figures, 6 tables. Graphical abstract: 1 file.</w:t>
      </w:r>
    </w:p>
    <w:p>
      <w:r>
        <w:t>Keywords: lead-free perovskite; RbGeI3; SCAPS-1D; back surface field; oxidation budget; SHAP sensitivity analysis.</w:t>
      </w:r>
    </w:p>
    <w:p>
      <w:r>
        <w:t>Funding: No funding was received for this work.</w:t>
      </w:r>
    </w:p>
    <w:p>
      <w:r>
        <w:t>Declaration of interest: The authors declare that they have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dc:subject/>
  <dc:creator>Hussain Touhid Siddiquee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