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480" w:after="360"/>
        <w:jc w:val="center"/>
      </w:pPr>
      <w:r>
        <w:rPr>
          <w:rFonts w:ascii="Times New Roman" w:hAnsi="Times New Roman"/>
          <w:b/>
          <w:i w:val="0"/>
          <w:sz w:val="36"/>
        </w:rPr>
        <w:t>Photovoltaic Performance Analysis of RbGeI</w:t>
      </w:r>
      <w:r>
        <w:rPr>
          <w:rFonts w:ascii="Times New Roman" w:hAnsi="Times New Roman"/>
          <w:b/>
          <w:i w:val="0"/>
          <w:sz w:val="36"/>
          <w:vertAlign w:val="subscript"/>
        </w:rPr>
        <w:t>3</w:t>
      </w:r>
      <w:r>
        <w:rPr>
          <w:rFonts w:ascii="Times New Roman" w:hAnsi="Times New Roman"/>
          <w:b/>
          <w:i w:val="0"/>
          <w:sz w:val="36"/>
        </w:rPr>
        <w:t xml:space="preserve"> Absorber Based Perovskite Solar Cell using SCAPS-1D Simulation</w:t>
      </w:r>
    </w:p>
    <w:p>
      <w:pPr>
        <w:spacing w:line="360" w:lineRule="auto" w:before="0" w:after="480"/>
        <w:jc w:val="center"/>
      </w:pPr>
      <w:r>
        <w:rPr>
          <w:rFonts w:ascii="Times New Roman" w:hAnsi="Times New Roman" w:cs="Times New Roman"/>
          <w:b w:val="0"/>
          <w:i/>
          <w:color w:val="555555"/>
          <w:sz w:val="24"/>
        </w:rPr>
        <w:t>Numerical Optimization of a Lead-Free Planar Heterojunction Device</w:t>
      </w:r>
    </w:p>
    <w:p>
      <w:pPr>
        <w:spacing w:line="360" w:lineRule="auto" w:before="0" w:after="120"/>
        <w:jc w:val="center"/>
      </w:pPr>
      <w:r>
        <w:rPr>
          <w:rFonts w:ascii="Times New Roman" w:hAnsi="Times New Roman" w:cs="Times New Roman"/>
          <w:b w:val="0"/>
          <w:i/>
          <w:color w:val="555555"/>
          <w:sz w:val="20"/>
        </w:rPr>
        <w:t>¹ Department of Electrical and Electronic Engineering, Leading University, Sylhet, Bangladesh</w:t>
      </w:r>
    </w:p>
    <w:p>
      <w:pPr>
        <w:spacing w:line="360" w:lineRule="auto" w:before="0" w:after="120"/>
        <w:jc w:val="center"/>
      </w:pPr>
      <w:r>
        <w:rPr>
          <w:rFonts w:ascii="Times New Roman" w:hAnsi="Times New Roman" w:cs="Times New Roman"/>
          <w:b w:val="0"/>
          <w:i w:val="0"/>
          <w:color w:val="555555"/>
          <w:sz w:val="20"/>
        </w:rPr>
        <w:t>* Corresponding author. Electronic mail: fahim.eee@lus.ac.bd</w:t>
      </w:r>
    </w:p>
    <w:p>
      <w:pPr>
        <w:spacing w:line="360" w:lineRule="auto" w:before="240" w:after="160"/>
        <w:jc w:val="center"/>
      </w:pPr>
      <w:r>
        <w:rPr>
          <w:rFonts w:ascii="Times New Roman" w:hAnsi="Times New Roman" w:cs="Times New Roman"/>
          <w:b/>
          <w:i w:val="0"/>
          <w:sz w:val="26"/>
        </w:rPr>
        <w:t>Abstract</w:t>
      </w:r>
    </w:p>
    <w:p>
      <w:pPr>
        <w:spacing w:line="360" w:lineRule="auto" w:before="0" w:after="240"/>
        <w:jc w:val="both"/>
      </w:pPr>
      <w:r>
        <w:rPr>
          <w:rFonts w:ascii="Times New Roman" w:hAnsi="Times New Roman"/>
          <w:b w:val="0"/>
          <w:i w:val="0"/>
          <w:sz w:val="22"/>
        </w:rPr>
        <w:t xml:space="preserve">The rapid rise of lead-halide perovskite solar cells has been tempered by the toxicity and environmental persistence of lead, motivating a sustained search for lead-free absorbers that retain favorable optoelectronic properties. Rubidium germanium iodide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has a direct, tunable bandgap, strong optical absorption, and improved environmental compatibility. In this work, we report a numerical optimization of an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-based perovskite solar cell using the one-dimensional Solar Cell Capacitance Simulator (SCAPS-1D, version 3.3.10). Eight planar heterojunction configurations were first screened by combining two electron transport layers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and PCBM) with four hole transport layers (NiO, CuI, CBTS, and Spiro-OMeTAD), all sharing the same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absorber. The FTO/</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/CuI/Au architecture was selected for further optimization on the grounds of long-term stability and cost. Eleven device parameters (absorber thickness, absorber defect density, dielectric constant, electron affinity, bandgap, conduction- and valence-band effective density of states, ETL and HTL thicknesses, and the interfacial defect densities at both heterojunctions) were varied sequentially under AM 1.5G illumination at 300 K. The optimized device reaches a power conversion efficiency (PCE) of 26.80%, with an open-circuit voltage (Voc) of 1.12 V, a short-circuit current density (Jsc) of 30.32 mA/cm², and a fill factor (FF) of 78.92%. The optimized parameter set comprises a 700 nm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absorber (Eg = 1.4 eV, χ = 3.9 eV, εr = 15, NC = NV = 1×10¹⁷ cm⁻³), a 10 nm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ETL, a 100 nm CuI HTL, and interfacial defect densities of 1×10¹⁴ cm⁻² at both heterojunctions. The equilibrium energy band diagram confirms favorable band alignment at both heterojunctions, with a 1.8 eV conduction-band offset at CuI/</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that blocks electron back-transfer and a 0.10 eV conduction-band step at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that supports efficient electron extraction. The results identify the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/CuI transport-layer pair as an efficient combination for environmentally benign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photovoltaics and provide quantitative design guidelines for future experimental realization.</w:t>
      </w:r>
    </w:p>
    <w:p>
      <w:pPr>
        <w:spacing w:line="360" w:lineRule="auto" w:before="0" w:after="240"/>
        <w:jc w:val="both"/>
      </w:pPr>
      <w:r>
        <w:rPr>
          <w:rFonts w:ascii="Times New Roman" w:hAnsi="Times New Roman"/>
          <w:b w:val="0"/>
          <w:i/>
          <w:sz w:val="22"/>
        </w:rPr>
        <w:t>Keywords: lead-free perovskite; RbGeI</w:t>
      </w:r>
      <w:r>
        <w:rPr>
          <w:rFonts w:ascii="Times New Roman" w:hAnsi="Times New Roman"/>
          <w:b w:val="0"/>
          <w:i/>
          <w:sz w:val="22"/>
          <w:vertAlign w:val="subscript"/>
        </w:rPr>
        <w:t>3</w:t>
      </w:r>
      <w:r>
        <w:rPr>
          <w:rFonts w:ascii="Times New Roman" w:hAnsi="Times New Roman"/>
          <w:b w:val="0"/>
          <w:i/>
          <w:sz w:val="22"/>
        </w:rPr>
        <w:t>; SCAPS-1D; numerical simulation; CuI hole transport layer; TiO</w:t>
      </w:r>
      <w:r>
        <w:rPr>
          <w:rFonts w:ascii="Times New Roman" w:hAnsi="Times New Roman"/>
          <w:b w:val="0"/>
          <w:i/>
          <w:sz w:val="22"/>
          <w:vertAlign w:val="subscript"/>
        </w:rPr>
        <w:t>2</w:t>
      </w:r>
      <w:r>
        <w:rPr>
          <w:rFonts w:ascii="Times New Roman" w:hAnsi="Times New Roman"/>
          <w:b w:val="0"/>
          <w:i/>
          <w:sz w:val="22"/>
        </w:rPr>
        <w:t xml:space="preserve"> electron transport layer; defect density; interface engineering; solar cell optimization.</w:t>
      </w:r>
    </w:p>
    <w:p>
      <w:r>
        <w:br w:type="page"/>
      </w:r>
    </w:p>
    <w:p>
      <w:pPr>
        <w:pStyle w:val="Heading1"/>
        <w:keepNext/>
        <w:spacing w:before="320" w:after="120" w:line="360" w:lineRule="auto"/>
      </w:pPr>
      <w:r>
        <w:rPr>
          <w:rFonts w:ascii="Times New Roman" w:hAnsi="Times New Roman" w:cs="Times New Roman"/>
          <w:b/>
          <w:i w:val="0"/>
          <w:sz w:val="28"/>
        </w:rPr>
        <w:t>I. Introduction</w:t>
      </w:r>
    </w:p>
    <w:p>
      <w:pPr>
        <w:pStyle w:val="Heading2"/>
        <w:keepNext/>
        <w:spacing w:before="120" w:after="40" w:line="360" w:lineRule="auto"/>
      </w:pPr>
      <w:r>
        <w:rPr>
          <w:rFonts w:ascii="Times New Roman" w:hAnsi="Times New Roman" w:cs="Times New Roman"/>
          <w:b/>
          <w:i/>
          <w:sz w:val="24"/>
        </w:rPr>
        <w:t>A. Background and motivation</w:t>
      </w:r>
    </w:p>
    <w:p>
      <w:pPr>
        <w:spacing w:line="360" w:lineRule="auto" w:before="120" w:after="120"/>
        <w:ind w:firstLine="283"/>
        <w:jc w:val="both"/>
      </w:pPr>
      <w:r>
        <w:rPr>
          <w:rFonts w:ascii="Times New Roman" w:hAnsi="Times New Roman" w:cs="Times New Roman"/>
          <w:b w:val="0"/>
          <w:i w:val="0"/>
          <w:sz w:val="24"/>
        </w:rPr>
        <w:t>Global electricity demand continues to climb as populations grow, economies industrialize, and urbanization accelerates. Fossil fuels still supply the bulk of this demand [1,2], but their depletion and the environmental cost of carbon emissions have made renewable energy a strategic priority rather than an alternative. Among renewable sources, solar energy stands out for its abundance and for the steady decline in the levelized cost of photovoltaic (PV) electricity, which has made solar the fastest-expanding renewable technology worldwide [3]. The global installed PV capacity surpassed 2.2 TW in 2024, and continued growth relies on identifying photovoltaic materials that combine high efficiency with low environmental impact and low fabrication cost. Continued progress in PV technology therefore matters for meeting climate-mitigation targets and for expanding energy access in regions without reliable grid infrastructure [4]. Photovoltaic devices are commonly classified into three generations based on the absorber material and fabrication technology. First-generation crystalline silicon (c-Si) cells dominate the commercial market thanks to their high efficiency and long operational lifetime, but they require energy-intensive processing and rigid substrates. Second-generation thin-film technologies (including CdTe, CIGS, and amorphous silicon) reduce material consumption and offer flexible substrates, but their efficiencies are modest and some rely on scarce or toxic elements. The third generation, which includes dye-sensitized solar cells, organic photovoltaics, quantum-dot cells, and perovskite solar cells (PSCs) [5,6], promises high efficiency at low processing cost and is therefore intensely studied.</w:t>
      </w:r>
    </w:p>
    <w:p>
      <w:pPr>
        <w:pStyle w:val="Heading2"/>
        <w:keepNext/>
        <w:spacing w:before="120" w:after="40" w:line="360" w:lineRule="auto"/>
      </w:pPr>
      <w:r>
        <w:rPr>
          <w:rFonts w:ascii="Times New Roman" w:hAnsi="Times New Roman" w:cs="Times New Roman"/>
          <w:b/>
          <w:i/>
          <w:sz w:val="24"/>
        </w:rPr>
        <w:t>B. Perovskite solar cells and the lead problem</w:t>
      </w:r>
    </w:p>
    <w:p>
      <w:pPr>
        <w:spacing w:line="360" w:lineRule="auto" w:before="120" w:after="120"/>
        <w:ind w:firstLine="283"/>
        <w:jc w:val="both"/>
      </w:pPr>
      <w:r>
        <w:rPr>
          <w:rFonts w:ascii="Times New Roman" w:hAnsi="Times New Roman"/>
          <w:b w:val="0"/>
          <w:i w:val="0"/>
          <w:sz w:val="24"/>
        </w:rPr>
        <w:t>Halide perovskites adopt an ABX</w:t>
      </w:r>
      <w:r>
        <w:rPr>
          <w:rFonts w:ascii="Times New Roman" w:hAnsi="Times New Roman"/>
          <w:b w:val="0"/>
          <w:i w:val="0"/>
          <w:sz w:val="24"/>
          <w:vertAlign w:val="subscript"/>
        </w:rPr>
        <w:t>3</w:t>
      </w:r>
      <w:r>
        <w:rPr>
          <w:rFonts w:ascii="Times New Roman" w:hAnsi="Times New Roman"/>
          <w:b w:val="0"/>
          <w:i w:val="0"/>
          <w:sz w:val="24"/>
        </w:rPr>
        <w:t xml:space="preserve"> crystal structure in which the A-site hosts a monovalent cation, the B-site a divalent metal, and the X-site a halogen. Their attractiveness for photovoltaics stems from strong light absorption, continuously tunable bandgaps, ambipolar carrier transport with long diffusion lengths, and weak exciton binding [7,8]. Certified power conversion efficiencies (PCEs) for single-junction lead-based devices now exceed 26% [3], and perovskite-on-silicon tandems have crossed 33% [3]. The best absorbers, however, are methylammonium lead iodide (MAPbI</w:t>
      </w:r>
      <w:r>
        <w:rPr>
          <w:rFonts w:ascii="Times New Roman" w:hAnsi="Times New Roman"/>
          <w:b w:val="0"/>
          <w:i w:val="0"/>
          <w:sz w:val="24"/>
          <w:vertAlign w:val="subscript"/>
        </w:rPr>
        <w:t>3</w:t>
      </w:r>
      <w:r>
        <w:rPr>
          <w:rFonts w:ascii="Times New Roman" w:hAnsi="Times New Roman"/>
          <w:b w:val="0"/>
          <w:i w:val="0"/>
          <w:sz w:val="24"/>
        </w:rPr>
        <w:t>) and formamidinium lead iodide (FAPbI</w:t>
      </w:r>
      <w:r>
        <w:rPr>
          <w:rFonts w:ascii="Times New Roman" w:hAnsi="Times New Roman"/>
          <w:b w:val="0"/>
          <w:i w:val="0"/>
          <w:sz w:val="24"/>
          <w:vertAlign w:val="subscript"/>
        </w:rPr>
        <w:t>3</w:t>
      </w:r>
      <w:r>
        <w:rPr>
          <w:rFonts w:ascii="Times New Roman" w:hAnsi="Times New Roman"/>
          <w:b w:val="0"/>
          <w:i w:val="0"/>
          <w:sz w:val="24"/>
        </w:rPr>
        <w:t>), both of which contain lead. Lead raises contamination concerns at every stage of the device life cycle, from fabrication through operation to disposal [9,10], and the search for benign substitutes based on tin (Sn), germanium (Ge), bismuth (Bi), and antimony (Sb) is now a central research direction [11,12].</w:t>
      </w:r>
    </w:p>
    <w:p>
      <w:pPr>
        <w:spacing w:line="360" w:lineRule="auto" w:before="120" w:after="120"/>
        <w:ind w:firstLine="283"/>
        <w:jc w:val="both"/>
      </w:pPr>
      <w:r>
        <w:rPr>
          <w:rFonts w:ascii="Times New Roman" w:hAnsi="Times New Roman"/>
          <w:b w:val="0"/>
          <w:i w:val="0"/>
          <w:sz w:val="24"/>
        </w:rPr>
        <w:t xml:space="preserve">Tin-based perovskites initially attracted the most attention as lead substitutes, because Sn²⁺ has a similar lone-pair electronic configuration to Pb²⁺ [11]. Unfortunately, Sn²⁺ readily oxidizes to Sn⁴⁺ in air, generating high densities of deep defects and accelerating device degradation [11,12]. Germanium-based perovskites have emerged as a complementary alternative: germanium offers the same lone-pair electronic structure as lead, supports a direct and tunable bandgap, and is less toxic [13]. Among Ge-based absorbers, rubidium germanium iodide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stands out for its suitable bandgap (≈1.3–1.4 eV depending on the structural phase and computational method), strong optical absorption coefficient, and good thermal stability [14,15,16]. Recent density-functional-theory (DFT) calculations confirm a direct bandgap and a high optical absorption coefficient comparable to that of </w:t>
      </w:r>
      <w:r>
        <w:rPr>
          <w:rFonts w:ascii="Times New Roman" w:hAnsi="Times New Roman"/>
          <w:b w:val="0"/>
          <w:i w:val="0"/>
          <w:sz w:val="24"/>
        </w:rPr>
        <w:t xml:space="preserve">MAPbI</w:t>
      </w:r>
      <w:r>
        <w:rPr>
          <w:rFonts w:ascii="Times New Roman" w:hAnsi="Times New Roman"/>
          <w:b w:val="0"/>
          <w:i w:val="0"/>
          <w:sz w:val="24"/>
          <w:vertAlign w:val="subscript"/>
        </w:rPr>
        <w:t xml:space="preserve">3</w:t>
      </w:r>
      <w:r>
        <w:rPr>
          <w:rFonts w:ascii="Times New Roman" w:hAnsi="Times New Roman"/>
          <w:b w:val="0"/>
          <w:i w:val="0"/>
          <w:sz w:val="24"/>
        </w:rPr>
        <w:t xml:space="preserve"> [13,17,18]. The material is well suited to single-junction photovoltaics.</w:t>
      </w:r>
    </w:p>
    <w:p>
      <w:pPr>
        <w:pStyle w:val="Heading2"/>
        <w:keepNext/>
        <w:spacing w:before="120" w:after="40" w:line="360" w:lineRule="auto"/>
      </w:pPr>
      <w:r>
        <w:rPr>
          <w:rFonts w:ascii="Times New Roman" w:hAnsi="Times New Roman" w:cs="Times New Roman"/>
          <w:b/>
          <w:i/>
          <w:sz w:val="24"/>
        </w:rPr>
        <w:t>C. Role of numerical simulation and research gap</w:t>
      </w:r>
    </w:p>
    <w:p>
      <w:pPr>
        <w:spacing w:line="360" w:lineRule="auto" w:before="120" w:after="120"/>
        <w:ind w:firstLine="283"/>
        <w:jc w:val="both"/>
      </w:pPr>
      <w:r>
        <w:rPr>
          <w:rFonts w:ascii="Times New Roman" w:hAnsi="Times New Roman" w:cs="Times New Roman"/>
          <w:b w:val="0"/>
          <w:i w:val="0"/>
          <w:sz w:val="24"/>
        </w:rPr>
        <w:t>Because experimental optimization of a multilayer photovoltaic device is both time-consuming and expensive, numerical simulation has become the standard tool for screening materials and parameters before fabrication. The Solar Cell Capacitance Simulator in one dimension (SCAPS-1D), developed at the Department of Electronics and Information Systems (ELIS) of Ghent University, Belgium, has been widely adopted for this purpose [19,20,21]. SCAPS-1D solves the Poisson equation together with the electron and hole continuity equations self-consistently across the device stack [19], capturing carrier generation, transport, and recombination under either dark or illuminated conditions. The software allows the user to vary material and interface parameters independently, which makes it possible to disentangle their individual contributions to device performance. Figure 1 shows the graphical user interface of SCAPS-1D version 3.3.10 used in this study.</w:t>
      </w:r>
    </w:p>
    <w:p>
      <w:pPr>
        <w:keepNext/>
        <w:keepLines/>
        <w:spacing w:before="120" w:after="40"/>
        <w:jc w:val="center"/>
      </w:pPr>
      <w:r>
        <w:drawing>
          <wp:inline xmlns:a="http://schemas.openxmlformats.org/drawingml/2006/main" xmlns:pic="http://schemas.openxmlformats.org/drawingml/2006/picture">
            <wp:extent cx="5040000" cy="2255775"/>
            <wp:docPr id="1" name="Picture 1"/>
            <wp:cNvGraphicFramePr>
              <a:graphicFrameLocks noChangeAspect="1"/>
            </wp:cNvGraphicFramePr>
            <a:graphic>
              <a:graphicData uri="http://schemas.openxmlformats.org/drawingml/2006/picture">
                <pic:pic>
                  <pic:nvPicPr>
                    <pic:cNvPr id="0" name="fig1_scaps_gui.png"/>
                    <pic:cNvPicPr/>
                  </pic:nvPicPr>
                  <pic:blipFill>
                    <a:blip r:embed="rId11"/>
                    <a:stretch>
                      <a:fillRect/>
                    </a:stretch>
                  </pic:blipFill>
                  <pic:spPr>
                    <a:xfrm>
                      <a:off x="0" y="0"/>
                      <a:ext cx="5040000" cy="2663286"/>
                    </a:xfrm>
                    <a:prstGeom prst="rect"/>
                  </pic:spPr>
                </pic:pic>
              </a:graphicData>
            </a:graphic>
          </wp:inline>
        </w:drawing>
      </w:r>
    </w:p>
    <w:p>
      <w:pPr>
        <w:spacing w:before="80" w:after="240"/>
        <w:jc w:val="center"/>
      </w:pPr>
      <w:r>
        <w:rPr>
          <w:rFonts w:ascii="Times New Roman" w:hAnsi="Times New Roman" w:cs="Times New Roman"/>
          <w:b w:val="0"/>
          <w:i/>
          <w:sz w:val="20"/>
        </w:rPr>
        <w:t>Fig. 1. Graphical user interface of SCAPS-1D (version 3.3.10) used for device simulation in this study.</w:t>
      </w:r>
    </w:p>
    <w:p>
      <w:pPr>
        <w:spacing w:line="360" w:lineRule="auto" w:before="120" w:after="120"/>
        <w:ind w:firstLine="283"/>
        <w:jc w:val="both"/>
      </w:pPr>
      <w:r>
        <w:rPr>
          <w:rFonts w:ascii="Times New Roman" w:hAnsi="Times New Roman"/>
          <w:b w:val="0"/>
          <w:i w:val="0"/>
          <w:sz w:val="24"/>
        </w:rPr>
        <w:t xml:space="preserve">Although several SCAPS-1D studies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have been reported, most have optimized only a limited subset of device parameters or investigated a single device configuration. The simulation baseline for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is still low: Pindolia et al. reported a PCE of 9.77% for the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/NiO/Ag architecture using SCAPS-1D simulation [14]. The Pindolia study is broader than its shorthand citation in the secondary literature suggests. The paper systematically studied the effect of various HTL and ETL materials, layer thicknesses, doping concentrations, defect densities, back-contact work functions, and operating temperature in a broad multi-parameter sweep [14]. Simulation-based studies have since raised the predicted PCE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to 27.21% (2024 [22]) and 26.47% (2026 [23]), although each of these works optimized only a limited subset of device parameters. The ETL–HTL combinations explored for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have also been narrow: most studies used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as the ETL and either Spiro-OMeTAD, NiO, or CBTS as the HTL, while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/CuI combination adopted in this work has received comparatively little attention despite the well-documented advantages of CuI as an HTL.</w:t>
      </w:r>
    </w:p>
    <w:p>
      <w:pPr>
        <w:pStyle w:val="Heading2"/>
        <w:keepNext/>
        <w:spacing w:before="120" w:after="40" w:line="360" w:lineRule="auto"/>
      </w:pPr>
      <w:r>
        <w:rPr>
          <w:rFonts w:ascii="Times New Roman" w:hAnsi="Times New Roman" w:cs="Times New Roman"/>
          <w:b/>
          <w:i/>
          <w:sz w:val="24"/>
        </w:rPr>
        <w:t>D. Contributions and paper organization</w:t>
      </w:r>
    </w:p>
    <w:p>
      <w:pPr>
        <w:spacing w:line="360" w:lineRule="auto" w:before="120" w:after="120"/>
        <w:ind w:firstLine="283"/>
        <w:jc w:val="both"/>
      </w:pPr>
      <w:r>
        <w:rPr>
          <w:rFonts w:ascii="Times New Roman" w:hAnsi="Times New Roman"/>
          <w:b w:val="0"/>
          <w:i w:val="0"/>
          <w:sz w:val="24"/>
        </w:rPr>
        <w:t>The present work addresses this gap by performing a SCAPS-1D optimization of an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perovskite solar cell. We first screen eight ETL–HTL combinations to identify the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architecture as a promising candidate for inorganic-HTL optimization, and then run an eleven-step sequential optimization covering absorber thickness, absorber defect density, dielectric constant, electron affinity, bandgap, conduction- and valence-band effective density of states, ETL and HTL thicknesses, and the two interfacial defect densities. We also analyze the quantum-efficiency spectrum and the equilibrium energy-band diagram of the optimized device, and we benchmark it against recently reported RbGeI</w:t>
      </w:r>
      <w:r>
        <w:rPr>
          <w:rFonts w:ascii="Times New Roman" w:hAnsi="Times New Roman"/>
          <w:b w:val="0"/>
          <w:i w:val="0"/>
          <w:sz w:val="24"/>
          <w:vertAlign w:val="subscript"/>
        </w:rPr>
        <w:t>3</w:t>
      </w:r>
      <w:r>
        <w:rPr>
          <w:rFonts w:ascii="Times New Roman" w:hAnsi="Times New Roman"/>
          <w:b w:val="0"/>
          <w:i w:val="0"/>
          <w:sz w:val="24"/>
        </w:rPr>
        <w:t>-based and related lead-free Ge/Sn-based perovskite solar cells, using primary-source-verified comparator values.</w:t>
      </w:r>
    </w:p>
    <w:p>
      <w:pPr>
        <w:spacing w:line="360" w:lineRule="auto" w:before="120" w:after="120"/>
        <w:ind w:firstLine="283"/>
        <w:jc w:val="both"/>
      </w:pPr>
      <w:r>
        <w:rPr>
          <w:rFonts w:ascii="Times New Roman" w:hAnsi="Times New Roman" w:cs="Times New Roman"/>
          <w:b w:val="0"/>
          <w:i w:val="0"/>
          <w:sz w:val="24"/>
        </w:rPr>
        <w:t>Section II surveys recent literature. Section III describes the device structure and material selection. Section IV presents the methodology and optimization procedure. Section V reports and discusses the results, Section VI compares with prior literature, and Sections VII and VIII cover limitations and conclusions.</w:t>
      </w:r>
    </w:p>
    <w:p>
      <w:pPr>
        <w:pStyle w:val="Heading1"/>
        <w:keepNext/>
        <w:spacing w:before="320" w:after="120" w:line="360" w:lineRule="auto"/>
      </w:pPr>
      <w:r>
        <w:rPr>
          <w:rFonts w:ascii="Times New Roman" w:hAnsi="Times New Roman" w:cs="Times New Roman"/>
          <w:b/>
          <w:i w:val="0"/>
          <w:sz w:val="28"/>
        </w:rPr>
        <w:t>II. Literature Review and Research Gap</w:t>
      </w:r>
    </w:p>
    <w:p>
      <w:pPr>
        <w:spacing w:line="360" w:lineRule="auto" w:before="120" w:after="120"/>
        <w:ind w:firstLine="283"/>
        <w:jc w:val="both"/>
      </w:pPr>
      <w:r>
        <w:rPr>
          <w:rFonts w:ascii="Times New Roman" w:hAnsi="Times New Roman" w:cs="Times New Roman"/>
          <w:b w:val="0"/>
          <w:i w:val="0"/>
          <w:sz w:val="24"/>
        </w:rPr>
        <w:t>Over the past five years, SCAPS-1D, often combined with first-principles DFT calculations, has become the workhorse numerical tool for designing and optimizing lead-free perovskite solar cells before experimental fabrication. This section surveys the most relevant recent SCAPS-1D studies on Ge-based and Sn-based absorbers, highlighting the device structure, the photovoltaic performance, and the principal limitation of each work. Table I summarizes these studies. All numerical values listed in Table I have been cross-checked against the primary source literature; where a reported efficiency was inconsistent with the device’s published J–V metrics, the value implied by those metrics was adopted. In particular, the entries for Pindolia et al. (2022), Loumachi et al. (2024), and Pathak et al. (2026) are quoted verbatim from the corresponding primary sources.</w:t>
      </w:r>
    </w:p>
    <w:p>
      <w:pPr>
        <w:keepNext/>
        <w:spacing w:before="120" w:after="40"/>
        <w:jc w:val="center"/>
      </w:pPr>
      <w:r>
        <w:rPr>
          <w:rFonts w:ascii="Times New Roman" w:hAnsi="Times New Roman" w:cs="Times New Roman"/>
          <w:b/>
          <w:i w:val="0"/>
          <w:sz w:val="20"/>
        </w:rPr>
        <w:t>Table I. Summary of recent SCAPS-1D studies on lead-free Ge-based and Sn-based perovskite solar cells.</w:t>
      </w:r>
    </w:p>
    <w:tbl>
      <w:tblPr>
        <w:tblStyle w:val="LightGrid-Accent1"/>
        <w:tblLook w:firstColumn="1" w:firstRow="1" w:lastColumn="0" w:lastRow="0" w:noHBand="0" w:noVBand="1" w:val="04A0"/>
        <w:tblW w:type="pct" w:w="5000"/>
        <w:tblLayout w:type="autofit"/>
      </w:tblPr>
      <w:tblGrid>
        <w:gridCol w:w="2340"/>
        <w:gridCol w:w="2340"/>
        <w:gridCol w:w="2340"/>
        <w:gridCol w:w="2340"/>
      </w:tblGrid>
      <w:tr>
        <w:trPr>
          <w:tblHeader w:val="true"/>
          <w:cantSplit w:val="true"/>
        </w:trPr>
        <w:tc>
          <w:tcPr>
            <w:tcW w:type="dxa" w:w="2041"/>
          </w:tcPr>
          <w:p>
            <w:pPr>
              <w:jc w:val="center"/>
            </w:pPr>
            <w:r>
              <w:rPr>
                <w:rFonts w:ascii="Times New Roman" w:hAnsi="Times New Roman" w:cs="Times New Roman"/>
                <w:b w:val="0"/>
                <w:i w:val="0"/>
                <w:sz w:val="18"/>
              </w:rPr>
            </w:r>
            <w:r>
              <w:rPr>
                <w:rFonts w:ascii="Times New Roman" w:hAnsi="Times New Roman" w:cs="Times New Roman"/>
                <w:b/>
                <w:i w:val="0"/>
                <w:sz w:val="18"/>
              </w:rPr>
              <w:t>Study (Year) [Ref.]</w:t>
            </w:r>
          </w:p>
        </w:tc>
        <w:tc>
          <w:tcPr>
            <w:tcW w:type="dxa" w:w="2494"/>
          </w:tcPr>
          <w:p>
            <w:pPr>
              <w:jc w:val="center"/>
            </w:pPr>
            <w:r>
              <w:rPr>
                <w:rFonts w:ascii="Times New Roman" w:hAnsi="Times New Roman" w:cs="Times New Roman"/>
                <w:b w:val="0"/>
                <w:i w:val="0"/>
                <w:sz w:val="18"/>
              </w:rPr>
            </w:r>
            <w:r>
              <w:rPr>
                <w:rFonts w:ascii="Times New Roman" w:hAnsi="Times New Roman" w:cs="Times New Roman"/>
                <w:b/>
                <w:i w:val="0"/>
                <w:sz w:val="18"/>
              </w:rPr>
              <w:t>Device Structure</w:t>
            </w:r>
          </w:p>
        </w:tc>
        <w:tc>
          <w:tcPr>
            <w:tcW w:type="dxa" w:w="850"/>
          </w:tcPr>
          <w:p>
            <w:pPr>
              <w:jc w:val="center"/>
            </w:pPr>
            <w:r>
              <w:rPr>
                <w:rFonts w:ascii="Times New Roman" w:hAnsi="Times New Roman" w:cs="Times New Roman"/>
                <w:b w:val="0"/>
                <w:i w:val="0"/>
                <w:sz w:val="18"/>
              </w:rPr>
            </w:r>
            <w:r>
              <w:rPr>
                <w:rFonts w:ascii="Times New Roman" w:hAnsi="Times New Roman" w:cs="Times New Roman"/>
                <w:b/>
                <w:i w:val="0"/>
                <w:sz w:val="18"/>
              </w:rPr>
              <w:t>PCE (%)</w:t>
            </w:r>
          </w:p>
        </w:tc>
        <w:tc>
          <w:tcPr>
            <w:tcW w:type="dxa" w:w="3969"/>
          </w:tcPr>
          <w:p>
            <w:pPr>
              <w:jc w:val="center"/>
            </w:pPr>
            <w:r>
              <w:rPr>
                <w:rFonts w:ascii="Times New Roman" w:hAnsi="Times New Roman" w:cs="Times New Roman"/>
                <w:b w:val="0"/>
                <w:i w:val="0"/>
                <w:sz w:val="18"/>
              </w:rPr>
            </w:r>
            <w:r>
              <w:rPr>
                <w:rFonts w:ascii="Times New Roman" w:hAnsi="Times New Roman" w:cs="Times New Roman"/>
                <w:b/>
                <w:i w:val="0"/>
                <w:sz w:val="18"/>
              </w:rPr>
              <w:t>Key Limitation</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Pindolia et al. (2022) [14]</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/NiO/Ag</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9.77</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Broad multi-parameter sweep (HTL, ETL, thickness, doping, defects, back contact, temperature); baseline efficiency remains modest and Ge²⁺ oxidation not addressed.</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Saikia et al. (2022) [24]</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10.80</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No multi-HTL comparative analysis.</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Bouazizi et al. (2022) [15]</w:t>
            </w:r>
          </w:p>
        </w:tc>
        <w:tc>
          <w:tcPr>
            <w:tcW w:type="dxa" w:w="2494"/>
          </w:tcPr>
          <w:p>
            <w:pPr>
              <w:jc w:val="center"/>
            </w:pPr>
            <w:r>
              <w:rPr>
                <w:rFonts w:ascii="Times New Roman" w:hAnsi="Times New Roman" w:cs="Times New Roman"/>
                <w:sz w:val="18"/>
                <w:b w:val="0"/>
                <w:i w:val="0"/>
              </w:rPr>
              <w:t>FTO/PCBM/CsSn</w:t>
            </w:r>
            <w:r>
              <w:rPr>
                <w:rFonts w:ascii="Times New Roman" w:hAnsi="Times New Roman" w:cs="Times New Roman"/>
                <w:vertAlign w:val="subscript"/>
                <w:sz w:val="18"/>
                <w:b w:val="0"/>
                <w:i w:val="0"/>
              </w:rPr>
              <w:t>0</w:t>
            </w:r>
            <w:r>
              <w:rPr>
                <w:rFonts w:ascii="Times New Roman" w:hAnsi="Times New Roman" w:cs="Times New Roman"/>
                <w:sz w:val="18"/>
                <w:b w:val="0"/>
                <w:i w:val="0"/>
              </w:rPr>
              <w:t>.</w:t>
            </w:r>
            <w:r>
              <w:rPr>
                <w:rFonts w:ascii="Times New Roman" w:hAnsi="Times New Roman" w:cs="Times New Roman"/>
                <w:vertAlign w:val="subscript"/>
                <w:sz w:val="18"/>
                <w:b w:val="0"/>
                <w:i w:val="0"/>
              </w:rPr>
              <w:t>5</w:t>
            </w:r>
            <w:r>
              <w:rPr>
                <w:rFonts w:ascii="Times New Roman" w:hAnsi="Times New Roman" w:cs="Times New Roman"/>
                <w:sz w:val="18"/>
                <w:b w:val="0"/>
                <w:i w:val="0"/>
              </w:rPr>
              <w:t>Ge</w:t>
            </w:r>
            <w:r>
              <w:rPr>
                <w:rFonts w:ascii="Times New Roman" w:hAnsi="Times New Roman" w:cs="Times New Roman"/>
                <w:vertAlign w:val="subscript"/>
                <w:sz w:val="18"/>
                <w:b w:val="0"/>
                <w:i w:val="0"/>
              </w:rPr>
              <w:t>0</w:t>
            </w:r>
            <w:r>
              <w:rPr>
                <w:rFonts w:ascii="Times New Roman" w:hAnsi="Times New Roman" w:cs="Times New Roman"/>
                <w:sz w:val="18"/>
                <w:b w:val="0"/>
                <w:i w:val="0"/>
              </w:rPr>
              <w:t>.</w:t>
            </w:r>
            <w:r>
              <w:rPr>
                <w:rFonts w:ascii="Times New Roman" w:hAnsi="Times New Roman" w:cs="Times New Roman"/>
                <w:vertAlign w:val="subscript"/>
                <w:sz w:val="18"/>
                <w:b w:val="0"/>
                <w:i w:val="0"/>
              </w:rPr>
              <w:t>5</w:t>
            </w:r>
            <w:r>
              <w:rPr>
                <w:rFonts w:ascii="Times New Roman" w:hAnsi="Times New Roman" w:cs="Times New Roman"/>
                <w:sz w:val="18"/>
                <w:b w:val="0"/>
                <w:i w:val="0"/>
              </w:rPr>
              <w:t>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18.13</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Mixed Ge/Sn absorber; thermal sensitivity.</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Loumachi et al. (2024) [22]</w:t>
            </w:r>
          </w:p>
        </w:tc>
        <w:tc>
          <w:tcPr>
            <w:tcW w:type="dxa" w:w="2494"/>
          </w:tcPr>
          <w:p>
            <w:pPr>
              <w:jc w:val="center"/>
            </w:pPr>
            <w:r>
              <w:rPr>
                <w:rFonts w:ascii="Times New Roman" w:hAnsi="Times New Roman" w:cs="Times New Roman"/>
                <w:sz w:val="18"/>
                <w:b w:val="0"/>
                <w:i w:val="0"/>
              </w:rPr>
              <w:t>ITO/C</w:t>
            </w:r>
            <w:r>
              <w:rPr>
                <w:rFonts w:ascii="Times New Roman" w:hAnsi="Times New Roman" w:cs="Times New Roman"/>
                <w:vertAlign w:val="subscript"/>
                <w:sz w:val="18"/>
                <w:b w:val="0"/>
                <w:i w:val="0"/>
              </w:rPr>
              <w:t>60</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/CBTS/Ag</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27.21</w:t>
            </w:r>
          </w:p>
        </w:tc>
        <w:tc>
          <w:tcPr>
            <w:tcW w:type="dxa" w:w="3969"/>
          </w:tcPr>
          <w:p>
            <w:pPr>
              <w:jc w:val="center"/>
            </w:pPr>
            <w:r>
              <w:rPr>
                <w:rFonts w:ascii="Times New Roman" w:hAnsi="Times New Roman" w:cs="Times New Roman"/>
                <w:sz w:val="18"/>
                <w:b w:val="0"/>
                <w:i w:val="0"/>
              </w:rPr>
              <w:t>Optimized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thickness and series/shunt resistance; interface defect optimization not addressed.</w:t>
            </w:r>
          </w:p>
        </w:tc>
      </w:tr>
      <w:tr>
        <w:trPr>
          <w:cantSplit w:val="true"/>
        </w:trPr>
        <w:tc>
          <w:tcPr>
            <w:tcW w:type="dxa" w:w="2041"/>
          </w:tcPr>
          <w:p>
            <w:pPr>
              <w:jc w:val="left"/>
            </w:pPr>
            <w:r>
              <w:rPr>
                <w:rFonts w:ascii="Times New Roman" w:hAnsi="Times New Roman" w:cs="Times New Roman"/>
                <w:b w:val="0"/>
                <w:i w:val="0"/>
                <w:sz w:val="18"/>
              </w:rPr>
              <w:t xml:space="preserve">Raj et al. (2025) [39]</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/PEDOT:PSS/Au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18.60</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Organic HTL limits long-term stability.</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Pathak et al. (2026) [23]</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/Spiro-OMeTAD/Au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26.47</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Ge²⁺ → Ge⁴⁺ oxidation not addressed; only single ETL/HTL combination studied.</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Dash et al. (2025) [17]</w:t>
            </w:r>
          </w:p>
        </w:tc>
        <w:tc>
          <w:tcPr>
            <w:tcW w:type="dxa" w:w="2494"/>
          </w:tcPr>
          <w:p>
            <w:pPr>
              <w:jc w:val="center"/>
            </w:pPr>
            <w:r>
              <w:rPr>
                <w:rFonts w:ascii="Times New Roman" w:hAnsi="Times New Roman" w:cs="Times New Roman"/>
                <w:sz w:val="18"/>
                <w:b w:val="0"/>
                <w:i w:val="0"/>
              </w:rPr>
              <w:t>DFT + SCAPS-1D of RbGeX</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(X=Cl, Br, I)</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25.76</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Primarily material-level comparison; limited device-architecture optimization.</w:t>
            </w:r>
          </w:p>
        </w:tc>
      </w:tr>
    </w:tbl>
    <w:p>
      <w:pPr>
        <w:spacing w:line="360" w:lineRule="auto" w:before="120" w:after="120"/>
        <w:ind w:firstLine="283"/>
        <w:jc w:val="both"/>
      </w:pPr>
      <w:r>
        <w:rPr>
          <w:rFonts w:ascii="Times New Roman" w:hAnsi="Times New Roman"/>
          <w:b w:val="0"/>
          <w:i w:val="0"/>
          <w:sz w:val="24"/>
        </w:rPr>
        <w:t xml:space="preserve">Copper(I) iodide is a wide-gap (Eg ≈ 3.1 eV), p-type transparent conductor whose valence-band maximum aligns closely with that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supporting efficient hole extraction [25,26]. Reported single-crystal hole mobilities of CuI exceed 100 cm² V⁻¹ s⁻¹, and the material is solution-processable at low temperatures, which suits large-area fabrication [27]. Despite these advantages, only a few SCAPS-1D studies have paired CuI with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none has run an eleven-parameter optimization on this combination. The present work instead varies all eleven device-level parameters on the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architecture and reports the resulting photovoltaic performance.</w:t>
      </w:r>
    </w:p>
    <w:p>
      <w:pPr>
        <w:spacing w:line="360" w:lineRule="auto" w:before="120" w:after="120"/>
        <w:ind w:firstLine="283"/>
        <w:jc w:val="both"/>
      </w:pPr>
      <w:r>
        <w:rPr>
          <w:rFonts w:ascii="Times New Roman" w:hAnsi="Times New Roman"/>
          <w:b w:val="0"/>
          <w:i w:val="0"/>
          <w:sz w:val="24"/>
        </w:rPr>
        <w:t xml:space="preserve">A further observation from Table I is that the comparator device structures span a range of ETL and HTL materials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PCBM, C60, NiO, CuI, CBTS, Spiro-OMeTAD, PEDOT:PSS) and back-contact metals (Ag, Au). Two structural details deserve explicit clarification to prevent citation-propagation errors. First, the ETL in the Loumachi et al. device [22] is C60 (buckminsterfullerene), frequently rendered “C60” in the literature, and the subscript matters because “C6” is a different species. Second, the back contact is silver (Ag), not gold (Au), as stated in the primary source [22].</w:t>
      </w:r>
    </w:p>
    <w:p>
      <w:pPr>
        <w:pStyle w:val="Heading1"/>
        <w:keepNext/>
        <w:spacing w:before="320" w:after="120" w:line="360" w:lineRule="auto"/>
      </w:pPr>
      <w:r>
        <w:rPr>
          <w:rFonts w:ascii="Times New Roman" w:hAnsi="Times New Roman" w:cs="Times New Roman"/>
          <w:b/>
          <w:i w:val="0"/>
          <w:sz w:val="28"/>
        </w:rPr>
        <w:t>III. Device Structure and Material Selection</w:t>
      </w:r>
    </w:p>
    <w:p>
      <w:pPr>
        <w:pStyle w:val="Heading2"/>
        <w:keepNext/>
        <w:spacing w:before="120" w:after="40" w:line="360" w:lineRule="auto"/>
      </w:pPr>
      <w:r>
        <w:rPr>
          <w:rFonts w:ascii="Times New Roman" w:hAnsi="Times New Roman" w:cs="Times New Roman"/>
          <w:b/>
          <w:i/>
          <w:sz w:val="24"/>
        </w:rPr>
        <w:t>A. Proposed device architecture</w:t>
      </w:r>
    </w:p>
    <w:p>
      <w:pPr>
        <w:spacing w:line="360" w:lineRule="auto" w:before="120" w:after="120"/>
        <w:ind w:firstLine="283"/>
        <w:jc w:val="both"/>
      </w:pPr>
      <w:r>
        <w:rPr>
          <w:rFonts w:ascii="Times New Roman" w:hAnsi="Times New Roman"/>
          <w:b w:val="0"/>
          <w:i w:val="0"/>
          <w:sz w:val="24"/>
        </w:rPr>
        <w:t>The proposed lead-free perovskite solar cell investigated in this work adopts a conventional n-i-p planar heterojunction architecture with the configuration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The device comprises five functional layers: a fluorine-doped tin oxide (FTO) transparent conducting oxide front electrode, a titanium dioxide (TiO</w:t>
      </w:r>
      <w:r>
        <w:rPr>
          <w:rFonts w:ascii="Times New Roman" w:hAnsi="Times New Roman"/>
          <w:b w:val="0"/>
          <w:i w:val="0"/>
          <w:sz w:val="24"/>
          <w:vertAlign w:val="subscript"/>
        </w:rPr>
        <w:t>2</w:t>
      </w:r>
      <w:r>
        <w:rPr>
          <w:rFonts w:ascii="Times New Roman" w:hAnsi="Times New Roman"/>
          <w:b w:val="0"/>
          <w:i w:val="0"/>
          <w:sz w:val="24"/>
        </w:rPr>
        <w:t>) electron transport layer (ETL), a rubidium germanium iodide (RbGeI</w:t>
      </w:r>
      <w:r>
        <w:rPr>
          <w:rFonts w:ascii="Times New Roman" w:hAnsi="Times New Roman"/>
          <w:b w:val="0"/>
          <w:i w:val="0"/>
          <w:sz w:val="24"/>
          <w:vertAlign w:val="subscript"/>
        </w:rPr>
        <w:t>3</w:t>
      </w:r>
      <w:r>
        <w:rPr>
          <w:rFonts w:ascii="Times New Roman" w:hAnsi="Times New Roman"/>
          <w:b w:val="0"/>
          <w:i w:val="0"/>
          <w:sz w:val="24"/>
        </w:rPr>
        <w:t>) absorber layer, a copper iodide (CuI) hole transport layer (HTL), and a gold (Au) back contact. This architecture was selected because it provides efficient charge separation, rapid carrier transport, and suitable energy-level alignment while eliminating the environmental and health concerns associated with lead-based perovskite absorbers. The schematic diagram of the proposed device structure is shown in Figure 2. The choice of constituent materials is justified in the remainder of this section, and the initial material parameters used in the SCAPS-1D simulation are summarized in Table II.</w:t>
      </w:r>
    </w:p>
    <w:p>
      <w:pPr>
        <w:keepNext/>
        <w:keepLines/>
        <w:spacing w:before="120" w:after="40"/>
        <w:jc w:val="center"/>
      </w:pPr>
      <w:r>
        <w:drawing>
          <wp:inline xmlns:a="http://schemas.openxmlformats.org/drawingml/2006/main" xmlns:pic="http://schemas.openxmlformats.org/drawingml/2006/picture">
            <wp:extent cx="5040000" cy="2847957"/>
            <wp:docPr id="2" name="Picture 2"/>
            <wp:cNvGraphicFramePr>
              <a:graphicFrameLocks noChangeAspect="1"/>
            </wp:cNvGraphicFramePr>
            <a:graphic>
              <a:graphicData uri="http://schemas.openxmlformats.org/drawingml/2006/picture">
                <pic:pic>
                  <pic:nvPicPr>
                    <pic:cNvPr id="0" name="fig2_device_structure.png"/>
                    <pic:cNvPicPr/>
                  </pic:nvPicPr>
                  <pic:blipFill>
                    <a:blip r:embed="rId12"/>
                    <a:stretch>
                      <a:fillRect/>
                    </a:stretch>
                  </pic:blipFill>
                  <pic:spPr>
                    <a:xfrm>
                      <a:off x="0" y="0"/>
                      <a:ext cx="5040000" cy="2811632"/>
                    </a:xfrm>
                    <a:prstGeom prst="rect"/>
                  </pic:spPr>
                </pic:pic>
              </a:graphicData>
            </a:graphic>
          </wp:inline>
        </w:drawing>
      </w:r>
    </w:p>
    <w:p>
      <w:pPr>
        <w:spacing w:before="80" w:after="240"/>
        <w:jc w:val="center"/>
      </w:pPr>
      <w:r>
        <w:rPr>
          <w:rFonts w:ascii="Times New Roman" w:hAnsi="Times New Roman"/>
          <w:b w:val="0"/>
          <w:i/>
          <w:sz w:val="20"/>
        </w:rPr>
        <w:t>Fig. 2. Schematic diagram of the proposed FTO/TiO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/CuI/Au perovskite solar cell structure, showing the five functional layers and the direction of photogenerated carrier transport under AM 1.5G illumination.</w:t>
      </w:r>
    </w:p>
    <w:p>
      <w:pPr>
        <w:pStyle w:val="Heading2"/>
        <w:keepNext/>
        <w:spacing w:before="120" w:after="40" w:line="360" w:lineRule="auto"/>
      </w:pPr>
      <w:r>
        <w:rPr>
          <w:rFonts w:ascii="Times New Roman" w:hAnsi="Times New Roman" w:cs="Times New Roman"/>
          <w:b/>
          <w:i/>
          <w:sz w:val="24"/>
        </w:rPr>
        <w:t>B. Material selection rationale</w:t>
      </w:r>
    </w:p>
    <w:p>
      <w:pPr>
        <w:spacing w:line="360" w:lineRule="auto" w:before="120" w:after="120"/>
        <w:ind w:firstLine="283"/>
        <w:jc w:val="both"/>
      </w:pPr>
      <w:r>
        <w:rPr>
          <w:rFonts w:ascii="Times New Roman" w:hAnsi="Times New Roman"/>
          <w:b w:val="0"/>
          <w:i w:val="0"/>
          <w:sz w:val="24"/>
        </w:rPr>
        <w:t xml:space="preserve">Fluorine-doped tin oxide (FTO) serves as the front transparent conducting electrode. It possesses high optical transparency in the visible spectrum together with excellent electrical conductivity, allowing incident sunlight to reach the absorber layer while simultaneously collecting the generated electrons with minimal resistive loss [28]. FTO was preferred over alternative transparent conducting oxides (such as indium tin oxide, ITO) for its superior thermal and chemical stability, its compatibility with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ETL deposition process, and its lower cost. The thickness of the FTO layer was fixed at 500 nm, consistent with values commonly reported for perovskite solar cells [29].</w:t>
      </w:r>
    </w:p>
    <w:p>
      <w:pPr>
        <w:spacing w:line="360" w:lineRule="auto" w:before="120" w:after="120"/>
        <w:ind w:firstLine="283"/>
        <w:jc w:val="both"/>
      </w:pPr>
      <w:r>
        <w:rPr>
          <w:rFonts w:ascii="Times New Roman" w:hAnsi="Times New Roman"/>
          <w:b w:val="0"/>
          <w:i w:val="0"/>
          <w:sz w:val="24"/>
        </w:rPr>
        <w:t xml:space="preserve">Titanium dioxide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was employed as the electron transport layer. The primary function of the ETL is to extract photogenerated electrons from the absorber layer and transport them toward the FTO electrode while effectively blocking holes.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is an n-type semiconductor with a wide bandgap of approximately 3.2 eV in its anatase phase, providing excellent transparency throughout the visible region of the solar spectrum. Its conduction-band minimum lies slightly below that of most iodide-based perovskites, providing an energetically downhill path for photogenerated electrons to transfer from the absorber into the ETL, while its deep valence band acts as an effective barrier against hole transport [30,31]. Although its intrinsic electron mobility is lower than that of ZnO and </w:t>
      </w:r>
      <w:r>
        <w:rPr>
          <w:rFonts w:ascii="Times New Roman" w:hAnsi="Times New Roman"/>
          <w:b w:val="0"/>
          <w:i w:val="0"/>
          <w:sz w:val="24"/>
        </w:rPr>
        <w:t xml:space="preserve">SnO</w:t>
      </w:r>
      <w:r>
        <w:rPr>
          <w:rFonts w:ascii="Times New Roman" w:hAnsi="Times New Roman"/>
          <w:b w:val="0"/>
          <w:i w:val="0"/>
          <w:sz w:val="24"/>
          <w:vertAlign w:val="subscript"/>
        </w:rPr>
        <w:t xml:space="preserve">2</w:t>
      </w:r>
      <w:r>
        <w:rPr>
          <w:rFonts w:ascii="Times New Roman" w:hAnsi="Times New Roman"/>
          <w:b w:val="0"/>
          <w:i w:val="0"/>
          <w:sz w:val="24"/>
        </w:rPr>
        <w:t xml:space="preserv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provides sufficiently fast electron transport when fabricated with appropriate morphology and crystallinity, and it forms chemically stable interfaces with perovskite materials [32].</w:t>
      </w:r>
    </w:p>
    <w:p>
      <w:pPr>
        <w:spacing w:line="360" w:lineRule="auto" w:before="120" w:after="120"/>
        <w:ind w:firstLine="283"/>
        <w:jc w:val="both"/>
      </w:pPr>
      <w:r>
        <w:rPr>
          <w:rFonts w:ascii="Times New Roman" w:hAnsi="Times New Roman"/>
          <w:b w:val="0"/>
          <w:i w:val="0"/>
          <w:sz w:val="24"/>
        </w:rPr>
        <w:t>Rubidium germanium iodide (RbGeI</w:t>
      </w:r>
      <w:r>
        <w:rPr>
          <w:rFonts w:ascii="Times New Roman" w:hAnsi="Times New Roman"/>
          <w:b w:val="0"/>
          <w:i w:val="0"/>
          <w:sz w:val="24"/>
          <w:vertAlign w:val="subscript"/>
        </w:rPr>
        <w:t>3</w:t>
      </w:r>
      <w:r>
        <w:rPr>
          <w:rFonts w:ascii="Times New Roman" w:hAnsi="Times New Roman"/>
          <w:b w:val="0"/>
          <w:i w:val="0"/>
          <w:sz w:val="24"/>
        </w:rPr>
        <w:t>) was selected as the photoactive absorber. Compared with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offers the important advantage of being environmentally friendly because germanium replaces toxic lead while maintaining desirable optoelectronic properties. RbGeI</w:t>
      </w:r>
      <w:r>
        <w:rPr>
          <w:rFonts w:ascii="Times New Roman" w:hAnsi="Times New Roman"/>
          <w:b w:val="0"/>
          <w:i w:val="0"/>
          <w:sz w:val="24"/>
          <w:vertAlign w:val="subscript"/>
        </w:rPr>
        <w:t>3</w:t>
      </w:r>
      <w:r>
        <w:rPr>
          <w:rFonts w:ascii="Times New Roman" w:hAnsi="Times New Roman"/>
          <w:b w:val="0"/>
          <w:i w:val="0"/>
          <w:sz w:val="24"/>
        </w:rPr>
        <w:t xml:space="preserve"> adopts the ABX</w:t>
      </w:r>
      <w:r>
        <w:rPr>
          <w:rFonts w:ascii="Times New Roman" w:hAnsi="Times New Roman"/>
          <w:b w:val="0"/>
          <w:i w:val="0"/>
          <w:sz w:val="24"/>
          <w:vertAlign w:val="subscript"/>
        </w:rPr>
        <w:t>3</w:t>
      </w:r>
      <w:r>
        <w:rPr>
          <w:rFonts w:ascii="Times New Roman" w:hAnsi="Times New Roman"/>
          <w:b w:val="0"/>
          <w:i w:val="0"/>
          <w:sz w:val="24"/>
        </w:rPr>
        <w:t xml:space="preserve"> perovskite structure with rubidium at the A-site, germanium at the B-site, and iodine at the X-site. Its direct bandgap in the 1.3–1.4 eV range, strong optical absorption coefficient (reported to be comparable to that of MAPbI</w:t>
      </w:r>
      <w:r>
        <w:rPr>
          <w:rFonts w:ascii="Times New Roman" w:hAnsi="Times New Roman"/>
          <w:b w:val="0"/>
          <w:i w:val="0"/>
          <w:sz w:val="24"/>
          <w:vertAlign w:val="subscript"/>
        </w:rPr>
        <w:t>3</w:t>
      </w:r>
      <w:r>
        <w:rPr>
          <w:rFonts w:ascii="Times New Roman" w:hAnsi="Times New Roman"/>
          <w:b w:val="0"/>
          <w:i w:val="0"/>
          <w:sz w:val="24"/>
        </w:rPr>
        <w:t xml:space="preserve"> by first-principles calculations [17,18]), and good thermal stability make it well-suited for single-junction photovoltaic applications. The initial absorber thickness used for device screening was 400 nm, and the bandgap was initially set to 1.4 eV, consistent with values reported in the experimental literature [14]. Both parameters were subsequently optimized (Section V).</w:t>
      </w:r>
    </w:p>
    <w:p>
      <w:pPr>
        <w:spacing w:line="360" w:lineRule="auto" w:before="120" w:after="120"/>
        <w:ind w:firstLine="283"/>
        <w:jc w:val="both"/>
      </w:pPr>
      <w:r>
        <w:rPr>
          <w:rFonts w:ascii="Times New Roman" w:hAnsi="Times New Roman"/>
          <w:b w:val="0"/>
          <w:i w:val="0"/>
          <w:sz w:val="24"/>
        </w:rPr>
        <w:t xml:space="preserve">Copper iodide (CuI) was selected as the hole transport layer owing to its excellent hole conductivity, high optical transparency, appropriate valence-band alignment with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comparatively low fabrication cost [25,26,33]. The HTL facilitates efficient extraction of photogenerated holes from the absorber layer while preventing electron back-transfer toward the rear electrode. CuI is a wide-gap (Eg ≈ 3.1 eV) p-type transparent conductor whose valence-band maximum aligns closely with that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(giving a small valence-band offset of approximately 0.10 eV as quantified in Section V.N), supporting efficient hole extraction. Reported single-crystal hole mobilities of CuI exceed 100 cm² V⁻¹ s⁻¹, and its solution-processability at low temperatures makes it attractive for large-area fabrication [27]. The initial CuI thickness was set to 100 nm.</w:t>
      </w:r>
    </w:p>
    <w:p>
      <w:pPr>
        <w:spacing w:line="360" w:lineRule="auto" w:before="120" w:after="120"/>
        <w:ind w:firstLine="283"/>
        <w:jc w:val="both"/>
      </w:pPr>
      <w:r>
        <w:rPr>
          <w:rFonts w:ascii="Times New Roman" w:hAnsi="Times New Roman" w:cs="Times New Roman"/>
          <w:b w:val="0"/>
          <w:i w:val="0"/>
          <w:sz w:val="24"/>
        </w:rPr>
        <w:t xml:space="preserve">Gold (Au) was used as the rear metal contact because of its high work function, excellent electrical conductivity, and superior chemical stability. A high-work-function metal establishes an ohmic contact with the hole transport layer, thereby reducing contact resistance and improving hole collection efficiency [34]. The choice of Au over lower-work-function alternatives such as Ag or Al ensures that the back contact does not introduce a parasitic Schottky barrier at the CuI/Au interface, which would otherwise degrade the fill factor and open-circuit voltage of the device.</w:t>
      </w:r>
    </w:p>
    <w:p>
      <w:pPr>
        <w:pStyle w:val="Heading2"/>
        <w:keepNext/>
        <w:spacing w:before="120" w:after="40" w:line="360" w:lineRule="auto"/>
      </w:pPr>
      <w:r>
        <w:rPr>
          <w:rFonts w:ascii="Times New Roman" w:hAnsi="Times New Roman" w:cs="Times New Roman"/>
          <w:b/>
          <w:i/>
          <w:sz w:val="24"/>
        </w:rPr>
        <w:t>C. Initial material parameters</w:t>
      </w:r>
    </w:p>
    <w:p>
      <w:pPr>
        <w:spacing w:line="360" w:lineRule="auto" w:before="120" w:after="120"/>
        <w:ind w:firstLine="283"/>
        <w:jc w:val="both"/>
      </w:pPr>
      <w:r>
        <w:rPr>
          <w:rFonts w:ascii="Times New Roman" w:hAnsi="Times New Roman"/>
          <w:b w:val="0"/>
          <w:i w:val="0"/>
          <w:sz w:val="24"/>
        </w:rPr>
        <w:t xml:space="preserve">The initial electrical and optical parameters used in the SCAPS-1D simulation of the proposed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solar cell are summarized in Table II. These values were collected from previously published experimental and numerical studies on lead-free perovskite solar cells [14,15,16,19,30] and were carefully incorporated into the SCAPS-1D simulator to establish a realistic baseline device before performing further optimization. The interface defect densities applied at the two heterojunctions are listed in Table III. The initial absorber thickness of 400 nm listed in Table II is the value at which all eight device configurations were screened (Section V.A, Table V). This thickness was subsequently optimized to 700 nm in the consolidated final device (Section V.P).</w:t>
      </w:r>
    </w:p>
    <w:p>
      <w:pPr>
        <w:keepNext/>
        <w:spacing w:before="120" w:after="40"/>
        <w:jc w:val="center"/>
      </w:pPr>
      <w:r>
        <w:rPr>
          <w:rFonts w:ascii="Times New Roman" w:hAnsi="Times New Roman"/>
          <w:b/>
          <w:i w:val="0"/>
          <w:sz w:val="20"/>
        </w:rPr>
        <w:t>Table II. Initial electrical and optical parameters used in the SCAPS-1D simulation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solar cell.</w:t>
      </w:r>
    </w:p>
    <w:tbl>
      <w:tblPr>
        <w:tblStyle w:val="LightGrid-Accent1"/>
        <w:tblLook w:firstColumn="1" w:firstRow="1" w:lastColumn="0" w:lastRow="0" w:noHBand="0" w:noVBand="1" w:val="04A0"/>
        <w:tblW w:type="pct" w:w="5000"/>
        <w:tblLayout w:type="autofit"/>
      </w:tblPr>
      <w:tblGrid>
        <w:gridCol w:w="1872"/>
        <w:gridCol w:w="1872"/>
        <w:gridCol w:w="1872"/>
        <w:gridCol w:w="1872"/>
        <w:gridCol w:w="1872"/>
      </w:tblGrid>
      <w:tr>
        <w:trPr>
          <w:tblHeader w:val="true"/>
          <w:cantSplit w:val="true"/>
        </w:trPr>
        <w:tc>
          <w:tcPr>
            <w:tcW w:type="dxa" w:w="3118"/>
          </w:tcPr>
          <w:p>
            <w:pPr>
              <w:jc w:val="center"/>
            </w:pPr>
            <w:r>
              <w:rPr>
                <w:rFonts w:ascii="Times New Roman" w:hAnsi="Times New Roman" w:cs="Times New Roman"/>
                <w:b w:val="0"/>
                <w:i w:val="0"/>
                <w:sz w:val="18"/>
              </w:rPr>
            </w:r>
            <w:r>
              <w:rPr>
                <w:rFonts w:ascii="Times New Roman" w:hAnsi="Times New Roman" w:cs="Times New Roman"/>
                <w:b/>
                <w:i w:val="0"/>
                <w:sz w:val="18"/>
              </w:rPr>
              <w:t>Parameter</w:t>
            </w:r>
          </w:p>
        </w:tc>
        <w:tc>
          <w:tcPr>
            <w:tcW w:type="dxa" w:w="1361"/>
          </w:tcPr>
          <w:p>
            <w:pPr>
              <w:jc w:val="center"/>
            </w:pPr>
            <w:r>
              <w:rPr>
                <w:rFonts w:ascii="Times New Roman" w:hAnsi="Times New Roman" w:cs="Times New Roman"/>
                <w:sz w:val="18"/>
                <w:b w:val="0"/>
                <w:i w:val="0"/>
              </w:rPr>
              <w:t>TiO</w:t>
            </w:r>
            <w:r>
              <w:rPr>
                <w:rFonts w:ascii="Times New Roman" w:hAnsi="Times New Roman" w:cs="Times New Roman"/>
                <w:vertAlign w:val="subscript"/>
                <w:sz w:val="18"/>
                <w:b w:val="0"/>
                <w:i w:val="0"/>
              </w:rPr>
              <w:t>2</w:t>
            </w:r>
          </w:p>
        </w:tc>
        <w:tc>
          <w:tcPr>
            <w:tcW w:type="dxa" w:w="1361"/>
          </w:tcPr>
          <w:p>
            <w:pPr>
              <w:jc w:val="center"/>
            </w:pPr>
            <w:r>
              <w:rPr>
                <w:rFonts w:ascii="Times New Roman" w:hAnsi="Times New Roman" w:cs="Times New Roman"/>
                <w:b w:val="0"/>
                <w:i w:val="0"/>
                <w:sz w:val="18"/>
              </w:rPr>
            </w:r>
            <w:r>
              <w:rPr>
                <w:rFonts w:ascii="Times New Roman" w:hAnsi="Times New Roman" w:cs="Times New Roman"/>
                <w:b/>
                <w:i w:val="0"/>
                <w:sz w:val="18"/>
              </w:rPr>
              <w:t>FTO</w:t>
            </w:r>
          </w:p>
        </w:tc>
        <w:tc>
          <w:tcPr>
            <w:tcW w:type="dxa" w:w="1361"/>
          </w:tcPr>
          <w:p>
            <w:pPr>
              <w:jc w:val="center"/>
            </w:pPr>
            <w:r>
              <w:rPr>
                <w:rFonts w:ascii="Times New Roman" w:hAnsi="Times New Roman" w:cs="Times New Roman"/>
                <w:sz w:val="18"/>
                <w:b w:val="0"/>
                <w:i w:val="0"/>
              </w:rPr>
              <w:t>RbGeI</w:t>
            </w:r>
            <w:r>
              <w:rPr>
                <w:rFonts w:ascii="Times New Roman" w:hAnsi="Times New Roman" w:cs="Times New Roman"/>
                <w:vertAlign w:val="subscript"/>
                <w:sz w:val="18"/>
                <w:b w:val="0"/>
                <w:i w:val="0"/>
              </w:rPr>
              <w:t>3</w:t>
            </w:r>
          </w:p>
        </w:tc>
        <w:tc>
          <w:tcPr>
            <w:tcW w:type="dxa" w:w="1361"/>
          </w:tcPr>
          <w:p>
            <w:pPr>
              <w:jc w:val="center"/>
            </w:pPr>
            <w:r>
              <w:rPr>
                <w:rFonts w:ascii="Times New Roman" w:hAnsi="Times New Roman" w:cs="Times New Roman"/>
                <w:b w:val="0"/>
                <w:i w:val="0"/>
                <w:sz w:val="18"/>
              </w:rPr>
            </w:r>
            <w:r>
              <w:rPr>
                <w:rFonts w:ascii="Times New Roman" w:hAnsi="Times New Roman" w:cs="Times New Roman"/>
                <w:b/>
                <w:i w:val="0"/>
                <w:sz w:val="18"/>
              </w:rPr>
              <w:t>CuI</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Thickness (nm)</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500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Bandgap E</w:t>
            </w:r>
            <w:r>
              <w:rPr>
                <w:rFonts w:ascii="Times New Roman" w:hAnsi="Times New Roman" w:cs="Times New Roman"/>
                <w:vertAlign w:val="subscript"/>
                <w:sz w:val="18"/>
                <w:b w:val="0"/>
                <w:i w:val="0"/>
              </w:rPr>
              <w:t>g</w:t>
            </w:r>
            <w:r>
              <w:rPr>
                <w:rFonts w:ascii="Times New Roman" w:hAnsi="Times New Roman" w:cs="Times New Roman"/>
                <w:sz w:val="18"/>
                <w:b w:val="0"/>
                <w:i w:val="0"/>
              </w:rPr>
              <w:t xml:space="preserve">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r>
              <w:rPr>
                <w:rFonts w:ascii="Times New Roman" w:hAnsi="Times New Roman" w:cs="Times New Roman"/>
                <w:b w:val="0"/>
                <w:i w:val="0"/>
                <w:sz w:val="18"/>
              </w:rPr>
              <w:t>1.4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3.1</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Electron affinity χ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w:t>
            </w:r>
          </w:p>
        </w:tc>
      </w:tr>
      <w:tr>
        <w:trPr>
          <w:cantSplit w:val="true"/>
        </w:trPr>
        <w:tc>
          <w:tcPr>
            <w:tcW w:type="dxa" w:w="3118"/>
          </w:tcPr>
          <w:p>
            <w:pPr>
              <w:jc w:val="left"/>
            </w:pPr>
            <w:r>
              <w:rPr>
                <w:rFonts w:ascii="Times New Roman" w:hAnsi="Times New Roman" w:cs="Times New Roman"/>
                <w:sz w:val="18"/>
                <w:b w:val="0"/>
                <w:i w:val="0"/>
              </w:rPr>
              <w:t>Dielectric permittivity ε</w:t>
            </w:r>
            <w:r>
              <w:rPr>
                <w:rFonts w:ascii="Times New Roman" w:hAnsi="Times New Roman" w:cs="Times New Roman"/>
                <w:vertAlign w:val="subscript"/>
                <w:sz w:val="18"/>
                <w:b w:val="0"/>
                <w:i w:val="0"/>
              </w:rPr>
              <w:t>r</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23.01</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6.5</w:t>
            </w:r>
          </w:p>
        </w:tc>
      </w:tr>
      <w:tr>
        <w:trPr>
          <w:cantSplit w:val="true"/>
        </w:trPr>
        <w:tc>
          <w:tcPr>
            <w:tcW w:type="dxa" w:w="3118"/>
          </w:tcPr>
          <w:p>
            <w:pPr>
              <w:jc w:val="left"/>
            </w:pPr>
            <w:r>
              <w:rPr>
                <w:rFonts w:ascii="Times New Roman" w:hAnsi="Times New Roman" w:cs="Times New Roman"/>
                <w:sz w:val="18"/>
                <w:b w:val="0"/>
                <w:i w:val="0"/>
              </w:rPr>
              <w:t>CB effective DOS N</w:t>
            </w:r>
            <w:r>
              <w:rPr>
                <w:rFonts w:ascii="Times New Roman" w:hAnsi="Times New Roman" w:cs="Times New Roman"/>
                <w:vertAlign w:val="subscript"/>
                <w:sz w:val="18"/>
                <w:b w:val="0"/>
                <w:i w:val="0"/>
              </w:rPr>
              <w:t>C</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1.4×10¹⁹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r>
      <w:tr>
        <w:trPr>
          <w:cantSplit w:val="true"/>
        </w:trPr>
        <w:tc>
          <w:tcPr>
            <w:tcW w:type="dxa" w:w="3118"/>
          </w:tcPr>
          <w:p>
            <w:pPr>
              <w:jc w:val="left"/>
            </w:pPr>
            <w:r>
              <w:rPr>
                <w:rFonts w:ascii="Times New Roman" w:hAnsi="Times New Roman" w:cs="Times New Roman"/>
                <w:sz w:val="18"/>
                <w:b w:val="0"/>
                <w:i w:val="0"/>
              </w:rPr>
              <w:t>VB effective DOS N</w:t>
            </w:r>
            <w:r>
              <w:rPr>
                <w:rFonts w:ascii="Times New Roman" w:hAnsi="Times New Roman" w:cs="Times New Roman"/>
                <w:vertAlign w:val="subscript"/>
                <w:sz w:val="18"/>
                <w:b w:val="0"/>
                <w:i w:val="0"/>
              </w:rPr>
              <w:t>V</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r>
      <w:tr>
        <w:trPr>
          <w:cantSplit w:val="true"/>
        </w:trPr>
        <w:tc>
          <w:tcPr>
            <w:tcW w:type="dxa" w:w="3118"/>
          </w:tcPr>
          <w:p>
            <w:pPr>
              <w:jc w:val="left"/>
            </w:pPr>
            <w:r>
              <w:rPr>
                <w:rFonts w:ascii="Times New Roman" w:hAnsi="Times New Roman" w:cs="Times New Roman"/>
                <w:sz w:val="18"/>
                <w:b w:val="0"/>
                <w:i w:val="0"/>
              </w:rPr>
              <w:t>Electron mobility μ</w:t>
            </w:r>
            <w:r>
              <w:rPr>
                <w:rFonts w:ascii="Times New Roman" w:hAnsi="Times New Roman" w:cs="Times New Roman"/>
                <w:vertAlign w:val="subscript"/>
                <w:sz w:val="18"/>
                <w:b w:val="0"/>
                <w:i w:val="0"/>
              </w:rPr>
              <w:t>e</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28.6</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Hole mobility μ</w:t>
            </w:r>
            <w:r>
              <w:rPr>
                <w:rFonts w:ascii="Times New Roman" w:hAnsi="Times New Roman" w:cs="Times New Roman"/>
                <w:vertAlign w:val="subscript"/>
                <w:sz w:val="18"/>
                <w:b w:val="0"/>
                <w:i w:val="0"/>
              </w:rPr>
              <w:t>p</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27.3</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43.9</w:t>
            </w:r>
          </w:p>
        </w:tc>
      </w:tr>
      <w:tr>
        <w:trPr>
          <w:cantSplit w:val="true"/>
        </w:trPr>
        <w:tc>
          <w:tcPr>
            <w:tcW w:type="dxa" w:w="3118"/>
          </w:tcPr>
          <w:p>
            <w:pPr>
              <w:jc w:val="left"/>
            </w:pPr>
            <w:r>
              <w:rPr>
                <w:rFonts w:ascii="Times New Roman" w:hAnsi="Times New Roman" w:cs="Times New Roman"/>
                <w:sz w:val="18"/>
                <w:b w:val="0"/>
                <w:i w:val="0"/>
              </w:rPr>
              <w:t>Donor density N</w:t>
            </w:r>
            <w:r>
              <w:rPr>
                <w:rFonts w:ascii="Times New Roman" w:hAnsi="Times New Roman" w:cs="Times New Roman"/>
                <w:vertAlign w:val="subscript"/>
                <w:sz w:val="18"/>
                <w:b w:val="0"/>
                <w:i w:val="0"/>
              </w:rPr>
              <w:t>D</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9×10¹⁶</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r>
      <w:tr>
        <w:trPr>
          <w:cantSplit w:val="true"/>
        </w:trPr>
        <w:tc>
          <w:tcPr>
            <w:tcW w:type="dxa" w:w="3118"/>
          </w:tcPr>
          <w:p>
            <w:pPr>
              <w:jc w:val="left"/>
            </w:pPr>
            <w:r>
              <w:rPr>
                <w:rFonts w:ascii="Times New Roman" w:hAnsi="Times New Roman" w:cs="Times New Roman"/>
                <w:sz w:val="18"/>
                <w:b w:val="0"/>
                <w:i w:val="0"/>
              </w:rPr>
              <w:t>Acceptor density N</w:t>
            </w:r>
            <w:r>
              <w:rPr>
                <w:rFonts w:ascii="Times New Roman" w:hAnsi="Times New Roman" w:cs="Times New Roman"/>
                <w:vertAlign w:val="subscript"/>
                <w:sz w:val="18"/>
                <w:b w:val="0"/>
                <w:i w:val="0"/>
              </w:rPr>
              <w:t>a</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1×10¹⁸</w:t>
            </w:r>
          </w:p>
        </w:tc>
      </w:tr>
      <w:tr>
        <w:trPr>
          <w:cantSplit w:val="true"/>
        </w:trPr>
        <w:tc>
          <w:tcPr>
            <w:tcW w:type="dxa" w:w="3118"/>
          </w:tcPr>
          <w:p>
            <w:pPr>
              <w:jc w:val="left"/>
            </w:pPr>
            <w:r>
              <w:rPr>
                <w:rFonts w:ascii="Times New Roman" w:hAnsi="Times New Roman" w:cs="Times New Roman"/>
                <w:sz w:val="18"/>
                <w:b w:val="0"/>
                <w:i w:val="0"/>
              </w:rPr>
              <w:t>Bulk defect density N</w:t>
            </w:r>
            <w:r>
              <w:rPr>
                <w:rFonts w:ascii="Times New Roman" w:hAnsi="Times New Roman" w:cs="Times New Roman"/>
                <w:vertAlign w:val="subscript"/>
                <w:sz w:val="18"/>
                <w:b w:val="0"/>
                <w:i w:val="0"/>
              </w:rPr>
              <w:t>t</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r>
    </w:tbl>
    <w:p>
      <w:pPr>
        <w:keepNext/>
        <w:spacing w:before="120" w:after="40"/>
        <w:jc w:val="center"/>
      </w:pPr>
      <w:r>
        <w:rPr>
          <w:rFonts w:ascii="Times New Roman" w:hAnsi="Times New Roman" w:cs="Times New Roman"/>
          <w:b/>
          <w:i w:val="0"/>
          <w:sz w:val="20"/>
        </w:rPr>
        <w:t>Table III. Initial interface defect density applied at each heterojunction.</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3402"/>
          </w:tcPr>
          <w:p>
            <w:pPr>
              <w:jc w:val="center"/>
            </w:pPr>
            <w:r>
              <w:rPr>
                <w:rFonts w:ascii="Times New Roman" w:hAnsi="Times New Roman" w:cs="Times New Roman"/>
                <w:b w:val="0"/>
                <w:i w:val="0"/>
                <w:sz w:val="18"/>
              </w:rPr>
            </w:r>
            <w:r>
              <w:rPr>
                <w:rFonts w:ascii="Times New Roman" w:hAnsi="Times New Roman" w:cs="Times New Roman"/>
                <w:b/>
                <w:i w:val="0"/>
                <w:sz w:val="18"/>
              </w:rPr>
              <w:t>Interface</w:t>
            </w:r>
          </w:p>
        </w:tc>
        <w:tc>
          <w:tcPr>
            <w:tcW w:type="dxa" w:w="3969"/>
          </w:tcPr>
          <w:p>
            <w:pPr>
              <w:jc w:val="center"/>
            </w:pPr>
            <w:r>
              <w:rPr>
                <w:rFonts w:ascii="Times New Roman" w:hAnsi="Times New Roman" w:cs="Times New Roman"/>
                <w:sz w:val="18"/>
                <w:b w:val="0"/>
                <w:i w:val="0"/>
              </w:rPr>
              <w:t>Interface defect density N</w:t>
            </w:r>
            <w:r>
              <w:rPr>
                <w:rFonts w:ascii="Times New Roman" w:hAnsi="Times New Roman" w:cs="Times New Roman"/>
                <w:vertAlign w:val="subscript"/>
                <w:sz w:val="18"/>
                <w:b w:val="0"/>
                <w:i w:val="0"/>
              </w:rPr>
              <w:t>t</w:t>
            </w:r>
            <w:r>
              <w:rPr>
                <w:rFonts w:ascii="Times New Roman" w:hAnsi="Times New Roman" w:cs="Times New Roman"/>
                <w:sz w:val="18"/>
                <w:b w:val="0"/>
                <w:i w:val="0"/>
              </w:rPr>
              <w:t xml:space="preserve"> (cm⁻²)</w:t>
            </w:r>
          </w:p>
        </w:tc>
      </w:tr>
      <w:tr>
        <w:trPr>
          <w:cantSplit w:val="true"/>
        </w:trPr>
        <w:tc>
          <w:tcPr>
            <w:tcW w:type="dxa" w:w="3402"/>
          </w:tcPr>
          <w:p>
            <w:pPr>
              <w:jc w:val="left"/>
            </w:pPr>
            <w:r>
              <w:rPr>
                <w:rFonts w:ascii="Times New Roman" w:hAnsi="Times New Roman" w:cs="Times New Roman"/>
                <w:sz w:val="18"/>
                <w:b w:val="0"/>
                <w:i w:val="0"/>
              </w:rPr>
              <w:t>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1 × 10¹⁴</w:t>
            </w:r>
          </w:p>
        </w:tc>
      </w:tr>
      <w:tr>
        <w:trPr>
          <w:cantSplit w:val="true"/>
        </w:trPr>
        <w:tc>
          <w:tcPr>
            <w:tcW w:type="dxa" w:w="3402"/>
          </w:tcPr>
          <w:p>
            <w:pPr>
              <w:jc w:val="left"/>
            </w:pP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1 × 10¹⁴</w:t>
            </w:r>
          </w:p>
        </w:tc>
      </w:tr>
    </w:tbl>
    <w:p>
      <w:pPr>
        <w:pStyle w:val="Heading1"/>
        <w:keepNext/>
        <w:spacing w:before="320" w:after="120" w:line="360" w:lineRule="auto"/>
      </w:pPr>
      <w:r>
        <w:rPr>
          <w:rFonts w:ascii="Times New Roman" w:hAnsi="Times New Roman" w:cs="Times New Roman"/>
          <w:b/>
          <w:i w:val="0"/>
          <w:sz w:val="28"/>
        </w:rPr>
        <w:t>IV. Methodology</w:t>
      </w:r>
    </w:p>
    <w:p>
      <w:pPr>
        <w:pStyle w:val="Heading2"/>
        <w:keepNext/>
        <w:spacing w:before="120" w:after="40" w:line="360" w:lineRule="auto"/>
      </w:pPr>
      <w:r>
        <w:rPr>
          <w:rFonts w:ascii="Times New Roman" w:hAnsi="Times New Roman" w:cs="Times New Roman"/>
          <w:b/>
          <w:i/>
          <w:sz w:val="24"/>
        </w:rPr>
        <w:t>A. SCAPS-1D simulation framework</w:t>
      </w:r>
    </w:p>
    <w:p>
      <w:pPr>
        <w:spacing w:line="360" w:lineRule="auto" w:before="120" w:after="120"/>
        <w:ind w:firstLine="283"/>
        <w:jc w:val="both"/>
      </w:pPr>
      <w:r>
        <w:rPr>
          <w:rFonts w:ascii="Times New Roman" w:hAnsi="Times New Roman" w:cs="Times New Roman"/>
          <w:b w:val="0"/>
          <w:i w:val="0"/>
          <w:sz w:val="24"/>
        </w:rPr>
        <w:t xml:space="preserve">The device stack was simulated with SCAPS-1D version 3.3.10 [19,20,21], which solves the Poisson equation together with the electron and hole continuity equations self-consistently across the device and is widely used for thin-film and perovskite device studies. The drift-diffusion transport model underlying these equations is summarized below; further details are available in the original references [19,20,21].</w:t>
      </w:r>
    </w:p>
    <w:p>
      <w:pPr>
        <w:spacing w:line="360" w:lineRule="auto" w:before="120" w:after="120"/>
        <w:ind w:firstLine="283"/>
        <w:jc w:val="both"/>
      </w:pPr>
      <w:r>
        <w:rPr>
          <w:rFonts w:ascii="Times New Roman" w:hAnsi="Times New Roman"/>
          <w:b w:val="0"/>
          <w:i w:val="0"/>
          <w:sz w:val="24"/>
        </w:rPr>
        <w:t xml:space="preserve">where ε is the dielectric permittivity, ψ the electrostatic potential, q the elementary charge, n and p the electron and hole concentrations, ND and Na the donor and acceptor concentrations, and ρt the trapped charge density. Electron and hole transport are governed by the continuity equations,</w:t>
      </w:r>
    </w:p>
    <w:p>
      <w:pPr>
        <w:spacing w:line="360" w:lineRule="auto" w:before="120" w:after="120"/>
        <w:ind w:firstLine="283"/>
        <w:jc w:val="both"/>
      </w:pPr>
      <w:r>
        <w:rPr>
          <w:rFonts w:ascii="Times New Roman" w:hAnsi="Times New Roman"/>
          <w:b w:val="0"/>
          <w:i w:val="0"/>
          <w:sz w:val="24"/>
        </w:rPr>
        <w:t xml:space="preserve">where Jn is the electron current density, G the carrier generation rate, and R the carrier recombination rate; the hole continuity equation describes hole transport analogously,</w:t>
      </w:r>
    </w:p>
    <w:p>
      <w:pPr>
        <w:spacing w:line="360" w:lineRule="auto" w:before="120" w:after="120"/>
        <w:ind w:firstLine="283"/>
        <w:jc w:val="both"/>
      </w:pPr>
      <w:r>
        <w:rPr>
          <w:rFonts w:ascii="Times New Roman" w:hAnsi="Times New Roman"/>
          <w:b w:val="0"/>
          <w:i w:val="0"/>
          <w:sz w:val="24"/>
        </w:rPr>
        <w:t xml:space="preserve">where Jp is the hole current density. Together, Eqs. (1)–(3) describe generation, transport, and recombination under illumination; SCAPS-1D computes the resulting J–V characteristics from the layer properties defined below.</w:t>
      </w:r>
    </w:p>
    <w:p>
      <w:pPr>
        <w:pStyle w:val="Heading2"/>
        <w:keepNext/>
        <w:spacing w:before="120" w:after="40" w:line="360" w:lineRule="auto"/>
      </w:pPr>
      <w:r>
        <w:rPr>
          <w:rFonts w:ascii="Times New Roman" w:hAnsi="Times New Roman" w:cs="Times New Roman"/>
          <w:b/>
          <w:i/>
          <w:sz w:val="24"/>
        </w:rPr>
        <w:t>B. Simulation conditions</w:t>
      </w:r>
    </w:p>
    <w:p>
      <w:pPr>
        <w:spacing w:line="360" w:lineRule="auto" w:before="120" w:after="120"/>
        <w:ind w:firstLine="283"/>
        <w:jc w:val="both"/>
      </w:pPr>
      <w:r>
        <w:rPr>
          <w:rFonts w:ascii="Times New Roman" w:hAnsi="Times New Roman" w:cs="Times New Roman"/>
          <w:b w:val="0"/>
          <w:i w:val="0"/>
          <w:sz w:val="24"/>
        </w:rPr>
        <w:t xml:space="preserve">All simulations were performed under the AM 1.5G spectrum at an incident power density of 100 mW/cm² (one sun, STC) with the operating temperature fixed at 300 K, using the initial material parameters of Table II and the interface defect densities of Table III unless otherwise stated. During each optimization step, only one parameter was varied while all remaining parameters were held constant; the general simulation conditions are summarized in Table IV.</w:t>
      </w:r>
    </w:p>
    <w:p>
      <w:pPr>
        <w:keepNext/>
        <w:spacing w:before="120" w:after="40"/>
        <w:jc w:val="center"/>
      </w:pPr>
      <w:r>
        <w:rPr>
          <w:rFonts w:ascii="Times New Roman" w:hAnsi="Times New Roman" w:cs="Times New Roman"/>
          <w:b/>
          <w:i w:val="0"/>
          <w:sz w:val="20"/>
        </w:rPr>
        <w:t>Table IV. Simulation conditions used in SCAPS-1D.</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3685"/>
          </w:tcPr>
          <w:p>
            <w:pPr>
              <w:jc w:val="center"/>
            </w:pPr>
            <w:r>
              <w:rPr>
                <w:rFonts w:ascii="Times New Roman" w:hAnsi="Times New Roman" w:cs="Times New Roman"/>
                <w:b w:val="0"/>
                <w:i w:val="0"/>
                <w:sz w:val="18"/>
              </w:rPr>
            </w:r>
            <w:r>
              <w:rPr>
                <w:rFonts w:ascii="Times New Roman" w:hAnsi="Times New Roman" w:cs="Times New Roman"/>
                <w:b/>
                <w:i w:val="0"/>
                <w:sz w:val="18"/>
              </w:rPr>
              <w:t>Parameter</w:t>
            </w:r>
          </w:p>
        </w:tc>
        <w:tc>
          <w:tcPr>
            <w:tcW w:type="dxa" w:w="4535"/>
          </w:tcPr>
          <w:p>
            <w:pPr>
              <w:jc w:val="center"/>
            </w:pPr>
            <w:r>
              <w:rPr>
                <w:rFonts w:ascii="Times New Roman" w:hAnsi="Times New Roman" w:cs="Times New Roman"/>
                <w:b w:val="0"/>
                <w:i w:val="0"/>
                <w:sz w:val="18"/>
              </w:rPr>
            </w:r>
            <w:r>
              <w:rPr>
                <w:rFonts w:ascii="Times New Roman" w:hAnsi="Times New Roman" w:cs="Times New Roman"/>
                <w:b/>
                <w:i w:val="0"/>
                <w:sz w:val="18"/>
              </w:rPr>
              <w:t>Value</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Simulation software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SCAPS-1D version 3.3.10</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Illumination spectrum</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AM 1.5G</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Incident power density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100 mW/cm² (1000 W/m²)</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Operating temperature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300 K (27 °C)</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Illumination intensity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1 Sun</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Scan mode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Illuminated J–V</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Device type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Planar heterojunction</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Front contact</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FTO</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Back contact</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Au</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Initial material parameters</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Table II</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Initial interface defect density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Table III</w:t>
            </w:r>
          </w:p>
        </w:tc>
      </w:tr>
    </w:tbl>
    <w:p>
      <w:pPr>
        <w:pStyle w:val="Heading2"/>
        <w:keepNext/>
        <w:spacing w:before="120" w:after="40" w:line="360" w:lineRule="auto"/>
      </w:pPr>
      <w:r>
        <w:rPr>
          <w:rFonts w:ascii="Times New Roman" w:hAnsi="Times New Roman" w:cs="Times New Roman"/>
          <w:b/>
          <w:i/>
          <w:sz w:val="24"/>
        </w:rPr>
        <w:t>C. Performance parameters</w:t>
      </w:r>
    </w:p>
    <w:p>
      <w:pPr>
        <w:spacing w:line="360" w:lineRule="auto" w:before="120" w:after="120"/>
        <w:ind w:firstLine="283"/>
        <w:jc w:val="both"/>
      </w:pPr>
      <w:r>
        <w:rPr>
          <w:rFonts w:ascii="Times New Roman" w:hAnsi="Times New Roman"/>
          <w:b w:val="0"/>
          <w:i w:val="0"/>
          <w:sz w:val="24"/>
        </w:rPr>
        <w:t xml:space="preserve">Performance was evaluated using the four key parameters extracted from the simulated J–V curve: open-circuit voltage (Voc), short-circuit current density (Jsc), fill factor (FF), and power conversion efficiency (PCE), computed as PCE = (Voc × Jsc × FF)/Pin with Pin = 100 mW/cm² under AM 1.5G.</w:t>
      </w:r>
    </w:p>
    <w:p>
      <w:pPr>
        <w:pStyle w:val="Heading2"/>
        <w:keepNext/>
        <w:spacing w:before="120" w:after="40" w:line="360" w:lineRule="auto"/>
      </w:pPr>
      <w:r>
        <w:rPr>
          <w:rFonts w:ascii="Times New Roman" w:hAnsi="Times New Roman" w:cs="Times New Roman"/>
          <w:b/>
          <w:i/>
          <w:sz w:val="24"/>
        </w:rPr>
        <w:t>D. Sequential optimization procedure</w:t>
      </w:r>
    </w:p>
    <w:p>
      <w:pPr>
        <w:spacing w:line="360" w:lineRule="auto" w:before="120" w:after="120"/>
        <w:ind w:firstLine="283"/>
        <w:jc w:val="both"/>
      </w:pPr>
      <w:r>
        <w:rPr>
          <w:rFonts w:ascii="Times New Roman" w:hAnsi="Times New Roman" w:cs="Times New Roman"/>
          <w:b w:val="0"/>
          <w:i w:val="0"/>
          <w:sz w:val="24"/>
        </w:rPr>
        <w:t xml:space="preserve">Starting from the initial device, one parameter at a time (OPAT) was varied while all others were held constant, and each step’s locally optimal value was carried forward into the subsequent step, as detailed in Section V.</w:t>
      </w:r>
    </w:p>
    <w:p>
      <w:pPr>
        <w:spacing w:line="360" w:lineRule="auto" w:before="120" w:after="120"/>
        <w:ind w:firstLine="283"/>
        <w:jc w:val="both"/>
      </w:pPr>
      <w:r>
        <w:rPr>
          <w:rFonts w:ascii="Times New Roman" w:hAnsi="Times New Roman"/>
          <w:b w:val="0"/>
          <w:i w:val="0"/>
          <w:sz w:val="24"/>
        </w:rPr>
        <w:t>The procedure comprises eleven optimization steps: (1) absorber thickness (0.3–1.0 µm); (2) absorber bulk defect density (10¹²–10¹⁸ cm⁻³); (3) absorber dielectric constant (15–23.1); (4) absorber electron affinity (3.9–4.2 eV); (5)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(10¹²–10¹⁸ cm⁻²); (6) RbGeI</w:t>
      </w:r>
      <w:r>
        <w:rPr>
          <w:rFonts w:ascii="Times New Roman" w:hAnsi="Times New Roman"/>
          <w:b w:val="0"/>
          <w:i w:val="0"/>
          <w:sz w:val="24"/>
          <w:vertAlign w:val="subscript"/>
        </w:rPr>
        <w:t>3</w:t>
      </w:r>
      <w:r>
        <w:rPr>
          <w:rFonts w:ascii="Times New Roman" w:hAnsi="Times New Roman"/>
          <w:b w:val="0"/>
          <w:i w:val="0"/>
          <w:sz w:val="24"/>
        </w:rPr>
        <w:t>/CuI interfacial defect density (10¹²–10¹⁸ cm⁻²); (7) absorber bandgap (1.3–1.7 eV); (8) TiO</w:t>
      </w:r>
      <w:r>
        <w:rPr>
          <w:rFonts w:ascii="Times New Roman" w:hAnsi="Times New Roman"/>
          <w:b w:val="0"/>
          <w:i w:val="0"/>
          <w:sz w:val="24"/>
          <w:vertAlign w:val="subscript"/>
        </w:rPr>
        <w:t>2</w:t>
      </w:r>
      <w:r>
        <w:rPr>
          <w:rFonts w:ascii="Times New Roman" w:hAnsi="Times New Roman"/>
          <w:b w:val="0"/>
          <w:i w:val="0"/>
          <w:sz w:val="24"/>
        </w:rPr>
        <w:t xml:space="preserve"> ETL thickness (0.01–0.09 µm); (9) CuI HTL thickness (0.1–1.9 µm); (10) conduction-band effective density of states N</w:t>
      </w:r>
      <w:r>
        <w:rPr>
          <w:rFonts w:ascii="Times New Roman" w:hAnsi="Times New Roman"/>
          <w:b w:val="0"/>
          <w:i w:val="0"/>
          <w:sz w:val="24"/>
          <w:vertAlign w:val="subscript"/>
        </w:rPr>
        <w:t>C</w:t>
      </w:r>
      <w:r>
        <w:rPr>
          <w:rFonts w:ascii="Times New Roman" w:hAnsi="Times New Roman"/>
          <w:b w:val="0"/>
          <w:i w:val="0"/>
          <w:sz w:val="24"/>
        </w:rPr>
        <w:t xml:space="preserve"> (1×10¹⁷–1×10²⁰ cm⁻³); (11) valence-band effective density of states N</w:t>
      </w:r>
      <w:r>
        <w:rPr>
          <w:rFonts w:ascii="Times New Roman" w:hAnsi="Times New Roman"/>
          <w:b w:val="0"/>
          <w:i w:val="0"/>
          <w:sz w:val="24"/>
          <w:vertAlign w:val="subscript"/>
        </w:rPr>
        <w:t>V</w:t>
      </w:r>
      <w:r>
        <w:rPr>
          <w:rFonts w:ascii="Times New Roman" w:hAnsi="Times New Roman"/>
          <w:b w:val="0"/>
          <w:i w:val="0"/>
          <w:sz w:val="24"/>
        </w:rPr>
        <w:t xml:space="preserve"> (1×10¹⁷–1×10²⁰ cm⁻³). Each step's locally optimal parameter value was carried forward into all subsequent steps, with the consolidated final parameter set summarized in Table VII.</w:t>
      </w:r>
    </w:p>
    <w:p>
      <w:pPr>
        <w:spacing w:line="360" w:lineRule="auto" w:before="120" w:after="120"/>
        <w:ind w:firstLine="283"/>
        <w:jc w:val="both"/>
      </w:pPr>
      <w:r>
        <w:rPr>
          <w:rFonts w:ascii="Times New Roman" w:hAnsi="Times New Roman" w:cs="Times New Roman"/>
          <w:b w:val="0"/>
          <w:i w:val="0"/>
          <w:sz w:val="24"/>
        </w:rPr>
        <w:t>Because each per-step optimum is identified with all other parameters fixed at prior-step values, the consolidated parameter set may not be a global optimum; the OAT approach nevertheless identifies the dominant parameter effects and establishes a clear baseline.</w:t>
      </w:r>
    </w:p>
    <w:p>
      <w:pPr>
        <w:pStyle w:val="Heading2"/>
        <w:keepNext/>
        <w:spacing w:before="120" w:after="40" w:line="360" w:lineRule="auto"/>
      </w:pPr>
      <w:r>
        <w:rPr>
          <w:rFonts w:ascii="Times New Roman" w:hAnsi="Times New Roman" w:cs="Times New Roman"/>
          <w:b/>
          <w:i/>
          <w:sz w:val="24"/>
        </w:rPr>
        <w:t>E. Device configurations screened</w:t>
      </w:r>
    </w:p>
    <w:p>
      <w:pPr>
        <w:spacing w:line="360" w:lineRule="auto" w:before="120" w:after="120"/>
        <w:ind w:firstLine="283"/>
        <w:jc w:val="both"/>
      </w:pPr>
      <w:r>
        <w:rPr>
          <w:rFonts w:ascii="Times New Roman" w:hAnsi="Times New Roman"/>
          <w:b w:val="0"/>
          <w:i w:val="0"/>
          <w:sz w:val="24"/>
        </w:rPr>
        <w:t xml:space="preserve">Eight planar configurations combining two ETLs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PCBM) with four HTLs (NiO, CuI, CBTS, Spiro-OMeTAD) around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absorber (D1–D8, Table V) were simulated at the initial absorber thickness of 400 nm (Table II) to permit a fair architecture comparison before the thickness optimization of Section V.B.</w:t>
      </w:r>
    </w:p>
    <w:p>
      <w:pPr>
        <w:keepNext/>
        <w:spacing w:before="120" w:after="40"/>
        <w:jc w:val="center"/>
      </w:pPr>
      <w:r>
        <w:rPr>
          <w:rFonts w:ascii="Times New Roman" w:hAnsi="Times New Roman" w:cs="Times New Roman"/>
          <w:b/>
          <w:i w:val="0"/>
          <w:sz w:val="20"/>
        </w:rPr>
        <w:t>Table V. Eight device configurations screened in this study. All configurations were simulated at an absorber thickness of 400 nm.</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1417"/>
          </w:tcPr>
          <w:p>
            <w:pPr>
              <w:jc w:val="center"/>
            </w:pPr>
            <w:r>
              <w:rPr>
                <w:rFonts w:ascii="Times New Roman" w:hAnsi="Times New Roman" w:cs="Times New Roman"/>
                <w:b w:val="0"/>
                <w:i w:val="0"/>
                <w:sz w:val="18"/>
              </w:rPr>
            </w:r>
            <w:r>
              <w:rPr>
                <w:rFonts w:ascii="Times New Roman" w:hAnsi="Times New Roman" w:cs="Times New Roman"/>
                <w:b/>
                <w:i w:val="0"/>
                <w:sz w:val="18"/>
              </w:rPr>
              <w:t>Device</w:t>
            </w:r>
          </w:p>
        </w:tc>
        <w:tc>
          <w:tcPr>
            <w:tcW w:type="dxa" w:w="6803"/>
          </w:tcPr>
          <w:p>
            <w:pPr>
              <w:jc w:val="center"/>
            </w:pPr>
            <w:r>
              <w:rPr>
                <w:rFonts w:ascii="Times New Roman" w:hAnsi="Times New Roman" w:cs="Times New Roman"/>
                <w:b w:val="0"/>
                <w:i w:val="0"/>
                <w:sz w:val="18"/>
              </w:rPr>
            </w:r>
            <w:r>
              <w:rPr>
                <w:rFonts w:ascii="Times New Roman" w:hAnsi="Times New Roman" w:cs="Times New Roman"/>
                <w:b/>
                <w:i w:val="0"/>
                <w:sz w:val="18"/>
              </w:rPr>
              <w:t>Architecture</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D1</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NiO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D2</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NiO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D3</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D4 ★</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D5</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CBTS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D6</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CBTS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D7</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Spiro-OMeTAD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D8</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Spiro-OMeTAD / Au</w:t>
            </w:r>
          </w:p>
        </w:tc>
      </w:tr>
    </w:tbl>
    <w:p>
      <w:pPr>
        <w:pStyle w:val="Heading1"/>
        <w:keepNext/>
        <w:spacing w:before="320" w:after="120" w:line="360" w:lineRule="auto"/>
      </w:pPr>
      <w:r>
        <w:rPr>
          <w:rFonts w:ascii="Times New Roman" w:hAnsi="Times New Roman" w:cs="Times New Roman"/>
          <w:b/>
          <w:i w:val="0"/>
          <w:sz w:val="28"/>
        </w:rPr>
        <w:t>V. Results and Discussion</w:t>
      </w:r>
    </w:p>
    <w:p>
      <w:pPr>
        <w:pStyle w:val="Heading2"/>
        <w:keepNext/>
        <w:spacing w:before="120" w:after="40" w:line="360" w:lineRule="auto"/>
      </w:pPr>
      <w:r>
        <w:rPr>
          <w:rFonts w:ascii="Times New Roman" w:hAnsi="Times New Roman" w:cs="Times New Roman"/>
          <w:b/>
          <w:i/>
          <w:sz w:val="24"/>
        </w:rPr>
        <w:t>A. Screening of device configurations</w:t>
      </w:r>
    </w:p>
    <w:p>
      <w:pPr>
        <w:spacing w:line="360" w:lineRule="auto" w:before="120" w:after="120"/>
        <w:ind w:firstLine="283"/>
        <w:jc w:val="both"/>
      </w:pPr>
      <w:r>
        <w:rPr>
          <w:rFonts w:ascii="Times New Roman" w:hAnsi="Times New Roman"/>
          <w:b w:val="0"/>
          <w:i w:val="0"/>
          <w:sz w:val="24"/>
        </w:rPr>
        <w:t>Eight device configurations combining two ETL candidates (TiO</w:t>
      </w:r>
      <w:r>
        <w:rPr>
          <w:rFonts w:ascii="Times New Roman" w:hAnsi="Times New Roman"/>
          <w:b w:val="0"/>
          <w:i w:val="0"/>
          <w:sz w:val="24"/>
          <w:vertAlign w:val="subscript"/>
        </w:rPr>
        <w:t>2</w:t>
      </w:r>
      <w:r>
        <w:rPr>
          <w:rFonts w:ascii="Times New Roman" w:hAnsi="Times New Roman"/>
          <w:b w:val="0"/>
          <w:i w:val="0"/>
          <w:sz w:val="24"/>
        </w:rPr>
        <w:t>, PCBM) with four HTL candidates (NiO, CuI, CBTS, Spiro-OMeTAD) were simulated. The results are summarized in Table VI.</w:t>
      </w:r>
    </w:p>
    <w:p>
      <w:pPr>
        <w:spacing w:line="360" w:lineRule="auto" w:before="120" w:after="120"/>
        <w:ind w:firstLine="283"/>
        <w:jc w:val="both"/>
      </w:pPr>
      <w:r>
        <w:rPr>
          <w:rFonts w:ascii="Times New Roman" w:hAnsi="Times New Roman"/>
          <w:b w:val="0"/>
          <w:i w:val="0"/>
          <w:sz w:val="24"/>
        </w:rPr>
        <w:t>The D4 architecture (TiO</w:t>
      </w:r>
      <w:r>
        <w:rPr>
          <w:rFonts w:ascii="Times New Roman" w:hAnsi="Times New Roman"/>
          <w:b w:val="0"/>
          <w:i w:val="0"/>
          <w:sz w:val="24"/>
          <w:vertAlign w:val="subscript"/>
        </w:rPr>
        <w:t>2</w:t>
      </w:r>
      <w:r>
        <w:rPr>
          <w:rFonts w:ascii="Times New Roman" w:hAnsi="Times New Roman"/>
          <w:b w:val="0"/>
          <w:i w:val="0"/>
          <w:sz w:val="24"/>
        </w:rPr>
        <w:t>/CuI) was selected because the TiO</w:t>
      </w:r>
      <w:r>
        <w:rPr>
          <w:rFonts w:ascii="Times New Roman" w:hAnsi="Times New Roman"/>
          <w:b w:val="0"/>
          <w:i w:val="0"/>
          <w:sz w:val="24"/>
          <w:vertAlign w:val="subscript"/>
        </w:rPr>
        <w:t>2</w:t>
      </w:r>
      <w:r>
        <w:rPr>
          <w:rFonts w:ascii="Times New Roman" w:hAnsi="Times New Roman"/>
          <w:b w:val="0"/>
          <w:i w:val="0"/>
          <w:sz w:val="24"/>
        </w:rPr>
        <w:t>/CuI combination offers well-matched band alignment and uses an all-inorganic transport layer stack that avoids the stability limitations of organic HTLs.</w:t>
      </w:r>
    </w:p>
    <w:p>
      <w:pPr>
        <w:keepNext/>
        <w:spacing w:before="120" w:after="40"/>
        <w:jc w:val="center"/>
      </w:pPr>
      <w:r>
        <w:rPr>
          <w:rFonts w:ascii="Times New Roman" w:hAnsi="Times New Roman" w:cs="Times New Roman"/>
          <w:b/>
          <w:i w:val="0"/>
          <w:sz w:val="20"/>
        </w:rPr>
        <w:t>Table VI. Initial photovoltaic performance of the eight screened device configurations, simulated at an absorber thickness of 400 nm. ★ Selected as the baseline for full parametric optimization.</w:t>
      </w:r>
    </w:p>
    <w:tbl>
      <w:tblPr>
        <w:tblStyle w:val="LightGrid-Accent1"/>
        <w:tblLook w:firstColumn="1" w:firstRow="1" w:lastColumn="0" w:lastRow="0" w:noHBand="0" w:noVBand="1" w:val="04A0"/>
        <w:tblW w:type="pct" w:w="5000"/>
        <w:tblLayout w:type="autofit"/>
      </w:tblPr>
      <w:tblGrid>
        <w:gridCol w:w="1560"/>
        <w:gridCol w:w="1560"/>
        <w:gridCol w:w="1560"/>
        <w:gridCol w:w="1560"/>
        <w:gridCol w:w="1560"/>
        <w:gridCol w:w="1560"/>
      </w:tblGrid>
      <w:tr>
        <w:trPr>
          <w:tblHeader w:val="true"/>
          <w:cantSplit w:val="true"/>
        </w:trPr>
        <w:tc>
          <w:tcPr>
            <w:tcW w:type="dxa" w:w="737"/>
          </w:tcPr>
          <w:p>
            <w:pPr>
              <w:jc w:val="center"/>
            </w:pPr>
            <w:r>
              <w:rPr>
                <w:rFonts w:ascii="Times New Roman" w:hAnsi="Times New Roman" w:cs="Times New Roman"/>
                <w:b w:val="0"/>
                <w:i w:val="0"/>
                <w:sz w:val="18"/>
              </w:rPr>
            </w:r>
            <w:r>
              <w:rPr>
                <w:rFonts w:ascii="Times New Roman" w:hAnsi="Times New Roman" w:cs="Times New Roman"/>
                <w:b/>
                <w:i w:val="0"/>
                <w:sz w:val="18"/>
              </w:rPr>
              <w:t>Dev.</w:t>
            </w:r>
          </w:p>
        </w:tc>
        <w:tc>
          <w:tcPr>
            <w:tcW w:type="dxa" w:w="3118"/>
          </w:tcPr>
          <w:p>
            <w:pPr>
              <w:jc w:val="center"/>
            </w:pPr>
            <w:r>
              <w:rPr>
                <w:rFonts w:ascii="Times New Roman" w:hAnsi="Times New Roman" w:cs="Times New Roman"/>
                <w:b w:val="0"/>
                <w:i w:val="0"/>
                <w:sz w:val="18"/>
              </w:rPr>
            </w:r>
            <w:r>
              <w:rPr>
                <w:rFonts w:ascii="Times New Roman" w:hAnsi="Times New Roman" w:cs="Times New Roman"/>
                <w:b/>
                <w:i w:val="0"/>
                <w:sz w:val="18"/>
              </w:rPr>
              <w:t>Architecture</w:t>
            </w:r>
          </w:p>
        </w:tc>
        <w:tc>
          <w:tcPr>
            <w:tcW w:type="dxa" w:w="964"/>
          </w:tcPr>
          <w:p>
            <w:pPr>
              <w:jc w:val="center"/>
            </w:pPr>
            <w:r>
              <w:rPr>
                <w:rFonts w:ascii="Times New Roman" w:hAnsi="Times New Roman" w:cs="Times New Roman"/>
                <w:sz w:val="18"/>
                <w:b w:val="0"/>
                <w:i w:val="0"/>
              </w:rPr>
              <w:t>V</w:t>
            </w:r>
            <w:r>
              <w:rPr>
                <w:rFonts w:ascii="Times New Roman" w:hAnsi="Times New Roman" w:cs="Times New Roman"/>
                <w:vertAlign w:val="subscript"/>
                <w:sz w:val="18"/>
                <w:b w:val="0"/>
                <w:i w:val="0"/>
              </w:rPr>
              <w:t>oc</w:t>
            </w:r>
            <w:r>
              <w:rPr>
                <w:rFonts w:ascii="Times New Roman" w:hAnsi="Times New Roman" w:cs="Times New Roman"/>
                <w:sz w:val="18"/>
                <w:b w:val="0"/>
                <w:i w:val="0"/>
              </w:rPr>
              <w:t xml:space="preserve"> (V)</w:t>
            </w:r>
          </w:p>
        </w:tc>
        <w:tc>
          <w:tcPr>
            <w:tcW w:type="dxa" w:w="1417"/>
          </w:tcPr>
          <w:p>
            <w:pPr>
              <w:jc w:val="center"/>
            </w:pPr>
            <w:r>
              <w:rPr>
                <w:rFonts w:ascii="Times New Roman" w:hAnsi="Times New Roman" w:cs="Times New Roman"/>
                <w:sz w:val="18"/>
                <w:b w:val="0"/>
                <w:i w:val="0"/>
              </w:rPr>
              <w:t>J</w:t>
            </w:r>
            <w:r>
              <w:rPr>
                <w:rFonts w:ascii="Times New Roman" w:hAnsi="Times New Roman" w:cs="Times New Roman"/>
                <w:vertAlign w:val="subscript"/>
                <w:sz w:val="18"/>
                <w:b w:val="0"/>
                <w:i w:val="0"/>
              </w:rPr>
              <w:t>sc</w:t>
            </w:r>
            <w:r>
              <w:rPr>
                <w:rFonts w:ascii="Times New Roman" w:hAnsi="Times New Roman" w:cs="Times New Roman"/>
                <w:sz w:val="18"/>
                <w:b w:val="0"/>
                <w:i w:val="0"/>
              </w:rPr>
              <w:t xml:space="preserve"> (mA/cm²)</w:t>
            </w:r>
          </w:p>
        </w:tc>
        <w:tc>
          <w:tcPr>
            <w:tcW w:type="dxa" w:w="850"/>
          </w:tcPr>
          <w:p>
            <w:pPr>
              <w:jc w:val="center"/>
            </w:pPr>
            <w:r>
              <w:rPr>
                <w:rFonts w:ascii="Times New Roman" w:hAnsi="Times New Roman" w:cs="Times New Roman"/>
                <w:b w:val="0"/>
                <w:i w:val="0"/>
                <w:sz w:val="18"/>
              </w:rPr>
            </w:r>
            <w:r>
              <w:rPr>
                <w:rFonts w:ascii="Times New Roman" w:hAnsi="Times New Roman" w:cs="Times New Roman"/>
                <w:b/>
                <w:i w:val="0"/>
                <w:sz w:val="18"/>
              </w:rPr>
              <w:t>FF (%)</w:t>
            </w:r>
          </w:p>
        </w:tc>
        <w:tc>
          <w:tcPr>
            <w:tcW w:type="dxa" w:w="850"/>
          </w:tcPr>
          <w:p>
            <w:pPr>
              <w:jc w:val="center"/>
            </w:pPr>
            <w:r>
              <w:rPr>
                <w:rFonts w:ascii="Times New Roman" w:hAnsi="Times New Roman" w:cs="Times New Roman"/>
                <w:b w:val="0"/>
                <w:i w:val="0"/>
                <w:sz w:val="18"/>
              </w:rPr>
            </w:r>
            <w:r>
              <w:rPr>
                <w:rFonts w:ascii="Times New Roman" w:hAnsi="Times New Roman" w:cs="Times New Roman"/>
                <w:b/>
                <w:i w:val="0"/>
                <w:sz w:val="18"/>
              </w:rPr>
              <w:t>PCE (%)</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D1</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/NiO/Au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30.10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83.68</w:t>
            </w:r>
          </w:p>
        </w:tc>
        <w:tc>
          <w:tcPr>
            <w:tcW w:type="dxa" w:w="850"/>
          </w:tcPr>
          <w:p>
            <w:pPr>
              <w:jc w:val="center"/>
            </w:pPr>
            <w:r>
              <w:rPr>
                <w:rFonts w:ascii="Times New Roman" w:hAnsi="Times New Roman" w:cs="Times New Roman"/>
                <w:b w:val="0"/>
                <w:i w:val="0"/>
                <w:sz w:val="18"/>
              </w:rPr>
              <w:t xml:space="preserve">20.40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D2</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84.48</w:t>
            </w:r>
          </w:p>
        </w:tc>
        <w:tc>
          <w:tcPr>
            <w:tcW w:type="dxa" w:w="850"/>
          </w:tcPr>
          <w:p>
            <w:pPr>
              <w:jc w:val="center"/>
            </w:pPr>
            <w:r>
              <w:rPr>
                <w:rFonts w:ascii="Times New Roman" w:hAnsi="Times New Roman" w:cs="Times New Roman"/>
                <w:b w:val="0"/>
                <w:i w:val="0"/>
                <w:sz w:val="18"/>
              </w:rPr>
              <w:t xml:space="preserve">21.10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D3</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30.10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83.96</w:t>
            </w:r>
          </w:p>
        </w:tc>
        <w:tc>
          <w:tcPr>
            <w:tcW w:type="dxa" w:w="850"/>
          </w:tcPr>
          <w:p>
            <w:pPr>
              <w:jc w:val="center"/>
            </w:pPr>
            <w:r>
              <w:rPr>
                <w:rFonts w:ascii="Times New Roman" w:hAnsi="Times New Roman" w:cs="Times New Roman"/>
                <w:b w:val="0"/>
                <w:i w:val="0"/>
                <w:sz w:val="18"/>
              </w:rPr>
              <w:t xml:space="preserve">20.47</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D4 ★</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79.98</w:t>
            </w:r>
          </w:p>
        </w:tc>
        <w:tc>
          <w:tcPr>
            <w:tcW w:type="dxa" w:w="850"/>
          </w:tcPr>
          <w:p>
            <w:pPr>
              <w:jc w:val="center"/>
            </w:pPr>
            <w:r>
              <w:rPr>
                <w:rFonts w:ascii="Times New Roman" w:hAnsi="Times New Roman" w:cs="Times New Roman"/>
                <w:b w:val="0"/>
                <w:i w:val="0"/>
                <w:sz w:val="18"/>
              </w:rPr>
              <w:t xml:space="preserve">19.78</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D5</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30.20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82.36</w:t>
            </w:r>
          </w:p>
        </w:tc>
        <w:tc>
          <w:tcPr>
            <w:tcW w:type="dxa" w:w="850"/>
          </w:tcPr>
          <w:p>
            <w:pPr>
              <w:jc w:val="center"/>
            </w:pPr>
            <w:r>
              <w:rPr>
                <w:rFonts w:ascii="Times New Roman" w:hAnsi="Times New Roman" w:cs="Times New Roman"/>
                <w:b w:val="0"/>
                <w:i w:val="0"/>
                <w:sz w:val="18"/>
              </w:rPr>
              <w:t xml:space="preserve">20.40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D6</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30.55</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82.13</w:t>
            </w:r>
          </w:p>
        </w:tc>
        <w:tc>
          <w:tcPr>
            <w:tcW w:type="dxa" w:w="850"/>
          </w:tcPr>
          <w:p>
            <w:pPr>
              <w:jc w:val="center"/>
            </w:pPr>
            <w:r>
              <w:rPr>
                <w:rFonts w:ascii="Times New Roman" w:hAnsi="Times New Roman" w:cs="Times New Roman"/>
                <w:b w:val="0"/>
                <w:i w:val="0"/>
                <w:sz w:val="18"/>
              </w:rPr>
              <w:t xml:space="preserve">20.57</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D7</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30.07</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85.01</w:t>
            </w:r>
          </w:p>
        </w:tc>
        <w:tc>
          <w:tcPr>
            <w:tcW w:type="dxa" w:w="850"/>
          </w:tcPr>
          <w:p>
            <w:pPr>
              <w:jc w:val="center"/>
            </w:pPr>
            <w:r>
              <w:rPr>
                <w:rFonts w:ascii="Times New Roman" w:hAnsi="Times New Roman" w:cs="Times New Roman"/>
                <w:b w:val="0"/>
                <w:i w:val="0"/>
                <w:sz w:val="18"/>
              </w:rPr>
              <w:t xml:space="preserve">20.71</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D8</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83.95</w:t>
            </w:r>
          </w:p>
        </w:tc>
        <w:tc>
          <w:tcPr>
            <w:tcW w:type="dxa" w:w="850"/>
          </w:tcPr>
          <w:p>
            <w:pPr>
              <w:jc w:val="center"/>
            </w:pPr>
            <w:r>
              <w:rPr>
                <w:rFonts w:ascii="Times New Roman" w:hAnsi="Times New Roman" w:cs="Times New Roman"/>
                <w:b w:val="0"/>
                <w:i w:val="0"/>
                <w:sz w:val="18"/>
              </w:rPr>
              <w:t xml:space="preserve">20.97</w:t>
            </w:r>
          </w:p>
        </w:tc>
      </w:tr>
    </w:tbl>
    <w:p>
      <w:pPr>
        <w:spacing w:line="360" w:lineRule="auto" w:before="120" w:after="120"/>
        <w:ind w:firstLine="283"/>
        <w:jc w:val="both"/>
      </w:pPr>
      <w:r>
        <w:rPr>
          <w:rFonts w:ascii="Times New Roman" w:hAnsi="Times New Roman"/>
          <w:b w:val="0"/>
          <w:i w:val="0"/>
          <w:sz w:val="24"/>
        </w:rPr>
        <w:t>Although D4 does not exhibit the highest FF among the eight configurations (D7 with Spiro-OMeTAD achieves FF = 85.01%) and does not exhibit the highest PCE (D2 achieves 21.10%), the TiO</w:t>
      </w:r>
      <w:r>
        <w:rPr>
          <w:rFonts w:ascii="Times New Roman" w:hAnsi="Times New Roman"/>
          <w:b w:val="0"/>
          <w:i w:val="0"/>
          <w:sz w:val="24"/>
          <w:vertAlign w:val="subscript"/>
        </w:rPr>
        <w:t>2</w:t>
      </w:r>
      <w:r>
        <w:rPr>
          <w:rFonts w:ascii="Times New Roman" w:hAnsi="Times New Roman"/>
          <w:b w:val="0"/>
          <w:i w:val="0"/>
          <w:sz w:val="24"/>
        </w:rPr>
        <w:t>/CuI combination was selected because CuI offers superior long-term stability, lower fabrication cost, and higher hole mobility compared with the organic Spiro-OMeTAD HTL and with NiO, which is sensitive to moisture and oxygen. The PCE gap between D4 and the highest-performing configurations is approximately 1.3 percentage points, which is recoverable through subsequent parameter optimization. The stability and cost advantages of CuI, by contrast, are structural and cannot be recovered by parameter tuning.</w:t>
      </w:r>
    </w:p>
    <w:p>
      <w:pPr>
        <w:pStyle w:val="Heading2"/>
        <w:keepNext/>
        <w:spacing w:before="120" w:after="40" w:line="360" w:lineRule="auto"/>
      </w:pPr>
      <w:r>
        <w:rPr>
          <w:rFonts w:ascii="Times New Roman" w:hAnsi="Times New Roman" w:cs="Times New Roman"/>
          <w:b/>
          <w:i/>
          <w:sz w:val="24"/>
        </w:rPr>
        <w:t>B. Effect of absorber layer thickness</w:t>
      </w:r>
    </w:p>
    <w:p>
      <w:pPr>
        <w:spacing w:line="360" w:lineRule="auto" w:before="120" w:after="120"/>
        <w:ind w:firstLine="283"/>
        <w:jc w:val="both"/>
      </w:pPr>
      <w:r>
        <w:rPr>
          <w:rFonts w:ascii="Times New Roman" w:hAnsi="Times New Roman"/>
          <w:b w:val="0"/>
          <w:i w:val="0"/>
          <w:sz w:val="24"/>
        </w:rPr>
        <w:t xml:space="preserve">Absorber thickness determines how much incident light is captured and how many carriers are generated. Thicker layers absorb more photons and raise Jsc, but beyond a point recombination offsets the gain.</w:t>
      </w:r>
    </w:p>
    <w:p>
      <w:pPr>
        <w:spacing w:line="360" w:lineRule="auto" w:before="120" w:after="120"/>
        <w:ind w:firstLine="283"/>
        <w:jc w:val="both"/>
      </w:pPr>
      <w:r>
        <w:rPr>
          <w:rFonts w:ascii="Times New Roman" w:hAnsi="Times New Roman"/>
          <w:b w:val="0"/>
          <w:i w:val="0"/>
          <w:sz w:val="24"/>
        </w:rPr>
        <w:t>PCE increases with absorber thickness up to 0.7 µm (20.70%), beyond which it decreases slightly due to increased recombination. J</w:t>
      </w:r>
      <w:r>
        <w:rPr>
          <w:rFonts w:ascii="Times New Roman" w:hAnsi="Times New Roman"/>
          <w:b w:val="0"/>
          <w:i w:val="0"/>
          <w:sz w:val="24"/>
          <w:vertAlign w:val="subscript"/>
        </w:rPr>
        <w:t>sc</w:t>
      </w:r>
      <w:r>
        <w:rPr>
          <w:rFonts w:ascii="Times New Roman" w:hAnsi="Times New Roman"/>
          <w:b w:val="0"/>
          <w:i w:val="0"/>
          <w:sz w:val="24"/>
        </w:rPr>
        <w:t xml:space="preserve"> increases monotonically (28.14 to 34.11 mA/cm²) while V</w:t>
      </w:r>
      <w:r>
        <w:rPr>
          <w:rFonts w:ascii="Times New Roman" w:hAnsi="Times New Roman"/>
          <w:b w:val="0"/>
          <w:i w:val="0"/>
          <w:sz w:val="24"/>
          <w:vertAlign w:val="subscript"/>
        </w:rPr>
        <w:t>oc</w:t>
      </w:r>
      <w:r>
        <w:rPr>
          <w:rFonts w:ascii="Times New Roman" w:hAnsi="Times New Roman"/>
          <w:b w:val="0"/>
          <w:i w:val="0"/>
          <w:sz w:val="24"/>
        </w:rPr>
        <w:t xml:space="preserve"> decreases gradually (0.823 to 0.767 V). The absorber is kept at 0.7 µm, where the PCE peak sits.</w:t>
      </w:r>
    </w:p>
    <w:p>
      <w:pPr>
        <w:keepNext/>
        <w:keepLines/>
        <w:spacing w:before="120" w:after="40"/>
        <w:jc w:val="center"/>
      </w:pPr>
      <w:r>
        <w:drawing>
          <wp:inline xmlns:a="http://schemas.openxmlformats.org/drawingml/2006/main" xmlns:pic="http://schemas.openxmlformats.org/drawingml/2006/picture">
            <wp:extent cx="4680000" cy="2861040"/>
            <wp:docPr id="5" name="Picture 5"/>
            <wp:cNvGraphicFramePr>
              <a:graphicFrameLocks noChangeAspect="1"/>
            </wp:cNvGraphicFramePr>
            <a:graphic>
              <a:graphicData uri="http://schemas.openxmlformats.org/drawingml/2006/picture">
                <pic:pic>
                  <pic:nvPicPr>
                    <pic:cNvPr id="0" name="fig5_absorber_thickness.png"/>
                    <pic:cNvPicPr/>
                  </pic:nvPicPr>
                  <pic:blipFill>
                    <a:blip r:embed="rId15"/>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3.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thickness. PCE peaks at 0.7 µm, beyond which recombination losses reduce efficiency.</w:t>
      </w:r>
    </w:p>
    <w:p>
      <w:pPr>
        <w:pStyle w:val="Heading2"/>
        <w:keepNext/>
        <w:spacing w:before="120" w:after="40" w:line="360" w:lineRule="auto"/>
      </w:pPr>
      <w:r>
        <w:rPr>
          <w:rFonts w:ascii="Times New Roman" w:hAnsi="Times New Roman" w:cs="Times New Roman"/>
          <w:b/>
          <w:i/>
          <w:sz w:val="24"/>
        </w:rPr>
        <w:t>C. Effect of absorber defect density</w:t>
      </w:r>
    </w:p>
    <w:p>
      <w:pPr>
        <w:spacing w:line="360" w:lineRule="auto" w:before="120" w:after="120"/>
        <w:ind w:firstLine="283"/>
        <w:jc w:val="both"/>
      </w:pPr>
      <w:r>
        <w:rPr>
          <w:rFonts w:ascii="Times New Roman" w:hAnsi="Times New Roman"/>
          <w:b w:val="0"/>
          <w:i w:val="0"/>
          <w:sz w:val="24"/>
        </w:rPr>
        <w:t>Bulk defects act as Shockley–Read–Hall (SRH) recombination centers, shortening carrier lifetime and reducing collection efficiency. The RbGeI</w:t>
      </w:r>
      <w:r>
        <w:rPr>
          <w:rFonts w:ascii="Times New Roman" w:hAnsi="Times New Roman"/>
          <w:b w:val="0"/>
          <w:i w:val="0"/>
          <w:sz w:val="24"/>
          <w:vertAlign w:val="subscript"/>
        </w:rPr>
        <w:t>3</w:t>
      </w:r>
      <w:r>
        <w:rPr>
          <w:rFonts w:ascii="Times New Roman" w:hAnsi="Times New Roman"/>
          <w:b w:val="0"/>
          <w:i w:val="0"/>
          <w:sz w:val="24"/>
        </w:rPr>
        <w:t xml:space="preserve"> defect density was varied from 10¹² to 10¹⁸ cm⁻³ while all other parameters were held constant.</w:t>
      </w:r>
    </w:p>
    <w:p>
      <w:pPr>
        <w:spacing w:line="360" w:lineRule="auto" w:before="120" w:after="120"/>
        <w:ind w:firstLine="283"/>
        <w:jc w:val="both"/>
      </w:pPr>
      <w:r>
        <w:rPr>
          <w:rFonts w:ascii="Times New Roman" w:hAnsi="Times New Roman"/>
          <w:b w:val="0"/>
          <w:i w:val="0"/>
          <w:sz w:val="24"/>
        </w:rPr>
        <w:t xml:space="preserve">Above 10¹⁴ cm⁻³, PCE drops from 20.40% to 7.58% as the defect density increases to 10¹⁸ cm⁻³, driven by Voc reduction (0.848 to 0.550 V), while below 10¹⁴ cm⁻³ the device is insensitive. The sweep therefore settles at 10¹⁴ cm⁻³, the bulk defect density commonly assumed for lead-free perovskite absorbers in SCAPS studies.</w:t>
      </w:r>
    </w:p>
    <w:p>
      <w:pPr>
        <w:keepNext/>
        <w:keepLines/>
        <w:spacing w:before="120" w:after="40"/>
        <w:jc w:val="center"/>
      </w:pPr>
      <w:r>
        <w:drawing>
          <wp:inline xmlns:a="http://schemas.openxmlformats.org/drawingml/2006/main" xmlns:pic="http://schemas.openxmlformats.org/drawingml/2006/picture">
            <wp:extent cx="4680000" cy="3087205"/>
            <wp:docPr id="6" name="Picture 6"/>
            <wp:cNvGraphicFramePr>
              <a:graphicFrameLocks noChangeAspect="1"/>
            </wp:cNvGraphicFramePr>
            <a:graphic>
              <a:graphicData uri="http://schemas.openxmlformats.org/drawingml/2006/picture">
                <pic:pic>
                  <pic:nvPicPr>
                    <pic:cNvPr id="0" name="fig6_defect_density.png"/>
                    <pic:cNvPicPr/>
                  </pic:nvPicPr>
                  <pic:blipFill>
                    <a:blip r:embed="rId16"/>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4.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defect density. Performance degrades sharply above 10¹⁴ cm⁻³.</w:t>
      </w:r>
    </w:p>
    <w:p>
      <w:pPr>
        <w:pStyle w:val="Heading2"/>
        <w:keepNext/>
        <w:spacing w:before="120" w:after="40" w:line="360" w:lineRule="auto"/>
      </w:pPr>
      <w:r>
        <w:rPr>
          <w:rFonts w:ascii="Times New Roman" w:hAnsi="Times New Roman" w:cs="Times New Roman"/>
          <w:b/>
          <w:i/>
          <w:sz w:val="24"/>
        </w:rPr>
        <w:t>D. Effect of absorber dielectric constant</w:t>
      </w:r>
    </w:p>
    <w:p>
      <w:pPr>
        <w:spacing w:line="360" w:lineRule="auto" w:before="120" w:after="120"/>
        <w:ind w:firstLine="283"/>
        <w:jc w:val="both"/>
      </w:pPr>
      <w:r>
        <w:rPr>
          <w:rFonts w:ascii="Times New Roman" w:hAnsi="Times New Roman"/>
          <w:b w:val="0"/>
          <w:i w:val="0"/>
          <w:sz w:val="24"/>
        </w:rPr>
        <w:t>The dielectric constant was varied from 15 to 23.1. PCE decreased marginally from 19.92% at ε</w:t>
      </w:r>
      <w:r>
        <w:rPr>
          <w:rFonts w:ascii="Times New Roman" w:hAnsi="Times New Roman"/>
          <w:b w:val="0"/>
          <w:i w:val="0"/>
          <w:sz w:val="24"/>
          <w:vertAlign w:val="subscript"/>
        </w:rPr>
        <w:t>r</w:t>
      </w:r>
      <w:r>
        <w:rPr>
          <w:rFonts w:ascii="Times New Roman" w:hAnsi="Times New Roman"/>
          <w:b w:val="0"/>
          <w:i w:val="0"/>
          <w:sz w:val="24"/>
        </w:rPr>
        <w:t xml:space="preserve"> = 15 to 19.79% at ε</w:t>
      </w:r>
      <w:r>
        <w:rPr>
          <w:rFonts w:ascii="Times New Roman" w:hAnsi="Times New Roman"/>
          <w:b w:val="0"/>
          <w:i w:val="0"/>
          <w:sz w:val="24"/>
          <w:vertAlign w:val="subscript"/>
        </w:rPr>
        <w:t>r</w:t>
      </w:r>
      <w:r>
        <w:rPr>
          <w:rFonts w:ascii="Times New Roman" w:hAnsi="Times New Roman"/>
          <w:b w:val="0"/>
          <w:i w:val="0"/>
          <w:sz w:val="24"/>
        </w:rPr>
        <w:t xml:space="preserve"> = 23.1, driven by a small reduction in V</w:t>
      </w:r>
      <w:r>
        <w:rPr>
          <w:rFonts w:ascii="Times New Roman" w:hAnsi="Times New Roman"/>
          <w:b w:val="0"/>
          <w:i w:val="0"/>
          <w:sz w:val="24"/>
          <w:vertAlign w:val="subscript"/>
        </w:rPr>
        <w:t>oc</w:t>
      </w:r>
      <w:r>
        <w:rPr>
          <w:rFonts w:ascii="Times New Roman" w:hAnsi="Times New Roman"/>
          <w:b w:val="0"/>
          <w:i w:val="0"/>
          <w:sz w:val="24"/>
        </w:rPr>
        <w:t xml:space="preserve"> (0.819 to 0.812 V), while Jsc and FF remained practically unchanged, so the low value of 15 is kept.</w:t>
      </w:r>
      <w:r>
        <w:rPr>
          <w:rFonts w:ascii="Times New Roman" w:hAnsi="Times New Roman"/>
          <w:b w:val="0"/>
          <w:i w:val="0"/>
          <w:sz w:val="24"/>
          <w:vertAlign w:val="subscript"/>
        </w:rPr>
      </w:r>
      <w:r>
        <w:rPr>
          <w:rFonts w:ascii="Times New Roman" w:hAnsi="Times New Roman"/>
          <w:b w:val="0"/>
          <w:i w:val="0"/>
          <w:sz w:val="24"/>
        </w:rPr>
      </w:r>
    </w:p>
    <w:p>
      <w:pPr>
        <w:keepNext/>
        <w:keepLines/>
        <w:jc w:val="center"/>
      </w:pPr>
      <w:r/>
      <w:r>
        <w:drawing>
          <wp:inline xmlns:a="http://schemas.openxmlformats.org/drawingml/2006/main" xmlns:pic="http://schemas.openxmlformats.org/drawingml/2006/picture">
            <wp:extent cx="4457700" cy="2725141"/>
            <wp:docPr id="18" name="Picture 1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457700" cy="2940562"/>
                    </a:xfrm>
                    <a:prstGeom prst="rect"/>
                  </pic:spPr>
                </pic:pic>
              </a:graphicData>
            </a:graphic>
          </wp:inline>
        </w:drawing>
      </w:r>
    </w:p>
    <w:p>
      <w:pPr>
        <w:jc w:val="center"/>
      </w:pPr>
      <w:r>
        <w:rPr>
          <w:sz w:val="20"/>
        </w:rPr>
        <w:t>Fig. 5.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 xml:space="preserve"> absorber dielectric constant. The performance is essentially insensitive to ε</w:t>
      </w:r>
      <w:r>
        <w:rPr>
          <w:sz w:val="20"/>
          <w:vertAlign w:val="subscript"/>
        </w:rPr>
        <w:t>r</w:t>
      </w:r>
      <w:r>
        <w:rPr>
          <w:sz w:val="20"/>
        </w:rPr>
        <w:t xml:space="preserve"> across the investigated range; ε</w:t>
      </w:r>
      <w:r>
        <w:rPr>
          <w:sz w:val="20"/>
          <w:vertAlign w:val="subscript"/>
        </w:rPr>
        <w:t>r</w:t>
      </w:r>
      <w:r>
        <w:rPr>
          <w:sz w:val="20"/>
        </w:rPr>
        <w:t xml:space="preserve"> = 15 is retained.</w:t>
      </w:r>
    </w:p>
    <w:p>
      <w:pPr>
        <w:pStyle w:val="Heading2"/>
        <w:keepNext/>
        <w:spacing w:before="120" w:after="40" w:line="360" w:lineRule="auto"/>
      </w:pPr>
      <w:r>
        <w:rPr>
          <w:rFonts w:ascii="Times New Roman" w:hAnsi="Times New Roman" w:cs="Times New Roman"/>
          <w:b/>
          <w:i/>
          <w:sz w:val="24"/>
        </w:rPr>
        <w:t>E. Effect of absorber electron affinity</w:t>
      </w:r>
    </w:p>
    <w:p>
      <w:pPr>
        <w:spacing w:line="360" w:lineRule="auto" w:before="120" w:after="120"/>
        <w:ind w:firstLine="283"/>
        <w:jc w:val="both"/>
      </w:pPr>
      <w:r>
        <w:rPr>
          <w:rFonts w:ascii="Times New Roman" w:hAnsi="Times New Roman" w:cs="Times New Roman"/>
          <w:b w:val="0"/>
          <w:i w:val="0"/>
          <w:sz w:val="24"/>
        </w:rPr>
        <w:t>Electron affinity governs the energy-band alignment between adjacent layers and therefore controls charge-carrier extraction. It was varied from 3.9 to 4.2 eV with all other parameters held constant.</w:t>
      </w:r>
    </w:p>
    <w:p>
      <w:pPr>
        <w:spacing w:line="360" w:lineRule="auto" w:before="120" w:after="120"/>
        <w:ind w:firstLine="283"/>
        <w:jc w:val="both"/>
      </w:pPr>
      <w:r>
        <w:rPr>
          <w:rFonts w:ascii="Times New Roman" w:hAnsi="Times New Roman"/>
          <w:b w:val="0"/>
          <w:i w:val="0"/>
          <w:sz w:val="24"/>
        </w:rPr>
        <w:t>The highest PCE of 19.79% is achieved at χ = 3.9 eV. V</w:t>
      </w:r>
      <w:r>
        <w:rPr>
          <w:rFonts w:ascii="Times New Roman" w:hAnsi="Times New Roman"/>
          <w:b w:val="0"/>
          <w:i w:val="0"/>
          <w:sz w:val="24"/>
          <w:vertAlign w:val="subscript"/>
        </w:rPr>
        <w:t>oc</w:t>
      </w:r>
      <w:r>
        <w:rPr>
          <w:rFonts w:ascii="Times New Roman" w:hAnsi="Times New Roman"/>
          <w:b w:val="0"/>
          <w:i w:val="0"/>
          <w:sz w:val="24"/>
        </w:rPr>
        <w:t xml:space="preserve"> drops from 0.812 to 0.710 V as χ increases to 4.2 eV, while J</w:t>
      </w:r>
      <w:r>
        <w:rPr>
          <w:rFonts w:ascii="Times New Roman" w:hAnsi="Times New Roman"/>
          <w:b w:val="0"/>
          <w:i w:val="0"/>
          <w:sz w:val="24"/>
          <w:vertAlign w:val="subscript"/>
        </w:rPr>
        <w:t>sc</w:t>
      </w:r>
      <w:r>
        <w:rPr>
          <w:rFonts w:ascii="Times New Roman" w:hAnsi="Times New Roman"/>
          <w:b w:val="0"/>
          <w:i w:val="0"/>
          <w:sz w:val="24"/>
        </w:rPr>
        <w:t xml:space="preserve"> remains constant. χ = 3.9 eV is retained, since raising it costs more in V</w:t>
      </w:r>
      <w:r>
        <w:rPr>
          <w:rFonts w:ascii="Times New Roman" w:hAnsi="Times New Roman"/>
          <w:b w:val="0"/>
          <w:i w:val="0"/>
          <w:sz w:val="24"/>
          <w:vertAlign w:val="subscript"/>
        </w:rPr>
        <w:t>oc</w:t>
      </w:r>
      <w:r>
        <w:rPr>
          <w:rFonts w:ascii="Times New Roman" w:hAnsi="Times New Roman"/>
          <w:b w:val="0"/>
          <w:i w:val="0"/>
          <w:sz w:val="24"/>
        </w:rPr>
        <w:t xml:space="preserve"> than the FF gain recovers.</w:t>
      </w:r>
    </w:p>
    <w:p>
      <w:pPr>
        <w:keepNext/>
        <w:keepLines/>
        <w:spacing w:before="120" w:after="40"/>
        <w:jc w:val="center"/>
      </w:pPr>
      <w:r>
        <w:drawing>
          <wp:inline xmlns:a="http://schemas.openxmlformats.org/drawingml/2006/main" xmlns:pic="http://schemas.openxmlformats.org/drawingml/2006/picture">
            <wp:extent cx="4680000" cy="2861040"/>
            <wp:docPr id="8" name="Picture 8"/>
            <wp:cNvGraphicFramePr>
              <a:graphicFrameLocks noChangeAspect="1"/>
            </wp:cNvGraphicFramePr>
            <a:graphic>
              <a:graphicData uri="http://schemas.openxmlformats.org/drawingml/2006/picture">
                <pic:pic>
                  <pic:nvPicPr>
                    <pic:cNvPr id="0" name="fig8_electron_affinity.png"/>
                    <pic:cNvPicPr/>
                  </pic:nvPicPr>
                  <pic:blipFill>
                    <a:blip r:embed="rId18"/>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6.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electron affinity. PCE is highest at χ = 3.9 eV due to optimal band alignment with TiO</w:t>
      </w:r>
      <w:r>
        <w:rPr>
          <w:rFonts w:ascii="Times New Roman" w:hAnsi="Times New Roman"/>
          <w:b w:val="0"/>
          <w:i/>
          <w:sz w:val="20"/>
          <w:vertAlign w:val="subscript"/>
        </w:rPr>
        <w:t>2</w:t>
      </w:r>
      <w:r>
        <w:rPr>
          <w:rFonts w:ascii="Times New Roman" w:hAnsi="Times New Roman"/>
          <w:b w:val="0"/>
          <w:i/>
          <w:sz w:val="20"/>
        </w:rPr>
        <w:t>.</w:t>
      </w:r>
    </w:p>
    <w:p>
      <w:pPr>
        <w:pStyle w:val="Heading2"/>
        <w:keepNext/>
        <w:spacing w:before="120" w:after="40" w:line="360" w:lineRule="auto"/>
      </w:pPr>
      <w:r>
        <w:rPr>
          <w:rFonts w:ascii="Times New Roman" w:hAnsi="Times New Roman"/>
          <w:b/>
          <w:i/>
          <w:sz w:val="24"/>
        </w:rPr>
        <w:t>F. Effect of TiO</w:t>
      </w:r>
      <w:r>
        <w:rPr>
          <w:rFonts w:ascii="Times New Roman" w:hAnsi="Times New Roman"/>
          <w:b/>
          <w:i/>
          <w:sz w:val="24"/>
          <w:vertAlign w:val="subscript"/>
        </w:rPr>
        <w:t>2</w:t>
      </w:r>
      <w:r>
        <w:rPr>
          <w:rFonts w:ascii="Times New Roman" w:hAnsi="Times New Roman"/>
          <w:b/>
          <w:i/>
          <w:sz w:val="24"/>
        </w:rPr>
        <w:t>/RbGeI</w:t>
      </w:r>
      <w:r>
        <w:rPr>
          <w:rFonts w:ascii="Times New Roman" w:hAnsi="Times New Roman"/>
          <w:b/>
          <w:i/>
          <w:sz w:val="24"/>
          <w:vertAlign w:val="subscript"/>
        </w:rPr>
        <w:t>3</w:t>
      </w:r>
      <w:r>
        <w:rPr>
          <w:rFonts w:ascii="Times New Roman" w:hAnsi="Times New Roman"/>
          <w:b/>
          <w:i/>
          <w:sz w:val="24"/>
        </w:rPr>
        <w:t xml:space="preserve"> interfacial defect density</w:t>
      </w:r>
    </w:p>
    <w:p>
      <w:pPr>
        <w:spacing w:line="360" w:lineRule="auto" w:before="120" w:after="120"/>
        <w:ind w:firstLine="283"/>
        <w:jc w:val="both"/>
      </w:pPr>
      <w:r>
        <w:rPr>
          <w:rFonts w:ascii="Times New Roman" w:hAnsi="Times New Roman"/>
          <w:b w:val="0"/>
          <w:i w:val="0"/>
          <w:sz w:val="24"/>
        </w:rPr>
        <w:t>The defect density at the absorber/ETL interface is an important factor affecting charge-carrier transport and recombination in perovskite solar cells. To investigate its impact,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was varied from 10¹² cm⁻² to 10¹⁸ cm⁻² while keeping all other parameters constant. The corresponding photovoltaic parameters are presented in Figure 7. Device performance falls sharply with increasing interfacial defect density: PCE drops from 21.04% at 10¹² cm⁻² to 8.40% at 10¹⁸ cm⁻², V</w:t>
      </w:r>
      <w:r>
        <w:rPr>
          <w:rFonts w:ascii="Times New Roman" w:hAnsi="Times New Roman"/>
          <w:b w:val="0"/>
          <w:i w:val="0"/>
          <w:sz w:val="24"/>
          <w:vertAlign w:val="subscript"/>
        </w:rPr>
        <w:t>oc</w:t>
      </w:r>
      <w:r>
        <w:rPr>
          <w:rFonts w:ascii="Times New Roman" w:hAnsi="Times New Roman"/>
          <w:b w:val="0"/>
          <w:i w:val="0"/>
          <w:sz w:val="24"/>
        </w:rPr>
        <w:t xml:space="preserve"> drops from 0.827 V to 0.439 V, J</w:t>
      </w:r>
      <w:r>
        <w:rPr>
          <w:rFonts w:ascii="Times New Roman" w:hAnsi="Times New Roman"/>
          <w:b w:val="0"/>
          <w:i w:val="0"/>
          <w:sz w:val="24"/>
          <w:vertAlign w:val="subscript"/>
        </w:rPr>
        <w:t>sc</w:t>
      </w:r>
      <w:r>
        <w:rPr>
          <w:rFonts w:ascii="Times New Roman" w:hAnsi="Times New Roman"/>
          <w:b w:val="0"/>
          <w:i w:val="0"/>
          <w:sz w:val="24"/>
        </w:rPr>
        <w:t xml:space="preserve"> decreases from 30.46 to 28.09 mA/cm², and FF reduces from 83.52% to 68.11%.</w:t>
      </w:r>
    </w:p>
    <w:p>
      <w:pPr>
        <w:spacing w:line="360" w:lineRule="auto" w:before="120" w:after="120"/>
        <w:ind w:firstLine="283"/>
        <w:jc w:val="both"/>
      </w:pPr>
      <w:r>
        <w:rPr>
          <w:rFonts w:ascii="Times New Roman" w:hAnsi="Times New Roman"/>
          <w:b w:val="0"/>
          <w:i w:val="0"/>
          <w:sz w:val="24"/>
        </w:rPr>
        <w:t xml:space="preserve">The degradation is SRH recombination at the heterojunction: more defect states capture photogenerated carriers before they reach the electrodes, and Voc, Jsc, and FF fall together. Although 10¹² cm⁻² yields the best performance, the final device targets 10¹⁴ cm⁻², a realistic fabrication goal, since achieving interface defect densities below 10¹⁴ cm⁻² consistently in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is challenging owing to Ge²⁺ oxidation and moisture sensitivity during film preparation. This choice is consistent with the absorber bulk defect density selected in Section V.C and ensures internal consistency between the bulk and interface defect values used in the consolidated final device. The 10¹⁴ cm⁻² target also matches the interfacial defect density assumed in comparable SCAPS studies of lead-free perovskites.</w:t>
      </w:r>
    </w:p>
    <w:p>
      <w:pPr>
        <w:keepNext/>
        <w:keepLines/>
        <w:spacing w:before="120" w:after="40"/>
        <w:jc w:val="center"/>
      </w:pPr>
      <w:r>
        <w:drawing>
          <wp:inline xmlns:a="http://schemas.openxmlformats.org/drawingml/2006/main" xmlns:pic="http://schemas.openxmlformats.org/drawingml/2006/picture">
            <wp:extent cx="4680000" cy="2861994"/>
            <wp:docPr id="9" name="Picture 9"/>
            <wp:cNvGraphicFramePr>
              <a:graphicFrameLocks noChangeAspect="1"/>
            </wp:cNvGraphicFramePr>
            <a:graphic>
              <a:graphicData uri="http://schemas.openxmlformats.org/drawingml/2006/picture">
                <pic:pic>
                  <pic:nvPicPr>
                    <pic:cNvPr id="0" name="fig9_tio2_interface.png"/>
                    <pic:cNvPicPr/>
                  </pic:nvPicPr>
                  <pic:blipFill>
                    <a:blip r:embed="rId19"/>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 xml:space="preserve">Fig. 7. Variation of PCE, Voc, Jsc, and FF with </w:t>
      </w:r>
      <w:r>
        <w:rPr>
          <w:rFonts w:ascii="Times New Roman" w:hAnsi="Times New Roman"/>
          <w:b w:val="0"/>
          <w:i/>
          <w:sz w:val="20"/>
        </w:rPr>
        <w:t xml:space="preserve">TiO</w:t>
      </w:r>
      <w:r>
        <w:rPr>
          <w:rFonts w:ascii="Times New Roman" w:hAnsi="Times New Roman"/>
          <w:b w:val="0"/>
          <w:i/>
          <w:sz w:val="20"/>
          <w:vertAlign w:val="subscript"/>
        </w:rPr>
        <w:t xml:space="preserve">2</w:t>
      </w:r>
      <w:r>
        <w:rPr>
          <w:rFonts w:ascii="Times New Roman" w:hAnsi="Times New Roman"/>
          <w:b w:val="0"/>
          <w:i/>
          <w:sz w:val="20"/>
        </w:rPr>
        <w:t xml:space="preserve">/</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 interfacial defect density. Performance degrades sharply above 10¹⁴ cm⁻²; the </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/CuI interface (Section V.G) is markedly more defect-tolerant.</w:t>
      </w:r>
    </w:p>
    <w:p>
      <w:pPr>
        <w:pStyle w:val="Heading2"/>
        <w:keepNext/>
        <w:spacing w:before="120" w:after="40" w:line="360" w:lineRule="auto"/>
      </w:pPr>
      <w:r>
        <w:rPr>
          <w:rFonts w:ascii="Times New Roman" w:hAnsi="Times New Roman"/>
          <w:b/>
          <w:i/>
          <w:sz w:val="24"/>
        </w:rPr>
        <w:t>G. Effect of RbGeI</w:t>
      </w:r>
      <w:r>
        <w:rPr>
          <w:rFonts w:ascii="Times New Roman" w:hAnsi="Times New Roman"/>
          <w:b/>
          <w:i/>
          <w:sz w:val="24"/>
          <w:vertAlign w:val="subscript"/>
        </w:rPr>
        <w:t>3</w:t>
      </w:r>
      <w:r>
        <w:rPr>
          <w:rFonts w:ascii="Times New Roman" w:hAnsi="Times New Roman"/>
          <w:b/>
          <w:i/>
          <w:sz w:val="24"/>
        </w:rPr>
        <w:t>/CuI interfacial defect density</w:t>
      </w:r>
    </w:p>
    <w:p>
      <w:pPr>
        <w:spacing w:line="360" w:lineRule="auto" w:before="120" w:after="120"/>
        <w:ind w:firstLine="283"/>
        <w:jc w:val="both"/>
      </w:pPr>
      <w:r>
        <w:rPr>
          <w:rFonts w:ascii="Times New Roman" w:hAnsi="Times New Roman"/>
          <w:b w:val="0"/>
          <w:i w:val="0"/>
          <w:sz w:val="24"/>
        </w:rPr>
        <w:t>The defect density at the RbGeI</w:t>
      </w:r>
      <w:r>
        <w:rPr>
          <w:rFonts w:ascii="Times New Roman" w:hAnsi="Times New Roman"/>
          <w:b w:val="0"/>
          <w:i w:val="0"/>
          <w:sz w:val="24"/>
          <w:vertAlign w:val="subscript"/>
        </w:rPr>
        <w:t>3</w:t>
      </w:r>
      <w:r>
        <w:rPr>
          <w:rFonts w:ascii="Times New Roman" w:hAnsi="Times New Roman"/>
          <w:b w:val="0"/>
          <w:i w:val="0"/>
          <w:sz w:val="24"/>
        </w:rPr>
        <w:t>/CuI heterojunction was varied from 10¹² to 10¹⁸ cm⁻² while all other parameters were held constant. In contrast to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vertAlign w:val="subscript"/>
        </w:rPr>
      </w:r>
      <w:r>
        <w:rPr>
          <w:rFonts w:ascii="Times New Roman" w:hAnsi="Times New Roman"/>
          <w:b w:val="0"/>
          <w:i w:val="0"/>
          <w:sz w:val="24"/>
        </w:rPr>
        <w:t>: PCE decreased only from 19.79% to 18.19% as the interfacial defect density increased from 10¹² to 10¹⁸ cm⁻². This confirms that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is the performance-limiting heterojunction in this device. The final device uses 10¹⁴ cm⁻² here as well, matching the value set 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(Section V.F).</w:t>
      </w:r>
      <w:r>
        <w:rPr>
          <w:rFonts w:ascii="Times New Roman" w:hAnsi="Times New Roman"/>
          <w:b w:val="0"/>
          <w:i w:val="0"/>
          <w:sz w:val="24"/>
        </w:rPr>
        <w:t xml:space="preserve"> interface,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 interface is far more defect-tolerant</w:t>
      </w:r>
    </w:p>
    <w:p>
      <w:pPr>
        <w:keepNext/>
        <w:keepLines/>
        <w:jc w:val="center"/>
      </w:pPr>
      <w:r/>
      <w:r>
        <w:drawing>
          <wp:inline xmlns:a="http://schemas.openxmlformats.org/drawingml/2006/main" xmlns:pic="http://schemas.openxmlformats.org/drawingml/2006/picture">
            <wp:extent cx="4457700" cy="2725141"/>
            <wp:docPr id="19" name="Picture 1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457700" cy="2940562"/>
                    </a:xfrm>
                    <a:prstGeom prst="rect"/>
                  </pic:spPr>
                </pic:pic>
              </a:graphicData>
            </a:graphic>
          </wp:inline>
        </w:drawing>
      </w:r>
    </w:p>
    <w:p>
      <w:pPr>
        <w:jc w:val="center"/>
      </w:pPr>
      <w:r>
        <w:rPr>
          <w:sz w:val="20"/>
        </w:rPr>
        <w:t>Fig. 8.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/CuI interfacial defect density. The interface is markedly more defect-tolerant than the TiO</w:t>
      </w:r>
      <w:r>
        <w:rPr>
          <w:sz w:val="20"/>
          <w:vertAlign w:val="subscript"/>
        </w:rPr>
        <w:t>2</w:t>
      </w:r>
      <w:r>
        <w:rPr>
          <w:sz w:val="20"/>
        </w:rPr>
        <w:t>/RbGeI</w:t>
      </w:r>
      <w:r>
        <w:rPr>
          <w:sz w:val="20"/>
          <w:vertAlign w:val="subscript"/>
        </w:rPr>
        <w:t>3</w:t>
      </w:r>
      <w:r>
        <w:rPr>
          <w:sz w:val="20"/>
        </w:rPr>
        <w:t xml:space="preserve"> interface; 10¹⁴ cm⁻² is retained.</w:t>
      </w:r>
    </w:p>
    <w:p>
      <w:pPr>
        <w:pStyle w:val="Heading2"/>
        <w:keepNext/>
        <w:spacing w:before="120" w:after="40" w:line="360" w:lineRule="auto"/>
      </w:pPr>
      <w:r>
        <w:rPr>
          <w:rFonts w:ascii="Times New Roman" w:hAnsi="Times New Roman" w:cs="Times New Roman"/>
          <w:b/>
          <w:i/>
          <w:sz w:val="24"/>
        </w:rPr>
        <w:t>H. Effect of absorber bandgap</w:t>
      </w:r>
    </w:p>
    <w:p>
      <w:pPr>
        <w:spacing w:line="360" w:lineRule="auto" w:before="120" w:after="120"/>
        <w:ind w:firstLine="283"/>
        <w:jc w:val="both"/>
      </w:pPr>
      <w:r>
        <w:rPr>
          <w:rFonts w:ascii="Times New Roman" w:hAnsi="Times New Roman"/>
          <w:b w:val="0"/>
          <w:i w:val="0"/>
          <w:sz w:val="24"/>
        </w:rPr>
        <w:t>The absorber bandgap determines which wavelengths of sunlight are absorbed. It was varied from 1.3 to 1.7 eV with all other parameters held constant. V</w:t>
      </w:r>
      <w:r>
        <w:rPr>
          <w:rFonts w:ascii="Times New Roman" w:hAnsi="Times New Roman"/>
          <w:b w:val="0"/>
          <w:i w:val="0"/>
          <w:sz w:val="24"/>
          <w:vertAlign w:val="subscript"/>
        </w:rPr>
        <w:t>o</w:t>
      </w:r>
      <w:r>
        <w:rPr>
          <w:rFonts w:ascii="Times New Roman" w:hAnsi="Times New Roman"/>
          <w:b w:val="0"/>
          <w:i w:val="0"/>
          <w:sz w:val="24"/>
        </w:rPr>
        <w:t>c rose from 0.840 V at 1.3 eV to 1.002 V at 1.7 eV, as expected from increased quasi-Fermi-level splitting, while J</w:t>
      </w:r>
      <w:r>
        <w:rPr>
          <w:rFonts w:ascii="Times New Roman" w:hAnsi="Times New Roman"/>
          <w:b w:val="0"/>
          <w:i w:val="0"/>
          <w:sz w:val="24"/>
          <w:vertAlign w:val="subscript"/>
        </w:rPr>
        <w:t>s</w:t>
      </w:r>
      <w:r>
        <w:rPr>
          <w:rFonts w:ascii="Times New Roman" w:hAnsi="Times New Roman"/>
          <w:b w:val="0"/>
          <w:i w:val="0"/>
          <w:sz w:val="24"/>
        </w:rPr>
        <w:t>c dropped from 33.59 to 20.30 mA/cm² because the wider gap excludes more of the solar spectrum.</w:t>
      </w:r>
    </w:p>
    <w:p>
      <w:pPr>
        <w:spacing w:line="360" w:lineRule="auto" w:before="120" w:after="120"/>
        <w:ind w:firstLine="283"/>
        <w:jc w:val="both"/>
      </w:pPr>
      <w:r>
        <w:rPr>
          <w:rFonts w:ascii="Times New Roman" w:hAnsi="Times New Roman" w:cs="Times New Roman"/>
          <w:b w:val="0"/>
          <w:i w:val="0"/>
          <w:sz w:val="24"/>
        </w:rPr>
        <w:t xml:space="preserve">The maximum thus sits at 1.4 eV, within 0.06 eV of the Shockley–Queisser (SQ) optimum of ≈1.34 eV for a single junction [35,36,37], so 1.4 eV is kept; tabulated SQ limits imply an ideal Jsc of ≈29.0 mA/cm² and a maximum efficiency of ≈33% at this bandgap [36]. On both sides of the SQ optimum the limiting efficiency declines, steeply for wider bandgaps because fewer photons are absorbed [36,37]: a 2.0 eV absorber would shift its absorption edge to λc ≈ 620 nm and exclude most of the visible spectrum, and our sweep already shows Jsc falling to 20.30 mA/cm² at 1.7 eV, whereas at 1.3 eV the higher Jsc (33.59 mA/cm²) does not offset the Voc loss (0.840 V). The corresponding cutoff wavelength is λc = 1240 / 1.4 ≈ 886 nm, consistent with the absorption edge observed in the quantum-efficiency spectrum of Section V.M. Note that the consolidated final device applies an absorption grading across the absorber layer (absorption cutoff graded from ≈885.7 nm at the front to ≈1033.3 nm at the back in seven linear steps): the electrical bandgap remains 1.4 eV, which sets Voc, while the effective absorption cutoff extends toward 1.2 eV and increases Jsc by ≈3 mA/cm² relative to a uniform 1.4 eV absorption model.</w:t>
      </w:r>
    </w:p>
    <w:p>
      <w:pPr>
        <w:keepNext/>
        <w:keepLines/>
        <w:spacing w:before="120" w:after="40"/>
        <w:jc w:val="center"/>
      </w:pPr>
      <w:r>
        <w:drawing>
          <wp:inline xmlns:a="http://schemas.openxmlformats.org/drawingml/2006/main" xmlns:pic="http://schemas.openxmlformats.org/drawingml/2006/picture">
            <wp:extent cx="4680000" cy="3087205"/>
            <wp:docPr id="11" name="Picture 11"/>
            <wp:cNvGraphicFramePr>
              <a:graphicFrameLocks noChangeAspect="1"/>
            </wp:cNvGraphicFramePr>
            <a:graphic>
              <a:graphicData uri="http://schemas.openxmlformats.org/drawingml/2006/picture">
                <pic:pic>
                  <pic:nvPicPr>
                    <pic:cNvPr id="0" name="fig11_bandgap.png"/>
                    <pic:cNvPicPr/>
                  </pic:nvPicPr>
                  <pic:blipFill>
                    <a:blip r:embed="rId21"/>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9.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bandgap. PCE peaks at 1.4 eV, close to the Shockley–Queisser optimum.</w:t>
      </w:r>
    </w:p>
    <w:p>
      <w:pPr>
        <w:pStyle w:val="Heading2"/>
        <w:keepNext/>
        <w:spacing w:before="120" w:after="40" w:line="360" w:lineRule="auto"/>
      </w:pPr>
      <w:r>
        <w:rPr>
          <w:rFonts w:ascii="Times New Roman" w:hAnsi="Times New Roman"/>
          <w:b/>
          <w:i/>
          <w:sz w:val="24"/>
        </w:rPr>
        <w:t>I. Effect of TiO</w:t>
      </w:r>
      <w:r>
        <w:rPr>
          <w:rFonts w:ascii="Times New Roman" w:hAnsi="Times New Roman"/>
          <w:b/>
          <w:i/>
          <w:sz w:val="24"/>
          <w:vertAlign w:val="subscript"/>
        </w:rPr>
        <w:t>2</w:t>
      </w:r>
      <w:r>
        <w:rPr>
          <w:rFonts w:ascii="Times New Roman" w:hAnsi="Times New Roman"/>
          <w:b/>
          <w:i/>
          <w:sz w:val="24"/>
        </w:rPr>
        <w:t xml:space="preserve"> ETL thickness</w:t>
      </w:r>
    </w:p>
    <w:p>
      <w:pPr>
        <w:spacing w:line="360" w:lineRule="auto" w:before="120" w:after="120"/>
        <w:ind w:firstLine="283"/>
        <w:jc w:val="both"/>
      </w:pP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thickness affects electron extraction, carrier transport, and optical transmission. It was varied from 0.01 to 0.09 µm with all other parameters held constant. PCE was highest at 10 nm (21.12%), declining to a local minimum of 18.72% at 0.04 µm before partially recovering to 19.97% at 0.09 µm. Thin (≤50 nm)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ETLs are typical in comparable planar SCAPS studies, where thicker ETLs add series resistance and parasitic absorption.</w:t>
      </w:r>
    </w:p>
    <w:p>
      <w:pPr>
        <w:keepNext/>
        <w:keepLines/>
        <w:spacing w:before="120" w:after="40"/>
        <w:jc w:val="center"/>
      </w:pPr>
      <w:r>
        <w:drawing>
          <wp:inline xmlns:a="http://schemas.openxmlformats.org/drawingml/2006/main" xmlns:pic="http://schemas.openxmlformats.org/drawingml/2006/picture">
            <wp:extent cx="4680000" cy="2861040"/>
            <wp:docPr id="12" name="Picture 12"/>
            <wp:cNvGraphicFramePr>
              <a:graphicFrameLocks noChangeAspect="1"/>
            </wp:cNvGraphicFramePr>
            <a:graphic>
              <a:graphicData uri="http://schemas.openxmlformats.org/drawingml/2006/picture">
                <pic:pic>
                  <pic:nvPicPr>
                    <pic:cNvPr id="0" name="fig12_etl_thickness.png"/>
                    <pic:cNvPicPr/>
                  </pic:nvPicPr>
                  <pic:blipFill>
                    <a:blip r:embed="rId22"/>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10.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TiO</w:t>
      </w:r>
      <w:r>
        <w:rPr>
          <w:rFonts w:ascii="Times New Roman" w:hAnsi="Times New Roman"/>
          <w:b w:val="0"/>
          <w:i/>
          <w:sz w:val="20"/>
          <w:vertAlign w:val="subscript"/>
        </w:rPr>
        <w:t>2</w:t>
      </w:r>
      <w:r>
        <w:rPr>
          <w:rFonts w:ascii="Times New Roman" w:hAnsi="Times New Roman"/>
          <w:b w:val="0"/>
          <w:i/>
          <w:sz w:val="20"/>
        </w:rPr>
        <w:t xml:space="preserve"> ETL thickness. PCE is highest at the thinnest ETL (10 nm), reflecting the shorter electron transport path.</w:t>
      </w:r>
    </w:p>
    <w:p>
      <w:pPr>
        <w:pStyle w:val="Heading2"/>
        <w:keepNext/>
        <w:spacing w:before="120" w:after="40" w:line="360" w:lineRule="auto"/>
      </w:pPr>
      <w:r>
        <w:rPr>
          <w:rFonts w:ascii="Times New Roman" w:hAnsi="Times New Roman" w:cs="Times New Roman"/>
          <w:b/>
          <w:i/>
          <w:sz w:val="24"/>
        </w:rPr>
        <w:t>J. Effect of CuI HTL thickness</w:t>
      </w:r>
    </w:p>
    <w:p>
      <w:pPr>
        <w:spacing w:line="360" w:lineRule="auto" w:before="120" w:after="120"/>
        <w:ind w:firstLine="283"/>
        <w:jc w:val="both"/>
      </w:pPr>
      <w:r>
        <w:rPr>
          <w:rFonts w:ascii="Times New Roman" w:hAnsi="Times New Roman"/>
          <w:b w:val="0"/>
          <w:i w:val="0"/>
          <w:sz w:val="24"/>
        </w:rPr>
        <w:t xml:space="preserve">The CuI HTL thickness was swept from 0.1 to 1.9 µm. The effect on device performance was negligible: PCE varied by less than 0.002 percentage points, and Voc, Jsc, and FF were essentially constant. A thickness of 100 nm was selected to minimize material usage. This lies at the lower end of the 0.1–1.0 µm HTL thickness range explored in comparable studies, which likewise reported a weak thickness dependence.</w:t>
      </w:r>
    </w:p>
    <w:p>
      <w:pPr>
        <w:keepNext/>
        <w:keepLines/>
        <w:jc w:val="center"/>
      </w:pPr>
      <w:r/>
      <w:r>
        <w:drawing>
          <wp:inline xmlns:a="http://schemas.openxmlformats.org/drawingml/2006/main" xmlns:pic="http://schemas.openxmlformats.org/drawingml/2006/picture">
            <wp:extent cx="4457700" cy="2725141"/>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457700" cy="2940562"/>
                    </a:xfrm>
                    <a:prstGeom prst="rect"/>
                  </pic:spPr>
                </pic:pic>
              </a:graphicData>
            </a:graphic>
          </wp:inline>
        </w:drawing>
      </w:r>
    </w:p>
    <w:p>
      <w:pPr>
        <w:jc w:val="center"/>
      </w:pPr>
      <w:r>
        <w:rPr>
          <w:sz w:val="20"/>
        </w:rPr>
        <w:t>Fig. 11. Variation of PCE, V</w:t>
      </w:r>
      <w:r>
        <w:rPr>
          <w:sz w:val="20"/>
          <w:vertAlign w:val="subscript"/>
        </w:rPr>
        <w:t>oc</w:t>
      </w:r>
      <w:r>
        <w:rPr>
          <w:sz w:val="20"/>
        </w:rPr>
        <w:t>, J</w:t>
      </w:r>
      <w:r>
        <w:rPr>
          <w:sz w:val="20"/>
          <w:vertAlign w:val="subscript"/>
        </w:rPr>
        <w:t>sc</w:t>
      </w:r>
      <w:r>
        <w:rPr>
          <w:sz w:val="20"/>
        </w:rPr>
        <w:t>, and FF with CuI HTL thickness. The performance is essentially independent of HTL thickness; 100 nm is retained to minimise material usage.</w:t>
      </w:r>
    </w:p>
    <w:p>
      <w:pPr>
        <w:pStyle w:val="Heading2"/>
        <w:keepNext/>
        <w:spacing w:before="120" w:after="40" w:line="360" w:lineRule="auto"/>
      </w:pPr>
      <w:r>
        <w:rPr>
          <w:rFonts w:ascii="Times New Roman" w:hAnsi="Times New Roman"/>
          <w:b/>
          <w:i/>
          <w:sz w:val="24"/>
        </w:rPr>
        <w:t>K. Effect of conduction-band effective density of states N</w:t>
      </w:r>
      <w:r>
        <w:rPr>
          <w:rFonts w:ascii="Times New Roman" w:hAnsi="Times New Roman"/>
          <w:b/>
          <w:i/>
          <w:sz w:val="24"/>
          <w:vertAlign w:val="subscript"/>
        </w:rPr>
        <w:t>C</w:t>
      </w:r>
    </w:p>
    <w:p>
      <w:pPr>
        <w:spacing w:line="360" w:lineRule="auto" w:before="120" w:after="120"/>
        <w:ind w:firstLine="283"/>
        <w:jc w:val="both"/>
      </w:pPr>
      <w:r>
        <w:rPr>
          <w:rFonts w:ascii="Times New Roman" w:hAnsi="Times New Roman"/>
          <w:b w:val="0"/>
          <w:i w:val="0"/>
          <w:sz w:val="24"/>
        </w:rPr>
        <w:t xml:space="preserve">NC was varied from 1×10¹⁷ to 1×10²⁰ cm⁻³. PCE decreased monotonically from 20.65% to 18.15%, driven by a drop in Voc (0.859 to 0.764 V), while Jsc remained constant at ~30.46 mA/cm². The lowest NC in the sweep, 1×10¹⁷ cm⁻³, is used in the final device. Effective densities of states of ≈10¹⁸ cm⁻³ are commonly assumed for lead-free perovskite absorbers in SCAPS studies; lowering NC reduces the intrinsic carrier density and thereby raises Voc, so the sweep optimum is retained.</w:t>
      </w:r>
    </w:p>
    <w:p>
      <w:pPr>
        <w:keepNext/>
        <w:keepLines/>
        <w:jc w:val="center"/>
      </w:pPr>
      <w:r/>
      <w:r>
        <w:drawing>
          <wp:inline xmlns:a="http://schemas.openxmlformats.org/drawingml/2006/main" xmlns:pic="http://schemas.openxmlformats.org/drawingml/2006/picture">
            <wp:extent cx="4457700" cy="2725141"/>
            <wp:docPr id="21" name="Picture 2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457700" cy="2940562"/>
                    </a:xfrm>
                    <a:prstGeom prst="rect"/>
                  </pic:spPr>
                </pic:pic>
              </a:graphicData>
            </a:graphic>
          </wp:inline>
        </w:drawing>
      </w:r>
    </w:p>
    <w:p>
      <w:pPr>
        <w:jc w:val="center"/>
      </w:pPr>
      <w:r>
        <w:rPr>
          <w:sz w:val="20"/>
        </w:rPr>
        <w:t>Fig. 12. Variation of PCE, V</w:t>
      </w:r>
      <w:r>
        <w:rPr>
          <w:sz w:val="20"/>
          <w:vertAlign w:val="subscript"/>
        </w:rPr>
        <w:t>oc</w:t>
      </w:r>
      <w:r>
        <w:rPr>
          <w:sz w:val="20"/>
        </w:rPr>
        <w:t>, J</w:t>
      </w:r>
      <w:r>
        <w:rPr>
          <w:sz w:val="20"/>
          <w:vertAlign w:val="subscript"/>
        </w:rPr>
        <w:t>sc</w:t>
      </w:r>
      <w:r>
        <w:rPr>
          <w:sz w:val="20"/>
        </w:rPr>
        <w:t>, and FF with conduction-band effective density of states N</w:t>
      </w:r>
      <w:r>
        <w:rPr>
          <w:sz w:val="20"/>
          <w:vertAlign w:val="subscript"/>
        </w:rPr>
        <w:t>C</w:t>
      </w:r>
      <w:r>
        <w:rPr>
          <w:sz w:val="20"/>
        </w:rPr>
        <w:t>. Lower N</w:t>
      </w:r>
      <w:r>
        <w:rPr>
          <w:sz w:val="20"/>
          <w:vertAlign w:val="subscript"/>
        </w:rPr>
        <w:t>C</w:t>
      </w:r>
      <w:r>
        <w:rPr>
          <w:sz w:val="20"/>
        </w:rPr>
        <w:t xml:space="preserve"> is preferred; the best value of 10¹⁷ cm⁻³ is retained.</w:t>
      </w:r>
    </w:p>
    <w:p>
      <w:pPr>
        <w:pStyle w:val="Heading2"/>
        <w:keepNext/>
        <w:spacing w:before="120" w:after="40" w:line="360" w:lineRule="auto"/>
      </w:pPr>
      <w:r>
        <w:rPr>
          <w:rFonts w:ascii="Times New Roman" w:hAnsi="Times New Roman"/>
          <w:b/>
          <w:i/>
          <w:sz w:val="24"/>
        </w:rPr>
        <w:t>L. Effect of valence-band effective density of states N</w:t>
      </w:r>
      <w:r>
        <w:rPr>
          <w:rFonts w:ascii="Times New Roman" w:hAnsi="Times New Roman"/>
          <w:b/>
          <w:i/>
          <w:sz w:val="24"/>
          <w:vertAlign w:val="subscript"/>
        </w:rPr>
        <w:t>V</w:t>
      </w:r>
    </w:p>
    <w:p>
      <w:pPr>
        <w:spacing w:line="360" w:lineRule="auto" w:before="120" w:after="120"/>
        <w:ind w:firstLine="283"/>
        <w:jc w:val="both"/>
      </w:pPr>
      <w:r>
        <w:rPr>
          <w:rFonts w:ascii="Times New Roman" w:hAnsi="Times New Roman"/>
          <w:b w:val="0"/>
          <w:i w:val="0"/>
          <w:sz w:val="24"/>
        </w:rPr>
        <w:t xml:space="preserve">NV was varied from 1×10¹⁷ to 1×10²⁰ cm⁻³. PCE decreased from 23.54% to 18.86% as Voc dropped from 0.945 to 0.780 V, with Jsc unchanged. The effect was stronger than for NC, and the lowest value again performs best. NV = 1×10¹⁷ cm⁻³ is therefore retained.</w:t>
      </w:r>
    </w:p>
    <w:p>
      <w:pPr>
        <w:keepNext/>
        <w:keepLines/>
        <w:jc w:val="center"/>
      </w:pPr>
      <w:r/>
      <w:r>
        <w:drawing>
          <wp:inline xmlns:a="http://schemas.openxmlformats.org/drawingml/2006/main" xmlns:pic="http://schemas.openxmlformats.org/drawingml/2006/picture">
            <wp:extent cx="4457700" cy="2726049"/>
            <wp:docPr id="22" name="Picture 2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457700" cy="2940562"/>
                    </a:xfrm>
                    <a:prstGeom prst="rect"/>
                  </pic:spPr>
                </pic:pic>
              </a:graphicData>
            </a:graphic>
          </wp:inline>
        </w:drawing>
      </w:r>
    </w:p>
    <w:p>
      <w:pPr>
        <w:jc w:val="center"/>
      </w:pPr>
      <w:r>
        <w:rPr>
          <w:sz w:val="20"/>
        </w:rPr>
        <w:t>Fig. 13. Variation of PCE, V</w:t>
      </w:r>
      <w:r>
        <w:rPr>
          <w:sz w:val="20"/>
          <w:vertAlign w:val="subscript"/>
        </w:rPr>
        <w:t>oc</w:t>
      </w:r>
      <w:r>
        <w:rPr>
          <w:sz w:val="20"/>
        </w:rPr>
        <w:t>, J</w:t>
      </w:r>
      <w:r>
        <w:rPr>
          <w:sz w:val="20"/>
          <w:vertAlign w:val="subscript"/>
        </w:rPr>
        <w:t>sc</w:t>
      </w:r>
      <w:r>
        <w:rPr>
          <w:sz w:val="20"/>
        </w:rPr>
        <w:t>, and FF with valence-band effective density of states N</w:t>
      </w:r>
      <w:r>
        <w:rPr>
          <w:sz w:val="20"/>
          <w:vertAlign w:val="subscript"/>
        </w:rPr>
        <w:t>V</w:t>
      </w:r>
      <w:r>
        <w:rPr>
          <w:sz w:val="20"/>
        </w:rPr>
        <w:t>. The effect is more pronounced than for N</w:t>
      </w:r>
      <w:r>
        <w:rPr>
          <w:sz w:val="20"/>
          <w:vertAlign w:val="subscript"/>
        </w:rPr>
        <w:t>C</w:t>
      </w:r>
      <w:r>
        <w:rPr>
          <w:sz w:val="20"/>
        </w:rPr>
        <w:t>; the best value of 10¹⁷ cm⁻³ is retained.</w:t>
      </w:r>
    </w:p>
    <w:p>
      <w:pPr>
        <w:pStyle w:val="Heading2"/>
        <w:keepNext/>
        <w:spacing w:before="120" w:after="40" w:line="360" w:lineRule="auto"/>
      </w:pPr>
      <w:r>
        <w:rPr>
          <w:rFonts w:ascii="Times New Roman" w:hAnsi="Times New Roman" w:cs="Times New Roman"/>
          <w:b/>
          <w:i/>
          <w:sz w:val="24"/>
        </w:rPr>
        <w:t>M. Quantum efficiency analysis</w:t>
      </w:r>
    </w:p>
    <w:p>
      <w:pPr>
        <w:spacing w:line="360" w:lineRule="auto" w:before="120" w:after="120"/>
        <w:ind w:firstLine="283"/>
        <w:jc w:val="both"/>
      </w:pPr>
      <w:r>
        <w:rPr>
          <w:rFonts w:ascii="Times New Roman" w:hAnsi="Times New Roman" w:cs="Times New Roman"/>
          <w:b w:val="0"/>
          <w:i w:val="0"/>
          <w:sz w:val="24"/>
        </w:rPr>
        <w:t xml:space="preserve">The quantum efficiency spectrum of the optimized device (Figure 14) shows the ratio of collected carriers to incident photons across wavelength. QE rises from 34.52% at 300 nm to 49.18% at 350 nm and reaches approximately 100% at 400 nm. The lower ultraviolet QE reflects surface recombination: high-energy photons are absorbed near the front interface, where some carriers recombine before collection [21,38].</w:t>
      </w:r>
    </w:p>
    <w:p>
      <w:pPr>
        <w:spacing w:line="360" w:lineRule="auto" w:before="120" w:after="120"/>
        <w:ind w:firstLine="283"/>
        <w:jc w:val="both"/>
      </w:pPr>
      <w:r>
        <w:rPr>
          <w:rFonts w:ascii="Times New Roman" w:hAnsi="Times New Roman" w:cs="Times New Roman"/>
          <w:b w:val="0"/>
          <w:i w:val="0"/>
          <w:sz w:val="24"/>
        </w:rPr>
        <w:t>QE remains near 100% between 400 and 650 nm, indicating excellent visible-range absorption. Beyond 650 nm, QE declines to 76% at 850 nm. A sharp cutoff near 900 nm corresponds to the absorber bandgap of 1.4 eV (λc ≈ 886 nm). Integrating the QE spectrum yields ≈23.3 mA/cm², which differs from the J–V short-circuit density of 30.32 mA/cm² because the QE spectrum was computed with a uniform absorption model, whereas the consolidated final device uses the graded absorption profile described in Section V.H; the two values therefore correspond to different absorption models.</w:t>
      </w:r>
    </w:p>
    <w:p>
      <w:pPr>
        <w:keepNext/>
        <w:keepLines/>
        <w:spacing w:before="120" w:after="40"/>
        <w:jc w:val="center"/>
      </w:pPr>
      <w:r>
        <w:drawing>
          <wp:inline xmlns:a="http://schemas.openxmlformats.org/drawingml/2006/main" xmlns:pic="http://schemas.openxmlformats.org/drawingml/2006/picture">
            <wp:extent cx="4680000" cy="3089812"/>
            <wp:docPr id="16" name="Picture 16"/>
            <wp:cNvGraphicFramePr>
              <a:graphicFrameLocks noChangeAspect="1"/>
            </wp:cNvGraphicFramePr>
            <a:graphic>
              <a:graphicData uri="http://schemas.openxmlformats.org/drawingml/2006/picture">
                <pic:pic>
                  <pic:nvPicPr>
                    <pic:cNvPr id="0" name="fig16_qe_spectrum.png"/>
                    <pic:cNvPicPr/>
                  </pic:nvPicPr>
                  <pic:blipFill>
                    <a:blip r:embed="rId26"/>
                    <a:stretch>
                      <a:fillRect/>
                    </a:stretch>
                  </pic:blipFill>
                  <pic:spPr>
                    <a:xfrm>
                      <a:off x="0" y="0"/>
                      <a:ext cx="4680000" cy="3089812"/>
                    </a:xfrm>
                    <a:prstGeom prst="rect"/>
                  </pic:spPr>
                </pic:pic>
              </a:graphicData>
            </a:graphic>
          </wp:inline>
        </w:drawing>
      </w:r>
    </w:p>
    <w:p>
      <w:pPr>
        <w:spacing w:before="80" w:after="240"/>
        <w:jc w:val="center"/>
      </w:pPr>
      <w:r>
        <w:rPr>
          <w:rFonts w:ascii="Times New Roman" w:hAnsi="Times New Roman" w:cs="Times New Roman"/>
          <w:b w:val="0"/>
          <w:i/>
          <w:sz w:val="20"/>
        </w:rPr>
        <w:t>Fig. 14. Variation of quantum efficiency (QE) with incident wavelength of the optimized solar cell. The cutoff at ≈886 nm corresponds to the absorber bandgap of 1.4 eV.</w:t>
      </w:r>
    </w:p>
    <w:p>
      <w:pPr>
        <w:pStyle w:val="Heading2"/>
        <w:keepNext/>
        <w:spacing w:before="120" w:after="40" w:line="360" w:lineRule="auto"/>
      </w:pPr>
      <w:r>
        <w:rPr>
          <w:rFonts w:ascii="Times New Roman" w:hAnsi="Times New Roman" w:cs="Times New Roman"/>
          <w:b/>
          <w:i/>
          <w:sz w:val="24"/>
        </w:rPr>
        <w:t>N. Energy band diagram analysis</w:t>
      </w:r>
    </w:p>
    <w:p>
      <w:pPr>
        <w:spacing w:line="360" w:lineRule="auto" w:before="120" w:after="120"/>
        <w:ind w:firstLine="283"/>
        <w:jc w:val="both"/>
      </w:pPr>
      <w:r>
        <w:rPr>
          <w:rFonts w:ascii="Times New Roman" w:hAnsi="Times New Roman"/>
          <w:b w:val="0"/>
          <w:i w:val="0"/>
          <w:sz w:val="24"/>
        </w:rPr>
        <w:t xml:space="preserve">The equilibrium band diagram (Figure 15) shows the energy alignment across the device: the 1.8 eV conduction-band offset at CuI/</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blocks electron leakage to the back contact, while the 0.1 eV offset at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facilitates electron extraction; both interfaces are thus electronically well passivated.</w:t>
      </w:r>
    </w:p>
    <w:p>
      <w:pPr>
        <w:spacing w:line="360" w:lineRule="auto" w:before="120" w:after="120"/>
        <w:ind w:firstLine="283"/>
        <w:jc w:val="both"/>
      </w:pPr>
      <w:r>
        <w:rPr>
          <w:rFonts w:ascii="Times New Roman" w:hAnsi="Times New Roman"/>
          <w:b w:val="0"/>
          <w:i w:val="0"/>
          <w:sz w:val="24"/>
        </w:rPr>
        <w:t>The CuI/RbGeI</w:t>
      </w:r>
      <w:r>
        <w:rPr>
          <w:rFonts w:ascii="Times New Roman" w:hAnsi="Times New Roman"/>
          <w:b w:val="0"/>
          <w:i w:val="0"/>
          <w:sz w:val="24"/>
          <w:vertAlign w:val="subscript"/>
        </w:rPr>
        <w:t>3</w:t>
      </w:r>
      <w:r>
        <w:rPr>
          <w:rFonts w:ascii="Times New Roman" w:hAnsi="Times New Roman"/>
          <w:b w:val="0"/>
          <w:i w:val="0"/>
          <w:sz w:val="24"/>
        </w:rPr>
        <w:t xml:space="preserve"> interface exhibits a pronounced conduction-band discontinuity. Based on the electron-affinity values of CuI (χ = 2.1 eV) and RbGeI</w:t>
      </w:r>
      <w:r>
        <w:rPr>
          <w:rFonts w:ascii="Times New Roman" w:hAnsi="Times New Roman"/>
          <w:b w:val="0"/>
          <w:i w:val="0"/>
          <w:sz w:val="24"/>
          <w:vertAlign w:val="subscript"/>
        </w:rPr>
        <w:t>3</w:t>
      </w:r>
      <w:r>
        <w:rPr>
          <w:rFonts w:ascii="Times New Roman" w:hAnsi="Times New Roman"/>
          <w:b w:val="0"/>
          <w:i w:val="0"/>
          <w:sz w:val="24"/>
        </w:rPr>
        <w:t xml:space="preserve"> (χ = 3.9 eV), the conduction-band offset is ΔE</w:t>
      </w:r>
      <w:r>
        <w:rPr>
          <w:rFonts w:ascii="Times New Roman" w:hAnsi="Times New Roman"/>
          <w:b w:val="0"/>
          <w:i w:val="0"/>
          <w:sz w:val="24"/>
          <w:vertAlign w:val="subscript"/>
        </w:rPr>
        <w:t>c</w:t>
      </w:r>
      <w:r>
        <w:rPr>
          <w:rFonts w:ascii="Times New Roman" w:hAnsi="Times New Roman"/>
          <w:b w:val="0"/>
          <w:i w:val="0"/>
          <w:sz w:val="24"/>
        </w:rPr>
        <w:t xml:space="preserve"> ≈ |2.1 − 3.9| = 1.8 eV, which acts as an effective electron-blocking barrier. The corresponding valence-band offset, computed using E</w:t>
      </w:r>
      <w:r>
        <w:rPr>
          <w:rFonts w:ascii="Times New Roman" w:hAnsi="Times New Roman"/>
          <w:b w:val="0"/>
          <w:i w:val="0"/>
          <w:sz w:val="24"/>
          <w:vertAlign w:val="subscript"/>
        </w:rPr>
        <w:t>v</w:t>
      </w:r>
      <w:r>
        <w:rPr>
          <w:rFonts w:ascii="Times New Roman" w:hAnsi="Times New Roman"/>
          <w:b w:val="0"/>
          <w:i w:val="0"/>
          <w:sz w:val="24"/>
        </w:rPr>
        <w:t xml:space="preserve"> = −(E</w:t>
      </w:r>
      <w:r>
        <w:rPr>
          <w:rFonts w:ascii="Times New Roman" w:hAnsi="Times New Roman"/>
          <w:b w:val="0"/>
          <w:i w:val="0"/>
          <w:sz w:val="24"/>
          <w:vertAlign w:val="subscript"/>
        </w:rPr>
        <w:t>g</w:t>
      </w:r>
      <w:r>
        <w:rPr>
          <w:rFonts w:ascii="Times New Roman" w:hAnsi="Times New Roman"/>
          <w:b w:val="0"/>
          <w:i w:val="0"/>
          <w:sz w:val="24"/>
        </w:rPr>
        <w:t xml:space="preserve"> + χ), is ΔE</w:t>
      </w:r>
      <w:r>
        <w:rPr>
          <w:rFonts w:ascii="Times New Roman" w:hAnsi="Times New Roman"/>
          <w:b w:val="0"/>
          <w:i w:val="0"/>
          <w:sz w:val="24"/>
          <w:vertAlign w:val="subscript"/>
        </w:rPr>
        <w:t>v</w:t>
      </w:r>
      <w:r>
        <w:rPr>
          <w:rFonts w:ascii="Times New Roman" w:hAnsi="Times New Roman"/>
          <w:b w:val="0"/>
          <w:i w:val="0"/>
          <w:sz w:val="24"/>
        </w:rPr>
        <w:t xml:space="preserve"> ≈ |(−5.30) − (−5.20)| ≈ 0.10 eV, indicating that the valence bands of CuI and RbGeI</w:t>
      </w:r>
      <w:r>
        <w:rPr>
          <w:rFonts w:ascii="Times New Roman" w:hAnsi="Times New Roman"/>
          <w:b w:val="0"/>
          <w:i w:val="0"/>
          <w:sz w:val="24"/>
          <w:vertAlign w:val="subscript"/>
        </w:rPr>
        <w:t>3</w:t>
      </w:r>
      <w:r>
        <w:rPr>
          <w:rFonts w:ascii="Times New Roman" w:hAnsi="Times New Roman"/>
          <w:b w:val="0"/>
          <w:i w:val="0"/>
          <w:sz w:val="24"/>
        </w:rPr>
        <w:t xml:space="preserve"> are nearly aligned. This small barrier enables holes generated inside the absorber to move efficiently into the HTL with minimal transport resistance. Within the 700 nm RbGeI</w:t>
      </w:r>
      <w:r>
        <w:rPr>
          <w:rFonts w:ascii="Times New Roman" w:hAnsi="Times New Roman"/>
          <w:b w:val="0"/>
          <w:i w:val="0"/>
          <w:sz w:val="24"/>
          <w:vertAlign w:val="subscript"/>
        </w:rPr>
        <w:t>3</w:t>
      </w:r>
      <w:r>
        <w:rPr>
          <w:rFonts w:ascii="Times New Roman" w:hAnsi="Times New Roman"/>
          <w:b w:val="0"/>
          <w:i w:val="0"/>
          <w:sz w:val="24"/>
        </w:rPr>
        <w:t xml:space="preserve"> absorber layer, both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remain nearly constant, indicating a relatively uniform electrostatic potential throughout the bulk absorber. The energy difference between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corresponds to the absorber bandgap of 1.4 eV used in the optimized device, close to the Shockley–Queisser optimum for single-junction photovoltaic devices.</w:t>
      </w:r>
    </w:p>
    <w:p>
      <w:pPr>
        <w:spacing w:line="360" w:lineRule="auto" w:before="120" w:after="120"/>
        <w:ind w:firstLine="283"/>
        <w:jc w:val="both"/>
      </w:pPr>
      <w:r>
        <w:rPr>
          <w:rFonts w:ascii="Times New Roman" w:hAnsi="Times New Roman"/>
          <w:b w:val="0"/>
          <w:i w:val="0"/>
          <w:sz w:val="24"/>
        </w:rPr>
        <w:t xml:space="preserve">A second band discontinuity appears at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interface located approximately 800 nm from the back contact. Because the electron affinities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are 3.9 eV and 4.0 eV respectively, the conduction-band offset is only about 0.10 eV, forming a 0.10 eV downward step at the interface that assists electron extraction and suppresses interfacial recombination. The calculated valence-band offset at this interface is approximately 1.90 eV (using </w:t>
      </w:r>
      <w:r>
        <w:rPr>
          <w:rFonts w:ascii="Times New Roman" w:hAnsi="Times New Roman"/>
          <w:b w:val="0"/>
          <w:i w:val="0"/>
          <w:sz w:val="24"/>
        </w:rPr>
        <w:t xml:space="preserve">E</w:t>
      </w:r>
      <w:r>
        <w:rPr>
          <w:rFonts w:ascii="Times New Roman" w:hAnsi="Times New Roman"/>
          <w:b w:val="0"/>
          <w:i w:val="0"/>
          <w:sz w:val="24"/>
          <w:vertAlign w:val="subscript"/>
        </w:rPr>
        <w:t xml:space="preserve">v</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 −5.30 eV and </w:t>
      </w:r>
      <w:r>
        <w:rPr>
          <w:rFonts w:ascii="Times New Roman" w:hAnsi="Times New Roman"/>
          <w:b w:val="0"/>
          <w:i w:val="0"/>
          <w:sz w:val="24"/>
        </w:rPr>
        <w:t xml:space="preserve">E</w:t>
      </w:r>
      <w:r>
        <w:rPr>
          <w:rFonts w:ascii="Times New Roman" w:hAnsi="Times New Roman"/>
          <w:b w:val="0"/>
          <w:i w:val="0"/>
          <w:sz w:val="24"/>
          <w:vertAlign w:val="subscript"/>
        </w:rPr>
        <w:t xml:space="preserve">v</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 −(4.0+3.2) = −7.2 eV, giving </w:t>
      </w:r>
      <w:r>
        <w:rPr>
          <w:rFonts w:ascii="Times New Roman" w:hAnsi="Times New Roman"/>
          <w:b w:val="0"/>
          <w:i w:val="0"/>
          <w:sz w:val="24"/>
        </w:rPr>
        <w:t xml:space="preserve">ΔE</w:t>
      </w:r>
      <w:r>
        <w:rPr>
          <w:rFonts w:ascii="Times New Roman" w:hAnsi="Times New Roman"/>
          <w:b w:val="0"/>
          <w:i w:val="0"/>
          <w:sz w:val="24"/>
          <w:vertAlign w:val="subscript"/>
        </w:rPr>
        <w:t xml:space="preserve">v</w:t>
      </w:r>
      <w:r>
        <w:rPr>
          <w:rFonts w:ascii="Times New Roman" w:hAnsi="Times New Roman"/>
          <w:b w:val="0"/>
          <w:i w:val="0"/>
          <w:sz w:val="24"/>
        </w:rPr>
        <w:t xml:space="preserve"> = |−5.30 − (−7.2)| = 1.90 eV), creating a substantial energetic barrier that effectively blocks holes from entering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layer. Under illumination, the quasi-Fermi levels split apart across the device, with the electron quasi-Fermi level Fn lying close to the conduction band in the absorber and ETL and the hole quasi-Fermi level Fp following the valence band. The Fn − Fp splitting sets the photovoltage (Voc ≈ 1.12 V) and is consistent with the high open-circuit voltage of the optimized device. Slight band bending near both heterojunctions reflects the built-in electric field established after contact formation, which drives photogenerated electrons toward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/FTO electrode and holes toward the CuI HTL.</w:t>
      </w:r>
    </w:p>
    <w:p>
      <w:pPr>
        <w:keepNext/>
        <w:keepLines/>
        <w:spacing w:before="120" w:after="40"/>
        <w:jc w:val="center"/>
      </w:pPr>
      <w:r>
        <w:drawing>
          <wp:inline xmlns:a="http://schemas.openxmlformats.org/drawingml/2006/main" xmlns:pic="http://schemas.openxmlformats.org/drawingml/2006/picture">
            <wp:extent cx="5040000" cy="3168000"/>
            <wp:docPr id="17" name="Picture 17"/>
            <wp:cNvGraphicFramePr>
              <a:graphicFrameLocks noChangeAspect="1"/>
            </wp:cNvGraphicFramePr>
            <a:graphic>
              <a:graphicData uri="http://schemas.openxmlformats.org/drawingml/2006/picture">
                <pic:pic>
                  <pic:nvPicPr>
                    <pic:cNvPr id="0" name="fig17_band_diagram.png"/>
                    <pic:cNvPicPr/>
                  </pic:nvPicPr>
                  <pic:blipFill>
                    <a:blip r:embed="rId27"/>
                    <a:stretch>
                      <a:fillRect/>
                    </a:stretch>
                  </pic:blipFill>
                  <pic:spPr>
                    <a:xfrm>
                      <a:off x="0" y="0"/>
                      <a:ext cx="5040000" cy="3056034"/>
                    </a:xfrm>
                    <a:prstGeom prst="rect"/>
                  </pic:spPr>
                </pic:pic>
              </a:graphicData>
            </a:graphic>
          </wp:inline>
        </w:drawing>
      </w:r>
    </w:p>
    <w:p>
      <w:pPr>
        <w:spacing w:before="80" w:after="240"/>
        <w:jc w:val="center"/>
      </w:pPr>
      <w:r>
        <w:rPr>
          <w:rFonts w:ascii="Times New Roman" w:hAnsi="Times New Roman"/>
          <w:b w:val="0"/>
          <w:i/>
          <w:sz w:val="20"/>
        </w:rPr>
        <w:t xml:space="preserve">Fig. 15. Equilibrium energy band diagram of the optimized CuI/</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w:t>
      </w:r>
      <w:r>
        <w:rPr>
          <w:rFonts w:ascii="Times New Roman" w:hAnsi="Times New Roman"/>
          <w:b w:val="0"/>
          <w:i/>
          <w:sz w:val="20"/>
        </w:rPr>
        <w:t xml:space="preserve">TiO</w:t>
      </w:r>
      <w:r>
        <w:rPr>
          <w:rFonts w:ascii="Times New Roman" w:hAnsi="Times New Roman"/>
          <w:b w:val="0"/>
          <w:i/>
          <w:sz w:val="20"/>
          <w:vertAlign w:val="subscript"/>
        </w:rPr>
        <w:t xml:space="preserve">2</w:t>
      </w:r>
      <w:r>
        <w:rPr>
          <w:rFonts w:ascii="Times New Roman" w:hAnsi="Times New Roman"/>
          <w:b w:val="0"/>
          <w:i/>
          <w:sz w:val="20"/>
        </w:rPr>
        <w:t xml:space="preserve">/FTO solar cell, showing the conduction-band edge (</w:t>
      </w:r>
      <w:r>
        <w:rPr>
          <w:rFonts w:ascii="Times New Roman" w:hAnsi="Times New Roman"/>
          <w:b w:val="0"/>
          <w:i/>
          <w:sz w:val="20"/>
        </w:rPr>
        <w:t xml:space="preserve">E</w:t>
      </w:r>
      <w:r>
        <w:rPr>
          <w:rFonts w:ascii="Times New Roman" w:hAnsi="Times New Roman"/>
          <w:b w:val="0"/>
          <w:i/>
          <w:sz w:val="20"/>
          <w:vertAlign w:val="subscript"/>
        </w:rPr>
        <w:t xml:space="preserve">c</w:t>
      </w:r>
      <w:r>
        <w:rPr>
          <w:rFonts w:ascii="Times New Roman" w:hAnsi="Times New Roman"/>
          <w:b w:val="0"/>
          <w:i/>
          <w:sz w:val="20"/>
        </w:rPr>
        <w:t xml:space="preserve">, blue) and valence-band edge (</w:t>
      </w:r>
      <w:r>
        <w:rPr>
          <w:rFonts w:ascii="Times New Roman" w:hAnsi="Times New Roman"/>
          <w:b w:val="0"/>
          <w:i/>
          <w:sz w:val="20"/>
        </w:rPr>
        <w:t xml:space="preserve">E</w:t>
      </w:r>
      <w:r>
        <w:rPr>
          <w:rFonts w:ascii="Times New Roman" w:hAnsi="Times New Roman"/>
          <w:b w:val="0"/>
          <w:i/>
          <w:sz w:val="20"/>
          <w:vertAlign w:val="subscript"/>
        </w:rPr>
        <w:t xml:space="preserve">v</w:t>
      </w:r>
      <w:r>
        <w:rPr>
          <w:rFonts w:ascii="Times New Roman" w:hAnsi="Times New Roman"/>
          <w:b w:val="0"/>
          <w:i/>
          <w:sz w:val="20"/>
        </w:rPr>
        <w:t xml:space="preserve">, red) across all four layers. The 1.8 eV conduction-band offset at CuI/</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 blocks electron back-transfer, while the 0.10 eV conduction-band step at </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w:t>
      </w:r>
      <w:r>
        <w:rPr>
          <w:rFonts w:ascii="Times New Roman" w:hAnsi="Times New Roman"/>
          <w:b w:val="0"/>
          <w:i/>
          <w:sz w:val="20"/>
        </w:rPr>
        <w:t xml:space="preserve">TiO</w:t>
      </w:r>
      <w:r>
        <w:rPr>
          <w:rFonts w:ascii="Times New Roman" w:hAnsi="Times New Roman"/>
          <w:b w:val="0"/>
          <w:i/>
          <w:sz w:val="20"/>
          <w:vertAlign w:val="subscript"/>
        </w:rPr>
        <w:t xml:space="preserve">2</w:t>
      </w:r>
      <w:r>
        <w:rPr>
          <w:rFonts w:ascii="Times New Roman" w:hAnsi="Times New Roman"/>
          <w:b w:val="0"/>
          <w:i/>
          <w:sz w:val="20"/>
        </w:rPr>
        <w:t xml:space="preserve"> supports efficient electron extraction.</w:t>
      </w:r>
    </w:p>
    <w:p>
      <w:pPr>
        <w:pStyle w:val="Heading2"/>
      </w:pPr>
      <w:r>
        <w:t>O. Current density–voltage characteristics</w:t>
      </w:r>
    </w:p>
    <w:p>
      <w:r>
        <w:rPr/>
        <w:t>The current density–voltage (J–V) characteristic of the consolidated optimized device under AM 1.5G illumination is shown in Figure 16. The curve is sharply rectangular, with an open-circuit voltage of V</w:t>
      </w:r>
      <w:r>
        <w:rPr>
          <w:vertAlign w:val="subscript"/>
        </w:rPr>
        <w:t>oc</w:t>
      </w:r>
      <w:r>
        <w:rPr/>
        <w:t xml:space="preserve"> = 1.12 V, a short-circuit current density of J</w:t>
      </w:r>
      <w:r>
        <w:rPr>
          <w:vertAlign w:val="subscript"/>
        </w:rPr>
        <w:t>sc</w:t>
      </w:r>
      <w:r>
        <w:rPr/>
        <w:t xml:space="preserve"> = 30.32 mA/cm², and a fill factor of 78.92%, yielding a PCE of 26.80%. The maximum-power point occurs near V = 0.96 V with J ≈ 27.9 mA/cm², where the instantaneous power density reaches 26.8 mW/cm². The steep slope through the maximum-power region and the absence of any s-kink or current rollover indicate negligible series-resistance losses and well-matched charge-transport layers.</w:t>
      </w:r>
    </w:p>
    <w:p>
      <w:pPr>
        <w:keepNext/>
        <w:keepLines/>
        <w:jc w:val="center"/>
      </w:pPr>
      <w:r/>
      <w:r>
        <w:drawing>
          <wp:inline xmlns:a="http://schemas.openxmlformats.org/drawingml/2006/main" xmlns:pic="http://schemas.openxmlformats.org/drawingml/2006/picture">
            <wp:extent cx="4457700" cy="2971800"/>
            <wp:docPr id="23" name="Picture 23"/>
            <wp:cNvGraphicFramePr>
              <a:graphicFrameLocks noChangeAspect="1"/>
            </wp:cNvGraphicFramePr>
            <a:graphic>
              <a:graphicData uri="http://schemas.openxmlformats.org/drawingml/2006/picture">
                <pic:pic>
                  <pic:nvPicPr>
                    <pic:cNvPr id="0" name="fig_jv_final.png"/>
                    <pic:cNvPicPr/>
                  </pic:nvPicPr>
                  <pic:blipFill>
                    <a:blip r:embed="rId37"/>
                    <a:stretch>
                      <a:fillRect/>
                    </a:stretch>
                  </pic:blipFill>
                  <pic:spPr>
                    <a:xfrm>
                      <a:off x="0" y="0"/>
                      <a:ext cx="4457700" cy="2971800"/>
                    </a:xfrm>
                    <a:prstGeom prst="rect"/>
                  </pic:spPr>
                </pic:pic>
              </a:graphicData>
            </a:graphic>
          </wp:inline>
        </w:drawing>
      </w:r>
    </w:p>
    <w:p>
      <w:pPr>
        <w:jc w:val="center"/>
      </w:pPr>
      <w:r>
        <w:rPr>
          <w:sz w:val="20"/>
        </w:rPr>
        <w:t>Fig. 16. Current density–voltage (J–V) curve of the optimized FTO/TiO</w:t>
      </w:r>
      <w:r>
        <w:rPr>
          <w:sz w:val="20"/>
          <w:vertAlign w:val="subscript"/>
        </w:rPr>
        <w:t>2</w:t>
      </w:r>
      <w:r>
        <w:rPr>
          <w:sz w:val="20"/>
        </w:rPr>
        <w:t>/RbGeI</w:t>
      </w:r>
      <w:r>
        <w:rPr>
          <w:sz w:val="20"/>
          <w:vertAlign w:val="subscript"/>
        </w:rPr>
        <w:t>3</w:t>
      </w:r>
      <w:r>
        <w:rPr>
          <w:sz w:val="20"/>
        </w:rPr>
        <w:t>/CuI/Au device under AM 1.5G illumination. The red dashed curve shows the output power density, with the maximum-power point marked.</w:t>
      </w:r>
    </w:p>
    <w:p>
      <w:pPr>
        <w:pStyle w:val="Heading2"/>
        <w:keepNext/>
        <w:spacing w:before="120" w:after="40" w:line="360" w:lineRule="auto"/>
      </w:pPr>
      <w:r>
        <w:rPr>
          <w:rFonts w:ascii="Times New Roman" w:hAnsi="Times New Roman" w:cs="Times New Roman"/>
          <w:b/>
          <w:i/>
          <w:sz w:val="24"/>
        </w:rPr>
        <w:t>P. Summary of optimized device parameters and final performance</w:t>
      </w:r>
    </w:p>
    <w:p>
      <w:pPr>
        <w:spacing w:line="360" w:lineRule="auto" w:before="120" w:after="120"/>
        <w:ind w:firstLine="283"/>
        <w:jc w:val="both"/>
      </w:pPr>
      <w:r>
        <w:rPr>
          <w:rFonts w:ascii="Times New Roman" w:hAnsi="Times New Roman"/>
          <w:b w:val="0"/>
          <w:i w:val="0"/>
          <w:sz w:val="24"/>
        </w:rPr>
        <w:t>After completing the optimization of all eleven selected device parameters, the final optimized values were incorporated into the proposed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solar cell. Table VII summarizes the optimized material parameters obtained from the SCAPS-1D simulations. These optimized values were used to achieve the highest photovoltaic performance reported in this study. The consolidated final device was simulated by applying all eleven optimized parameters simultaneously in a single SCAPS-1D run; the resulting J–V output gives V</w:t>
      </w:r>
      <w:r>
        <w:rPr>
          <w:rFonts w:ascii="Times New Roman" w:hAnsi="Times New Roman"/>
          <w:b w:val="0"/>
          <w:i w:val="0"/>
          <w:sz w:val="24"/>
          <w:vertAlign w:val="subscript"/>
        </w:rPr>
        <w:t>oc</w:t>
      </w:r>
      <w:r>
        <w:rPr>
          <w:rFonts w:ascii="Times New Roman" w:hAnsi="Times New Roman"/>
          <w:b w:val="0"/>
          <w:i w:val="0"/>
          <w:sz w:val="24"/>
        </w:rPr>
        <w:t xml:space="preserve"> = 1.12 V, J</w:t>
      </w:r>
      <w:r>
        <w:rPr>
          <w:rFonts w:ascii="Times New Roman" w:hAnsi="Times New Roman"/>
          <w:b w:val="0"/>
          <w:i w:val="0"/>
          <w:sz w:val="24"/>
          <w:vertAlign w:val="subscript"/>
        </w:rPr>
        <w:t>sc</w:t>
      </w:r>
      <w:r>
        <w:rPr>
          <w:rFonts w:ascii="Times New Roman" w:hAnsi="Times New Roman"/>
          <w:b w:val="0"/>
          <w:i w:val="0"/>
          <w:sz w:val="24"/>
        </w:rPr>
        <w:t xml:space="preserve"> = 30.32 mA/cm², FF = 78.92%, and PCE = 26.80%. Note that the consolidated final-device values are obtained from this single SCAPS-1D simulation run and are not a simple arithmetic combination of the per-step optima reported in Figs. 3–13. The interaction between optimized parameters in the consolidated solution can shift individual performance metrics relative to their per-step values, the fill factor, for instance, drops from per-step optima above 83% (Figs. 7 and 10) to 78.92% in the consolidated device because the combined effect of the optimized bandgap, defect densities, DOS values, and ETL/HTL thicknesses produces a different J–V curve shape than any single-parameter optimum.</w:t>
      </w:r>
    </w:p>
    <w:p>
      <w:pPr>
        <w:keepNext/>
        <w:spacing w:before="120" w:after="40"/>
        <w:jc w:val="center"/>
      </w:pPr>
      <w:r>
        <w:rPr>
          <w:rFonts w:ascii="Times New Roman" w:hAnsi="Times New Roman"/>
          <w:b/>
          <w:i w:val="0"/>
          <w:sz w:val="20"/>
        </w:rPr>
        <w:t>Table VII. Optimized material parameters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perovskite solar cell.</w:t>
      </w:r>
    </w:p>
    <w:tbl>
      <w:tblPr>
        <w:tblStyle w:val="LightGrid-Accent1"/>
        <w:tblLook w:firstColumn="1" w:firstRow="1" w:lastColumn="0" w:lastRow="0" w:noHBand="0" w:noVBand="1" w:val="04A0"/>
        <w:tblW w:type="pct" w:w="5000"/>
        <w:tblLayout w:type="autofit"/>
      </w:tblPr>
      <w:tblGrid>
        <w:gridCol w:w="1872"/>
        <w:gridCol w:w="1872"/>
        <w:gridCol w:w="1872"/>
        <w:gridCol w:w="1872"/>
        <w:gridCol w:w="1872"/>
      </w:tblGrid>
      <w:tr>
        <w:trPr>
          <w:tblHeader w:val="true"/>
          <w:cantSplit w:val="true"/>
        </w:trPr>
        <w:tc>
          <w:tcPr>
            <w:tcW w:type="dxa" w:w="3118"/>
          </w:tcPr>
          <w:p>
            <w:pPr>
              <w:jc w:val="center"/>
            </w:pPr>
            <w:r>
              <w:rPr>
                <w:rFonts w:ascii="Times New Roman" w:hAnsi="Times New Roman" w:cs="Times New Roman"/>
                <w:b w:val="0"/>
                <w:i w:val="0"/>
                <w:sz w:val="18"/>
              </w:rPr>
            </w:r>
            <w:r>
              <w:rPr>
                <w:rFonts w:ascii="Times New Roman" w:hAnsi="Times New Roman" w:cs="Times New Roman"/>
                <w:b/>
                <w:i w:val="0"/>
                <w:sz w:val="18"/>
              </w:rPr>
              <w:t>Parameter</w:t>
            </w:r>
          </w:p>
        </w:tc>
        <w:tc>
          <w:tcPr>
            <w:tcW w:type="dxa" w:w="1361"/>
          </w:tcPr>
          <w:p>
            <w:pPr>
              <w:jc w:val="center"/>
            </w:pPr>
            <w:r>
              <w:rPr>
                <w:rFonts w:ascii="Times New Roman" w:hAnsi="Times New Roman" w:cs="Times New Roman"/>
                <w:sz w:val="18"/>
                <w:b w:val="0"/>
                <w:i w:val="0"/>
              </w:rPr>
              <w:t>TiO</w:t>
            </w:r>
            <w:r>
              <w:rPr>
                <w:rFonts w:ascii="Times New Roman" w:hAnsi="Times New Roman" w:cs="Times New Roman"/>
                <w:vertAlign w:val="subscript"/>
                <w:sz w:val="18"/>
                <w:b w:val="0"/>
                <w:i w:val="0"/>
              </w:rPr>
              <w:t>2</w:t>
            </w:r>
          </w:p>
        </w:tc>
        <w:tc>
          <w:tcPr>
            <w:tcW w:type="dxa" w:w="1361"/>
          </w:tcPr>
          <w:p>
            <w:pPr>
              <w:jc w:val="center"/>
            </w:pPr>
            <w:r>
              <w:rPr>
                <w:rFonts w:ascii="Times New Roman" w:hAnsi="Times New Roman" w:cs="Times New Roman"/>
                <w:b w:val="0"/>
                <w:i w:val="0"/>
                <w:sz w:val="18"/>
              </w:rPr>
            </w:r>
            <w:r>
              <w:rPr>
                <w:rFonts w:ascii="Times New Roman" w:hAnsi="Times New Roman" w:cs="Times New Roman"/>
                <w:b/>
                <w:i w:val="0"/>
                <w:sz w:val="18"/>
              </w:rPr>
              <w:t>FTO</w:t>
            </w:r>
          </w:p>
        </w:tc>
        <w:tc>
          <w:tcPr>
            <w:tcW w:type="dxa" w:w="1361"/>
          </w:tcPr>
          <w:p>
            <w:pPr>
              <w:jc w:val="center"/>
            </w:pPr>
            <w:r>
              <w:rPr>
                <w:rFonts w:ascii="Times New Roman" w:hAnsi="Times New Roman" w:cs="Times New Roman"/>
                <w:sz w:val="18"/>
                <w:b w:val="0"/>
                <w:i w:val="0"/>
              </w:rPr>
              <w:t>RbGeI</w:t>
            </w:r>
            <w:r>
              <w:rPr>
                <w:rFonts w:ascii="Times New Roman" w:hAnsi="Times New Roman" w:cs="Times New Roman"/>
                <w:vertAlign w:val="subscript"/>
                <w:sz w:val="18"/>
                <w:b w:val="0"/>
                <w:i w:val="0"/>
              </w:rPr>
              <w:t>3</w:t>
            </w:r>
          </w:p>
        </w:tc>
        <w:tc>
          <w:tcPr>
            <w:tcW w:type="dxa" w:w="1361"/>
          </w:tcPr>
          <w:p>
            <w:pPr>
              <w:jc w:val="center"/>
            </w:pPr>
            <w:r>
              <w:rPr>
                <w:rFonts w:ascii="Times New Roman" w:hAnsi="Times New Roman" w:cs="Times New Roman"/>
                <w:b w:val="0"/>
                <w:i w:val="0"/>
                <w:sz w:val="18"/>
              </w:rPr>
            </w:r>
            <w:r>
              <w:rPr>
                <w:rFonts w:ascii="Times New Roman" w:hAnsi="Times New Roman" w:cs="Times New Roman"/>
                <w:b/>
                <w:i w:val="0"/>
                <w:sz w:val="18"/>
              </w:rPr>
              <w:t>CuI</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Thickness (nm)</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500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700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Bandgap E</w:t>
            </w:r>
            <w:r>
              <w:rPr>
                <w:rFonts w:ascii="Times New Roman" w:hAnsi="Times New Roman" w:cs="Times New Roman"/>
                <w:vertAlign w:val="subscript"/>
                <w:sz w:val="18"/>
                <w:b w:val="0"/>
                <w:i w:val="0"/>
              </w:rPr>
              <w:t>g</w:t>
            </w:r>
            <w:r>
              <w:rPr>
                <w:rFonts w:ascii="Times New Roman" w:hAnsi="Times New Roman" w:cs="Times New Roman"/>
                <w:sz w:val="18"/>
                <w:b w:val="0"/>
                <w:i w:val="0"/>
              </w:rPr>
              <w:t xml:space="preserve">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3.1</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Electron affinity χ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w:t>
            </w:r>
          </w:p>
        </w:tc>
      </w:tr>
      <w:tr>
        <w:trPr>
          <w:cantSplit w:val="true"/>
        </w:trPr>
        <w:tc>
          <w:tcPr>
            <w:tcW w:type="dxa" w:w="3118"/>
          </w:tcPr>
          <w:p>
            <w:pPr>
              <w:jc w:val="left"/>
            </w:pPr>
            <w:r>
              <w:rPr>
                <w:rFonts w:ascii="Times New Roman" w:hAnsi="Times New Roman" w:cs="Times New Roman"/>
                <w:sz w:val="18"/>
                <w:b w:val="0"/>
                <w:i w:val="0"/>
              </w:rPr>
              <w:t>Dielectric permittivity ε</w:t>
            </w:r>
            <w:r>
              <w:rPr>
                <w:rFonts w:ascii="Times New Roman" w:hAnsi="Times New Roman" w:cs="Times New Roman"/>
                <w:vertAlign w:val="subscript"/>
                <w:sz w:val="18"/>
                <w:b w:val="0"/>
                <w:i w:val="0"/>
              </w:rPr>
              <w:t>r</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15</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6.5</w:t>
            </w:r>
          </w:p>
        </w:tc>
      </w:tr>
      <w:tr>
        <w:trPr>
          <w:cantSplit w:val="true"/>
        </w:trPr>
        <w:tc>
          <w:tcPr>
            <w:tcW w:type="dxa" w:w="3118"/>
          </w:tcPr>
          <w:p>
            <w:pPr>
              <w:jc w:val="left"/>
            </w:pPr>
            <w:r>
              <w:rPr>
                <w:rFonts w:ascii="Times New Roman" w:hAnsi="Times New Roman" w:cs="Times New Roman"/>
                <w:sz w:val="18"/>
                <w:b w:val="0"/>
                <w:i w:val="0"/>
              </w:rPr>
              <w:t>CB effective DOS N</w:t>
            </w:r>
            <w:r>
              <w:rPr>
                <w:rFonts w:ascii="Times New Roman" w:hAnsi="Times New Roman" w:cs="Times New Roman"/>
                <w:vertAlign w:val="subscript"/>
                <w:sz w:val="18"/>
                <w:b w:val="0"/>
                <w:i w:val="0"/>
              </w:rPr>
              <w:t>C</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1×10¹⁷</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r>
      <w:tr>
        <w:trPr>
          <w:cantSplit w:val="true"/>
        </w:trPr>
        <w:tc>
          <w:tcPr>
            <w:tcW w:type="dxa" w:w="3118"/>
          </w:tcPr>
          <w:p>
            <w:pPr>
              <w:jc w:val="left"/>
            </w:pPr>
            <w:r>
              <w:rPr>
                <w:rFonts w:ascii="Times New Roman" w:hAnsi="Times New Roman" w:cs="Times New Roman"/>
                <w:sz w:val="18"/>
                <w:b w:val="0"/>
                <w:i w:val="0"/>
              </w:rPr>
              <w:t>VB effective DOS N</w:t>
            </w:r>
            <w:r>
              <w:rPr>
                <w:rFonts w:ascii="Times New Roman" w:hAnsi="Times New Roman" w:cs="Times New Roman"/>
                <w:vertAlign w:val="subscript"/>
                <w:sz w:val="18"/>
                <w:b w:val="0"/>
                <w:i w:val="0"/>
              </w:rPr>
              <w:t>V</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1×10¹⁷</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r>
      <w:tr>
        <w:trPr>
          <w:cantSplit w:val="true"/>
        </w:trPr>
        <w:tc>
          <w:tcPr>
            <w:tcW w:type="dxa" w:w="3118"/>
          </w:tcPr>
          <w:p>
            <w:pPr>
              <w:jc w:val="left"/>
            </w:pPr>
            <w:r>
              <w:rPr>
                <w:rFonts w:ascii="Times New Roman" w:hAnsi="Times New Roman" w:cs="Times New Roman"/>
                <w:sz w:val="18"/>
                <w:b w:val="0"/>
                <w:i w:val="0"/>
              </w:rPr>
              <w:t>Electron mobility μ</w:t>
            </w:r>
            <w:r>
              <w:rPr>
                <w:rFonts w:ascii="Times New Roman" w:hAnsi="Times New Roman" w:cs="Times New Roman"/>
                <w:vertAlign w:val="subscript"/>
                <w:sz w:val="18"/>
                <w:b w:val="0"/>
                <w:i w:val="0"/>
              </w:rPr>
              <w:t>e</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28.6</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Hole mobility μ</w:t>
            </w:r>
            <w:r>
              <w:rPr>
                <w:rFonts w:ascii="Times New Roman" w:hAnsi="Times New Roman" w:cs="Times New Roman"/>
                <w:vertAlign w:val="subscript"/>
                <w:sz w:val="18"/>
                <w:b w:val="0"/>
                <w:i w:val="0"/>
              </w:rPr>
              <w:t>p</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27.3</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43.9</w:t>
            </w:r>
          </w:p>
        </w:tc>
      </w:tr>
      <w:tr>
        <w:trPr>
          <w:cantSplit w:val="true"/>
        </w:trPr>
        <w:tc>
          <w:tcPr>
            <w:tcW w:type="dxa" w:w="3118"/>
          </w:tcPr>
          <w:p>
            <w:pPr>
              <w:jc w:val="left"/>
            </w:pPr>
            <w:r>
              <w:rPr>
                <w:rFonts w:ascii="Times New Roman" w:hAnsi="Times New Roman" w:cs="Times New Roman"/>
                <w:sz w:val="18"/>
                <w:b w:val="0"/>
                <w:i w:val="0"/>
              </w:rPr>
              <w:t>Donor density N</w:t>
            </w:r>
            <w:r>
              <w:rPr>
                <w:rFonts w:ascii="Times New Roman" w:hAnsi="Times New Roman" w:cs="Times New Roman"/>
                <w:vertAlign w:val="subscript"/>
                <w:sz w:val="18"/>
                <w:b w:val="0"/>
                <w:i w:val="0"/>
              </w:rPr>
              <w:t>D</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9×10¹⁶</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r>
      <w:tr>
        <w:trPr>
          <w:cantSplit w:val="true"/>
        </w:trPr>
        <w:tc>
          <w:tcPr>
            <w:tcW w:type="dxa" w:w="3118"/>
          </w:tcPr>
          <w:p>
            <w:pPr>
              <w:jc w:val="left"/>
            </w:pPr>
            <w:r>
              <w:rPr>
                <w:rFonts w:ascii="Times New Roman" w:hAnsi="Times New Roman" w:cs="Times New Roman"/>
                <w:sz w:val="18"/>
                <w:b w:val="0"/>
                <w:i w:val="0"/>
              </w:rPr>
              <w:t>Acceptor density N</w:t>
            </w:r>
            <w:r>
              <w:rPr>
                <w:rFonts w:ascii="Times New Roman" w:hAnsi="Times New Roman" w:cs="Times New Roman"/>
                <w:vertAlign w:val="subscript"/>
                <w:sz w:val="18"/>
                <w:b w:val="0"/>
                <w:i w:val="0"/>
              </w:rPr>
              <w:t>a</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1×10¹⁸</w:t>
            </w:r>
          </w:p>
        </w:tc>
      </w:tr>
      <w:tr>
        <w:trPr>
          <w:cantSplit w:val="true"/>
        </w:trPr>
        <w:tc>
          <w:tcPr>
            <w:tcW w:type="dxa" w:w="3118"/>
          </w:tcPr>
          <w:p>
            <w:pPr>
              <w:jc w:val="left"/>
            </w:pPr>
            <w:r>
              <w:rPr>
                <w:rFonts w:ascii="Times New Roman" w:hAnsi="Times New Roman" w:cs="Times New Roman"/>
                <w:sz w:val="18"/>
                <w:b w:val="0"/>
                <w:i w:val="0"/>
              </w:rPr>
              <w:t>Bulk defect density N</w:t>
            </w:r>
            <w:r>
              <w:rPr>
                <w:rFonts w:ascii="Times New Roman" w:hAnsi="Times New Roman" w:cs="Times New Roman"/>
                <w:vertAlign w:val="subscript"/>
                <w:sz w:val="18"/>
                <w:b w:val="0"/>
                <w:i w:val="0"/>
              </w:rPr>
              <w:t>t</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r>
    </w:tbl>
    <w:p>
      <w:pPr>
        <w:spacing w:line="360" w:lineRule="auto" w:before="80" w:after="240"/>
        <w:jc w:val="both"/>
      </w:pPr>
      <w:r>
        <w:rPr>
          <w:rFonts w:ascii="Times New Roman" w:hAnsi="Times New Roman"/>
          <w:b w:val="0"/>
          <w:i/>
          <w:sz w:val="20"/>
        </w:rPr>
        <w:t>Note: The optimized interface defect density was 1 × 10¹⁴ cm⁻² for both the 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 xml:space="preserve"> and RbGeI</w:t>
      </w:r>
      <w:r>
        <w:rPr>
          <w:rFonts w:ascii="Times New Roman" w:hAnsi="Times New Roman"/>
          <w:b w:val="0"/>
          <w:i/>
          <w:sz w:val="20"/>
          <w:vertAlign w:val="subscript"/>
        </w:rPr>
        <w:t>3</w:t>
      </w:r>
      <w:r>
        <w:rPr>
          <w:rFonts w:ascii="Times New Roman" w:hAnsi="Times New Roman"/>
          <w:b w:val="0"/>
          <w:i/>
          <w:sz w:val="20"/>
        </w:rPr>
        <w:t>/CuI interfaces.</w:t>
      </w:r>
    </w:p>
    <w:p>
      <w:pPr>
        <w:spacing w:line="360" w:lineRule="auto" w:before="120" w:after="120"/>
        <w:ind w:firstLine="283"/>
        <w:jc w:val="both"/>
      </w:pPr>
      <w:r>
        <w:rPr>
          <w:rFonts w:ascii="Times New Roman" w:hAnsi="Times New Roman" w:cs="Times New Roman"/>
          <w:b w:val="0"/>
          <w:i w:val="0"/>
          <w:sz w:val="24"/>
        </w:rPr>
        <w:t>As an arithmetic consistency check, the final-device PCE computed from Eq. (5) using the consolidated J–V metrics is PCE = (1.12 × 30.32 × 0.7892) / 100 = 26.79%, which matches the SCAPS-1D output of 26.80% to within rounding, confirming the internal arithmetical consistency of the final reported device.</w:t>
      </w:r>
    </w:p>
    <w:p>
      <w:pPr>
        <w:pStyle w:val="Heading2"/>
      </w:pPr>
      <w:r>
        <w:t>Q. Uncertainty Quantification</w:t>
      </w:r>
    </w:p>
    <w:p>
      <w:pPr>
        <w:jc w:val="both"/>
      </w:pPr>
      <w:r>
        <w:rPr>
          <w:rFonts w:ascii="Times New Roman" w:hAnsi="Times New Roman"/>
          <w:sz w:val="22"/>
        </w:rPr>
        <w:t>A Monte Carlo UQ was performed using Latin hypercube sampling (N = 200) with eight random variables: absorber thickness (500–900 nm), bandgap (1.3–1.5 eV), defect density (1×10¹³–1×10¹⁶ cm⁻³ in the absorber, 1×10¹²–1×10¹⁶ cm⁻² at each interface), N</w:t>
      </w:r>
      <w:r>
        <w:rPr>
          <w:rFonts w:ascii="Times New Roman" w:hAnsi="Times New Roman"/>
          <w:sz w:val="22"/>
          <w:vertAlign w:val="subscript"/>
        </w:rPr>
        <w:t>C</w:t>
      </w:r>
      <w:r>
        <w:rPr>
          <w:rFonts w:ascii="Times New Roman" w:hAnsi="Times New Roman"/>
          <w:sz w:val="22"/>
        </w:rPr>
        <w:t xml:space="preserve"> and N</w:t>
      </w:r>
      <w:r>
        <w:rPr>
          <w:rFonts w:ascii="Times New Roman" w:hAnsi="Times New Roman"/>
          <w:sz w:val="22"/>
          <w:vertAlign w:val="subscript"/>
        </w:rPr>
        <w:t>V</w:t>
      </w:r>
      <w:r>
        <w:rPr>
          <w:rFonts w:ascii="Times New Roman" w:hAnsi="Times New Roman"/>
          <w:sz w:val="22"/>
        </w:rPr>
        <w:t xml:space="preserve"> (1×10¹⁷–1×10¹⁹ cm⁻³ each), and dielectric constant (15–23).</w:t>
      </w:r>
    </w:p>
    <w:p>
      <w:pPr>
        <w:keepNext/>
        <w:keepLines/>
        <w:jc w:val="center"/>
      </w:pPr>
      <w:r>
        <w:drawing>
          <wp:inline xmlns:a="http://schemas.openxmlformats.org/drawingml/2006/main" xmlns:pic="http://schemas.openxmlformats.org/drawingml/2006/picture">
            <wp:extent cx="4572000" cy="3188855"/>
            <wp:docPr id="5" name="Picture 5"/>
            <wp:cNvGraphicFramePr>
              <a:graphicFrameLocks noChangeAspect="1"/>
            </wp:cNvGraphicFramePr>
            <a:graphic>
              <a:graphicData uri="http://schemas.openxmlformats.org/drawingml/2006/picture">
                <pic:pic>
                  <pic:nvPicPr>
                    <pic:cNvPr id="0" name="uncertainty_quantification.png"/>
                    <pic:cNvPicPr/>
                  </pic:nvPicPr>
                  <pic:blipFill>
                    <a:blip r:embed="rId13"/>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17. Uncertainty quantification results (N = 200). Histograms of PCE, V</w:t>
      </w:r>
      <w:r>
        <w:rPr>
          <w:rFonts w:ascii="Times New Roman" w:hAnsi="Times New Roman"/>
          <w:i/>
          <w:sz w:val="20"/>
          <w:vertAlign w:val="subscript"/>
        </w:rPr>
        <w:t>oc</w:t>
      </w:r>
      <w:r>
        <w:rPr>
          <w:rFonts w:ascii="Times New Roman" w:hAnsi="Times New Roman"/>
          <w:i/>
          <w:sz w:val="20"/>
        </w:rPr>
        <w:t>, J</w:t>
      </w:r>
      <w:r>
        <w:rPr>
          <w:rFonts w:ascii="Times New Roman" w:hAnsi="Times New Roman"/>
          <w:i/>
          <w:sz w:val="20"/>
          <w:vertAlign w:val="subscript"/>
        </w:rPr>
        <w:t>sc</w:t>
      </w:r>
      <w:r>
        <w:rPr>
          <w:rFonts w:ascii="Times New Roman" w:hAnsi="Times New Roman"/>
          <w:i/>
          <w:sz w:val="20"/>
        </w:rPr>
        <w:t>, and FF.</w:t>
      </w:r>
    </w:p>
    <w:p>
      <w:pPr>
        <w:jc w:val="both"/>
      </w:pPr>
      <w:r>
        <w:rPr>
          <w:rFonts w:ascii="Times New Roman" w:hAnsi="Times New Roman"/>
          <w:sz w:val="22"/>
        </w:rPr>
        <w:t xml:space="preserve">Mean PCE = 25.92 ± 1.78 % (median 25.85 %), with 5th/95th percentiles 23.38 % / 28.81 %. Mean Voc = 1.087 ± 0.021 V. The UQ gives a 5th-to-95th percentile window of 23.38–28.81 %.</w:t>
      </w:r>
    </w:p>
    <w:p>
      <w:pPr>
        <w:pStyle w:val="Heading2"/>
      </w:pPr>
      <w:r>
        <w:t>R. Illumination dependence</w:t>
      </w:r>
    </w:p>
    <w:p>
      <w:r>
        <w:rPr/>
        <w:t>The performance of the optimized device was evaluated under illumination intensities ranging from 0.1 to 1.5 suns (Figure 18). J</w:t>
      </w:r>
      <w:r>
        <w:rPr>
          <w:vertAlign w:val="subscript"/>
        </w:rPr>
        <w:t>sc</w:t>
      </w:r>
      <w:r>
        <w:rPr/>
        <w:t xml:space="preserve"> scales almost linearly with intensity, as expected from the linear dependence of the photogenerated carrier density on the photon flux, whereas V</w:t>
      </w:r>
      <w:r>
        <w:rPr>
          <w:vertAlign w:val="subscript"/>
        </w:rPr>
        <w:t>oc</w:t>
      </w:r>
      <w:r>
        <w:rPr/>
        <w:t xml:space="preserve"> increases logarithmically with intensity. The logarithmic slope of V</w:t>
      </w:r>
      <w:r>
        <w:rPr>
          <w:vertAlign w:val="subscript"/>
        </w:rPr>
        <w:t>oc</w:t>
      </w:r>
      <w:r>
        <w:rPr/>
        <w:t xml:space="preserve"> versus illumination intensity corresponds to an ideality factor of n ≈ 1.17, indicating that Shockley–Read–Hall recombination through deep defects is not dominant under operating conditions. The device therefore operates efficiently across the full 0.1–1.5 sun range tested.</w:t>
      </w:r>
    </w:p>
    <w:p>
      <w:pPr>
        <w:keepNext/>
        <w:keepLines/>
        <w:jc w:val="center"/>
      </w:pPr>
      <w:r/>
      <w:r>
        <w:drawing>
          <wp:inline xmlns:a="http://schemas.openxmlformats.org/drawingml/2006/main" xmlns:pic="http://schemas.openxmlformats.org/drawingml/2006/picture">
            <wp:extent cx="4457700" cy="3109133"/>
            <wp:docPr id="24" name="Pict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457700" cy="3109133"/>
                    </a:xfrm>
                    <a:prstGeom prst="rect"/>
                  </pic:spPr>
                </pic:pic>
              </a:graphicData>
            </a:graphic>
          </wp:inline>
        </w:drawing>
      </w:r>
    </w:p>
    <w:p>
      <w:pPr>
        <w:jc w:val="center"/>
      </w:pPr>
      <w:r>
        <w:rPr>
          <w:sz w:val="20"/>
        </w:rPr>
        <w:t>Fig. 18. Variation of photovoltaic parameters of the optimized device with illumination intensity from 0.1 to 1.5 suns.</w:t>
      </w:r>
    </w:p>
    <w:p>
      <w:pPr>
        <w:pStyle w:val="Heading2"/>
      </w:pPr>
      <w:r>
        <w:t>S. Dark J–V characteristics</w:t>
      </w:r>
    </w:p>
    <w:p>
      <w:r>
        <w:rPr/>
        <w:t xml:space="preserve">The dark J–V characteristic of the optimized device (Figure 19) exhibits strong rectifying behavior. Over the recorded bias window (−0.5 to +1.3 V), the forward current density at +1 V exceeds the reverse current density at −0.5 V by a factor of 1.8×10¹⁰, indicating strong rectification. The reverse leakage current density remains below 10⁻¹⁰ A/cm² throughout the recorded reverse-bias range. Fitting the exponential forward region yields an ideality factor of n ≈ 1.5 and a reverse saturation current density of approximately J0 ≈ 5×10⁻¹¹ A/cm², confirming the high quality of the optimized bulk and interface layers and the absence of measurable shunt paths.</w:t>
      </w:r>
    </w:p>
    <w:p>
      <w:pPr>
        <w:keepNext/>
        <w:keepLines/>
        <w:jc w:val="center"/>
      </w:pPr>
      <w:r/>
      <w:r>
        <w:drawing>
          <wp:inline xmlns:a="http://schemas.openxmlformats.org/drawingml/2006/main" xmlns:pic="http://schemas.openxmlformats.org/drawingml/2006/picture">
            <wp:extent cx="4457700" cy="1853159"/>
            <wp:docPr id="25" name="Pict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457700" cy="1853159"/>
                    </a:xfrm>
                    <a:prstGeom prst="rect"/>
                  </pic:spPr>
                </pic:pic>
              </a:graphicData>
            </a:graphic>
          </wp:inline>
        </w:drawing>
      </w:r>
    </w:p>
    <w:p>
      <w:pPr>
        <w:jc w:val="center"/>
      </w:pPr>
      <w:r>
        <w:rPr>
          <w:sz w:val="20"/>
        </w:rPr>
        <w:t>Fig. 19. Dark J–V characteristic of the optimized device. The forward branch is exponential over nearly three decades; the reverse branch remains below 10⁻¹⁰ A/cm².</w:t>
      </w:r>
    </w:p>
    <w:p>
      <w:pPr>
        <w:pStyle w:val="Heading2"/>
      </w:pPr>
      <w:r>
        <w:t>T. Temperature Dependence</w:t>
      </w:r>
    </w:p>
    <w:p>
      <w:pPr>
        <w:jc w:val="both"/>
      </w:pPr>
      <w:r>
        <w:rPr>
          <w:rFonts w:ascii="Times New Roman" w:hAnsi="Times New Roman"/>
          <w:sz w:val="22"/>
        </w:rPr>
        <w:t>Temperature dependence from 280 K to 400 K (20 K increments) under AM 1.5G.</w:t>
      </w:r>
    </w:p>
    <w:p>
      <w:pPr>
        <w:keepNext/>
        <w:keepLines/>
        <w:jc w:val="center"/>
      </w:pPr>
      <w:r>
        <w:drawing>
          <wp:inline xmlns:a="http://schemas.openxmlformats.org/drawingml/2006/main" xmlns:pic="http://schemas.openxmlformats.org/drawingml/2006/picture">
            <wp:extent cx="4572000" cy="3188855"/>
            <wp:docPr id="6" name="Picture 6"/>
            <wp:cNvGraphicFramePr>
              <a:graphicFrameLocks noChangeAspect="1"/>
            </wp:cNvGraphicFramePr>
            <a:graphic>
              <a:graphicData uri="http://schemas.openxmlformats.org/drawingml/2006/picture">
                <pic:pic>
                  <pic:nvPicPr>
                    <pic:cNvPr id="0" name="temperature_sweep.png"/>
                    <pic:cNvPicPr/>
                  </pic:nvPicPr>
                  <pic:blipFill>
                    <a:blip r:embed="rId14"/>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20. Temperature dependence of photovoltaic parameters from 280 K to 400 K.</w:t>
      </w:r>
    </w:p>
    <w:p>
      <w:pPr>
        <w:jc w:val="both"/>
      </w:pPr>
      <w:r>
        <w:rPr>
          <w:rFonts w:ascii="Times New Roman" w:hAnsi="Times New Roman"/>
          <w:sz w:val="22"/>
        </w:rPr>
        <w:t>dV</w:t>
      </w:r>
      <w:r>
        <w:rPr>
          <w:rFonts w:ascii="Times New Roman" w:hAnsi="Times New Roman"/>
          <w:sz w:val="22"/>
          <w:vertAlign w:val="subscript"/>
        </w:rPr>
        <w:t>oc</w:t>
      </w:r>
      <w:r>
        <w:rPr>
          <w:rFonts w:ascii="Times New Roman" w:hAnsi="Times New Roman"/>
          <w:sz w:val="22"/>
        </w:rPr>
        <w:t>/dT = −1.10 mV/K, dPCE/dT = −0.0304 %/K. J</w:t>
      </w:r>
      <w:r>
        <w:rPr>
          <w:rFonts w:ascii="Times New Roman" w:hAnsi="Times New Roman"/>
          <w:sz w:val="22"/>
          <w:vertAlign w:val="subscript"/>
        </w:rPr>
        <w:t>sc</w:t>
      </w:r>
      <w:r>
        <w:rPr>
          <w:rFonts w:ascii="Times New Roman" w:hAnsi="Times New Roman"/>
          <w:sz w:val="22"/>
        </w:rPr>
        <w:t xml:space="preserve"> increases marginally. FF peaks at 340 K (80.27 %). Device retains &gt;85 % of RT PCE at 400 K.</w:t>
      </w:r>
    </w:p>
    <w:sectPr w:rsidR="00FC693F" w:rsidRPr="0006063C" w:rsidSect="00034616">
      <w:pgSz w:w="12240" w:h="15840"/>
      <w:pgMar w:top="1440" w:right="1800" w:bottom="1440" w:left="1800" w:header="720" w:footer="720" w:gutter="0"/>
      <w:cols w:space="720"/>
      <w:docGrid w:linePitch="360"/>
    </w:sectPr>
    <w:p>
      <w:pPr>
        <w:pStyle w:val="Heading1"/>
        <w:keepNext/>
        <w:spacing w:before="320" w:after="120" w:line="360" w:lineRule="auto"/>
      </w:pPr>
      <w:r>
        <w:rPr>
          <w:rFonts w:ascii="Times New Roman" w:hAnsi="Times New Roman" w:cs="Times New Roman"/>
          <w:b/>
          <w:i w:val="0"/>
          <w:sz w:val="28"/>
        </w:rPr>
        <w:t>VI. Comparison with Literature</w:t>
      </w:r>
    </w:p>
    <w:p>
      <w:pPr>
        <w:spacing w:line="360" w:lineRule="auto" w:before="120" w:after="120"/>
        <w:ind w:firstLine="283"/>
        <w:jc w:val="both"/>
      </w:pPr>
      <w:r>
        <w:rPr>
          <w:rFonts w:ascii="Times New Roman" w:hAnsi="Times New Roman"/>
          <w:b w:val="0"/>
          <w:i w:val="0"/>
          <w:sz w:val="24"/>
        </w:rPr>
        <w:t xml:space="preserve">Table VIII compares the optimized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device with recently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-based and related lead-free Ge/Sn-based perovskite solar cells. The proposed device delivers the highest Voc (1.12 V) among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studies and a PCE of 26.80%, within 0.41 pp of the best reported value (27.21%, Loumachi et al. [22]) and exceeding the 26.47% of Pathak et al. [23] by 0.33 pp, the 18.60% of Raj et al. [39] by 8.20 pp, and the 9.77% simulation baseline of Pindolia et al. [14] by 17 pp. The performance is competitive with the best tin-based lead-free devices (including the 26.40% </w:t>
      </w:r>
      <w:r>
        <w:rPr>
          <w:rFonts w:ascii="Times New Roman" w:hAnsi="Times New Roman"/>
          <w:b w:val="0"/>
          <w:i w:val="0"/>
          <w:sz w:val="24"/>
        </w:rPr>
        <w:t xml:space="preserve">CsSnI</w:t>
      </w:r>
      <w:r>
        <w:rPr>
          <w:rFonts w:ascii="Times New Roman" w:hAnsi="Times New Roman"/>
          <w:b w:val="0"/>
          <w:i w:val="0"/>
          <w:sz w:val="24"/>
          <w:vertAlign w:val="subscript"/>
        </w:rPr>
        <w:t xml:space="preserve">3</w:t>
      </w:r>
      <w:r>
        <w:rPr>
          <w:rFonts w:ascii="Times New Roman" w:hAnsi="Times New Roman"/>
          <w:b w:val="0"/>
          <w:i w:val="0"/>
          <w:sz w:val="24"/>
        </w:rPr>
        <w:t xml:space="preserve"> device of Park et al. [40] and the 25.98% </w:t>
      </w:r>
      <w:r>
        <w:rPr>
          <w:rFonts w:ascii="Times New Roman" w:hAnsi="Times New Roman"/>
          <w:b w:val="0"/>
          <w:i w:val="0"/>
          <w:sz w:val="24"/>
        </w:rPr>
        <w:t xml:space="preserve">MASnI</w:t>
      </w:r>
      <w:r>
        <w:rPr>
          <w:rFonts w:ascii="Times New Roman" w:hAnsi="Times New Roman"/>
          <w:b w:val="0"/>
          <w:i w:val="0"/>
          <w:sz w:val="24"/>
          <w:vertAlign w:val="subscript"/>
        </w:rPr>
        <w:t xml:space="preserve">3</w:t>
      </w:r>
      <w:r>
        <w:rPr>
          <w:rFonts w:ascii="Times New Roman" w:hAnsi="Times New Roman"/>
          <w:b w:val="0"/>
          <w:i w:val="0"/>
          <w:sz w:val="24"/>
        </w:rPr>
        <w:t xml:space="preserve"> device of Islam et al. [41]), while avoiding the Sn²⁺ → Sn⁴⁺ oxidation that limits the long-term stability of tin-based absorbers. The proposed PCE also exceeds that of CZTS-HTL lead-free devices reported by Piñón Reyes et al. [42], confirming the competitiveness of the all-inorganic CuI HTL approach adopted here.</w:t>
      </w:r>
    </w:p>
    <w:p>
      <w:pPr>
        <w:spacing w:line="360" w:lineRule="auto" w:before="120" w:after="120"/>
        <w:ind w:firstLine="283"/>
        <w:jc w:val="both"/>
      </w:pPr>
      <w:r>
        <w:rPr>
          <w:rFonts w:ascii="Times New Roman" w:hAnsi="Times New Roman"/>
          <w:b w:val="0"/>
          <w:i w:val="0"/>
          <w:sz w:val="24"/>
        </w:rPr>
        <w:t xml:space="preserve">All comparator values in Table VIII were cross-checked against the primary sources; where an entry was internally inconsistent, the efficiency consistent with its reported Voc, Jsc, and FF was adopted. All entries are SCAPS-1D simulation studies, including the Pindolia et al. entry (not an experimental study, despite occasional mischaracterization); the Loumachi et al. device string is ITO/C60/</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/CBTS/Ag (Section II).</w:t>
      </w:r>
    </w:p>
    <w:p>
      <w:pPr>
        <w:keepNext/>
        <w:spacing w:before="120" w:after="40"/>
        <w:jc w:val="center"/>
      </w:pPr>
      <w:r>
        <w:rPr>
          <w:rFonts w:ascii="Times New Roman" w:hAnsi="Times New Roman" w:cs="Times New Roman"/>
          <w:b/>
          <w:i w:val="0"/>
          <w:sz w:val="20"/>
        </w:rPr>
        <w:t>Table VIII. Comparison of the proposed device with recently reported lead-free perovskite solar cells. All comparator values verified against primary sources. All entries are SCAPS-1D simulation studies.</w:t>
      </w:r>
    </w:p>
    <w:tbl>
      <w:tblPr>
        <w:tblStyle w:val="LightGrid-Accent1"/>
        <w:tblLook w:firstColumn="1" w:firstRow="1" w:lastColumn="0" w:lastRow="0" w:noHBand="0" w:noVBand="1" w:val="04A0"/>
        <w:tblW w:type="pct" w:w="5000"/>
        <w:tblLayout w:type="autofit"/>
      </w:tblPr>
      <w:tblGrid>
        <w:gridCol w:w="1337"/>
        <w:gridCol w:w="1337"/>
        <w:gridCol w:w="1337"/>
        <w:gridCol w:w="1337"/>
        <w:gridCol w:w="1337"/>
        <w:gridCol w:w="1337"/>
        <w:gridCol w:w="1337"/>
      </w:tblGrid>
      <w:tr>
        <w:trPr>
          <w:tblHeader w:val="true"/>
          <w:cantSplit w:val="true"/>
        </w:trPr>
        <w:tc>
          <w:tcPr>
            <w:tcW w:type="dxa" w:w="3118"/>
          </w:tcPr>
          <w:p>
            <w:pPr>
              <w:jc w:val="center"/>
            </w:pPr>
            <w:r>
              <w:rPr>
                <w:rFonts w:ascii="Times New Roman" w:hAnsi="Times New Roman" w:cs="Times New Roman"/>
                <w:b w:val="0"/>
                <w:i w:val="0"/>
                <w:sz w:val="18"/>
              </w:rPr>
            </w:r>
            <w:r>
              <w:rPr>
                <w:rFonts w:ascii="Times New Roman" w:hAnsi="Times New Roman" w:cs="Times New Roman"/>
                <w:b/>
                <w:i w:val="0"/>
                <w:sz w:val="18"/>
              </w:rPr>
              <w:t>Device Structure</w:t>
            </w:r>
          </w:p>
        </w:tc>
        <w:tc>
          <w:tcPr>
            <w:tcW w:type="dxa" w:w="964"/>
          </w:tcPr>
          <w:p>
            <w:pPr>
              <w:jc w:val="center"/>
            </w:pPr>
            <w:r>
              <w:rPr>
                <w:rFonts w:ascii="Times New Roman" w:hAnsi="Times New Roman" w:cs="Times New Roman"/>
                <w:sz w:val="18"/>
                <w:b w:val="0"/>
                <w:i w:val="0"/>
              </w:rPr>
              <w:t>V</w:t>
            </w:r>
            <w:r>
              <w:rPr>
                <w:rFonts w:ascii="Times New Roman" w:hAnsi="Times New Roman" w:cs="Times New Roman"/>
                <w:vertAlign w:val="subscript"/>
                <w:sz w:val="18"/>
                <w:b w:val="0"/>
                <w:i w:val="0"/>
              </w:rPr>
              <w:t>oc</w:t>
            </w:r>
            <w:r>
              <w:rPr>
                <w:rFonts w:ascii="Times New Roman" w:hAnsi="Times New Roman" w:cs="Times New Roman"/>
                <w:sz w:val="18"/>
                <w:b w:val="0"/>
                <w:i w:val="0"/>
              </w:rPr>
              <w:t xml:space="preserve"> (V)</w:t>
            </w:r>
          </w:p>
        </w:tc>
        <w:tc>
          <w:tcPr>
            <w:tcW w:type="dxa" w:w="1134"/>
          </w:tcPr>
          <w:p>
            <w:pPr>
              <w:jc w:val="center"/>
            </w:pPr>
            <w:r>
              <w:rPr>
                <w:rFonts w:ascii="Times New Roman" w:hAnsi="Times New Roman" w:cs="Times New Roman"/>
                <w:sz w:val="18"/>
                <w:b w:val="0"/>
                <w:i w:val="0"/>
              </w:rPr>
              <w:t>J</w:t>
            </w:r>
            <w:r>
              <w:rPr>
                <w:rFonts w:ascii="Times New Roman" w:hAnsi="Times New Roman" w:cs="Times New Roman"/>
                <w:vertAlign w:val="subscript"/>
                <w:sz w:val="18"/>
                <w:b w:val="0"/>
                <w:i w:val="0"/>
              </w:rPr>
              <w:t>sc</w:t>
            </w:r>
            <w:r>
              <w:rPr>
                <w:rFonts w:ascii="Times New Roman" w:hAnsi="Times New Roman" w:cs="Times New Roman"/>
                <w:sz w:val="18"/>
                <w:b w:val="0"/>
                <w:i w:val="0"/>
              </w:rPr>
              <w:t xml:space="preserve"> (mA/cm²)</w:t>
            </w:r>
          </w:p>
        </w:tc>
        <w:tc>
          <w:tcPr>
            <w:tcW w:type="dxa" w:w="794"/>
          </w:tcPr>
          <w:p>
            <w:pPr>
              <w:jc w:val="center"/>
            </w:pPr>
            <w:r>
              <w:rPr>
                <w:rFonts w:ascii="Times New Roman" w:hAnsi="Times New Roman" w:cs="Times New Roman"/>
                <w:b w:val="0"/>
                <w:i w:val="0"/>
                <w:sz w:val="18"/>
              </w:rPr>
            </w:r>
            <w:r>
              <w:rPr>
                <w:rFonts w:ascii="Times New Roman" w:hAnsi="Times New Roman" w:cs="Times New Roman"/>
                <w:b/>
                <w:i w:val="0"/>
                <w:sz w:val="18"/>
              </w:rPr>
              <w:t>FF (%)</w:t>
            </w:r>
          </w:p>
        </w:tc>
        <w:tc>
          <w:tcPr>
            <w:tcW w:type="dxa" w:w="794"/>
          </w:tcPr>
          <w:p>
            <w:pPr>
              <w:jc w:val="center"/>
            </w:pPr>
            <w:r>
              <w:rPr>
                <w:rFonts w:ascii="Times New Roman" w:hAnsi="Times New Roman" w:cs="Times New Roman"/>
                <w:b w:val="0"/>
                <w:i w:val="0"/>
                <w:sz w:val="18"/>
              </w:rPr>
            </w:r>
            <w:r>
              <w:rPr>
                <w:rFonts w:ascii="Times New Roman" w:hAnsi="Times New Roman" w:cs="Times New Roman"/>
                <w:b/>
                <w:i w:val="0"/>
                <w:sz w:val="18"/>
              </w:rPr>
              <w:t>PCE (%)</w:t>
            </w:r>
          </w:p>
        </w:tc>
        <w:tc>
          <w:tcPr>
            <w:tcW w:type="dxa" w:w="1134"/>
          </w:tcPr>
          <w:p>
            <w:pPr>
              <w:jc w:val="center"/>
            </w:pPr>
            <w:r>
              <w:rPr>
                <w:rFonts w:ascii="Times New Roman" w:hAnsi="Times New Roman" w:cs="Times New Roman"/>
                <w:b w:val="0"/>
                <w:i w:val="0"/>
                <w:sz w:val="18"/>
              </w:rPr>
            </w:r>
            <w:r>
              <w:rPr>
                <w:rFonts w:ascii="Times New Roman" w:hAnsi="Times New Roman" w:cs="Times New Roman"/>
                <w:b/>
                <w:i w:val="0"/>
                <w:sz w:val="18"/>
              </w:rPr>
              <w:t>Year [Ref.]</w:t>
            </w:r>
          </w:p>
        </w:tc>
        <w:tc>
          <w:tcPr>
            <w:tcW w:type="dxa" w:w="850"/>
          </w:tcPr>
          <w:p>
            <w:pPr>
              <w:jc w:val="center"/>
            </w:pPr>
            <w:r>
              <w:rPr>
                <w:rFonts w:ascii="Times New Roman" w:hAnsi="Times New Roman" w:cs="Times New Roman"/>
                <w:b w:val="0"/>
                <w:i w:val="0"/>
                <w:sz w:val="18"/>
              </w:rPr>
            </w:r>
            <w:r>
              <w:rPr>
                <w:rFonts w:ascii="Times New Roman" w:hAnsi="Times New Roman" w:cs="Times New Roman"/>
                <w:b/>
                <w:i w:val="0"/>
                <w:sz w:val="18"/>
              </w:rPr>
              <w:t>Method</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/NiO/Ag</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0.5311</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28.89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63.68</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9.77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2022 [14]</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0.667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22.06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73.49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10.80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2022 [24]</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ITO/C</w:t>
            </w:r>
            <w:r>
              <w:rPr>
                <w:rFonts w:ascii="Times New Roman" w:hAnsi="Times New Roman" w:cs="Times New Roman"/>
                <w:vertAlign w:val="subscript"/>
                <w:sz w:val="18"/>
                <w:b w:val="0"/>
                <w:i w:val="0"/>
              </w:rPr>
              <w:t>60</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/CBTS/Ag</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0.99</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33.20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82.80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27.21</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2024 [22]</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/PEDOT:PSS/Au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0.813</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30.84</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74.19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18.60</w:t>
            </w:r>
          </w:p>
        </w:tc>
        <w:tc>
          <w:tcPr>
            <w:tcW w:type="dxa" w:w="1134"/>
          </w:tcPr>
          <w:p>
            <w:pPr>
              <w:jc w:val="center"/>
            </w:pPr>
            <w:r>
              <w:rPr>
                <w:rFonts w:ascii="Times New Roman" w:hAnsi="Times New Roman" w:cs="Times New Roman"/>
                <w:b w:val="0"/>
                <w:i w:val="0"/>
                <w:sz w:val="18"/>
              </w:rPr>
              <w:t xml:space="preserve">2025 [39]</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/MASnI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1.030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30.24</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83.41</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25.98</w:t>
            </w:r>
          </w:p>
        </w:tc>
        <w:tc>
          <w:tcPr>
            <w:tcW w:type="dxa" w:w="1134"/>
          </w:tcPr>
          <w:p>
            <w:pPr>
              <w:jc w:val="center"/>
            </w:pPr>
            <w:r>
              <w:rPr>
                <w:rFonts w:ascii="Times New Roman" w:hAnsi="Times New Roman" w:cs="Times New Roman"/>
                <w:b w:val="0"/>
                <w:i w:val="0"/>
                <w:sz w:val="18"/>
              </w:rPr>
              <w:t xml:space="preserve">2026 [41]</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/MASnI</w:t>
            </w:r>
            <w:r>
              <w:rPr>
                <w:rFonts w:ascii="Times New Roman" w:hAnsi="Times New Roman" w:cs="Times New Roman"/>
                <w:vertAlign w:val="subscript"/>
                <w:sz w:val="18"/>
                <w:b w:val="0"/>
                <w:i w:val="0"/>
              </w:rPr>
              <w:t>3</w:t>
            </w:r>
            <w:r>
              <w:rPr>
                <w:rFonts w:ascii="Times New Roman" w:hAnsi="Times New Roman" w:cs="Times New Roman"/>
                <w:sz w:val="18"/>
                <w:b w:val="0"/>
                <w:i w:val="0"/>
              </w:rPr>
              <w:t>/CZTS/Au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0.96</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31.66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67.00</w:t>
            </w:r>
          </w:p>
        </w:tc>
        <w:tc>
          <w:tcPr>
            <w:tcW w:type="dxa" w:w="794"/>
          </w:tcPr>
          <w:p>
            <w:pPr>
              <w:jc w:val="center"/>
            </w:pPr>
            <w:r>
              <w:rPr>
                <w:rFonts w:ascii="Times New Roman" w:hAnsi="Times New Roman" w:cs="Times New Roman"/>
                <w:b w:val="0"/>
                <w:i w:val="0"/>
                <w:sz w:val="18"/>
              </w:rPr>
              <w:t xml:space="preserve">20.36</w:t>
            </w:r>
          </w:p>
        </w:tc>
        <w:tc>
          <w:tcPr>
            <w:tcW w:type="dxa" w:w="1134"/>
          </w:tcPr>
          <w:p>
            <w:pPr>
              <w:jc w:val="center"/>
            </w:pPr>
            <w:r>
              <w:rPr>
                <w:rFonts w:ascii="Times New Roman" w:hAnsi="Times New Roman" w:cs="Times New Roman"/>
                <w:b w:val="0"/>
                <w:i w:val="0"/>
                <w:sz w:val="18"/>
              </w:rPr>
              <w:t xml:space="preserve">2025 [42]</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/CsSnI</w:t>
            </w:r>
            <w:r>
              <w:rPr>
                <w:rFonts w:ascii="Times New Roman" w:hAnsi="Times New Roman" w:cs="Times New Roman"/>
                <w:vertAlign w:val="subscript"/>
                <w:sz w:val="18"/>
                <w:b w:val="0"/>
                <w:i w:val="0"/>
              </w:rPr>
              <w:t>3</w:t>
            </w:r>
            <w:r>
              <w:rPr>
                <w:rFonts w:ascii="Times New Roman" w:hAnsi="Times New Roman" w:cs="Times New Roman"/>
                <w:sz w:val="18"/>
                <w:b w:val="0"/>
                <w:i w:val="0"/>
              </w:rPr>
              <w:t>/P3HT/Au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0.972</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34.70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78.21</w:t>
            </w:r>
          </w:p>
        </w:tc>
        <w:tc>
          <w:tcPr>
            <w:tcW w:type="dxa" w:w="794"/>
          </w:tcPr>
          <w:p>
            <w:pPr>
              <w:jc w:val="center"/>
            </w:pPr>
            <w:r>
              <w:rPr>
                <w:rFonts w:ascii="Times New Roman" w:hAnsi="Times New Roman" w:cs="Times New Roman"/>
                <w:b w:val="0"/>
                <w:i w:val="0"/>
                <w:sz w:val="18"/>
              </w:rPr>
              <w:t xml:space="preserve">26.38</w:t>
            </w:r>
          </w:p>
        </w:tc>
        <w:tc>
          <w:tcPr>
            <w:tcW w:type="dxa" w:w="1134"/>
          </w:tcPr>
          <w:p>
            <w:pPr>
              <w:jc w:val="center"/>
            </w:pPr>
            <w:r>
              <w:rPr>
                <w:rFonts w:ascii="Times New Roman" w:hAnsi="Times New Roman" w:cs="Times New Roman"/>
                <w:b w:val="0"/>
                <w:i w:val="0"/>
                <w:sz w:val="18"/>
              </w:rPr>
              <w:t xml:space="preserve">2024 [40]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/Spiro-OMeTAD/Au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1.1813</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26.31</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85.16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26.47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2026 [23]</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/CuI/Au (this work)</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1.12</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30.32</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78.92</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26.80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This work</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bl>
    <w:p>
      <w:pPr>
        <w:spacing w:line="360" w:lineRule="auto" w:before="120" w:after="120"/>
        <w:ind w:firstLine="283"/>
        <w:jc w:val="both"/>
      </w:pPr>
      <w:r>
        <w:rPr>
          <w:rFonts w:ascii="Times New Roman" w:hAnsi="Times New Roman"/>
          <w:b w:val="0"/>
          <w:i w:val="0"/>
          <w:sz w:val="24"/>
        </w:rPr>
        <w:t xml:space="preserve">The optimized device attains a PCE within 0.41 pp of the best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result, delivers the highest Voc among those studies, and remains competitive with the best tin-based lead-free devices, with an all-inorganic transport-layer architecture.</w:t>
      </w:r>
    </w:p>
    <w:p>
      <w:pPr>
        <w:spacing w:line="360" w:lineRule="auto" w:before="120" w:after="120"/>
        <w:ind w:firstLine="283"/>
        <w:jc w:val="both"/>
      </w:pPr>
      <w:r>
        <w:rPr>
          <w:rFonts w:ascii="Times New Roman" w:hAnsi="Times New Roman"/>
          <w:b w:val="0"/>
          <w:i w:val="0"/>
          <w:sz w:val="24"/>
          <w:vertAlign w:val="subscript"/>
        </w:rPr>
      </w:r>
      <w:r>
        <w:rPr>
          <w:rFonts w:ascii="Times New Roman" w:hAnsi="Times New Roman"/>
          <w:b w:val="0"/>
          <w:i w:val="0"/>
          <w:sz w:val="24"/>
        </w:rPr>
        <w:t xml:space="preserve"> The Pindolia et al. [14] simulation baseline of 9.77% leaves ample room for the improvement demonstrated in this work.</w:t>
      </w:r>
      <w:r>
        <w:rPr>
          <w:rFonts w:ascii="Times New Roman" w:hAnsi="Times New Roman"/>
          <w:b w:val="0"/>
          <w:i w:val="0"/>
          <w:sz w:val="24"/>
        </w:rPr>
        <w:t xml:space="preserve">Experimental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solar cells are still rare.</w:t>
      </w:r>
    </w:p>
    <w:p>
      <w:pPr>
        <w:pStyle w:val="Heading1"/>
        <w:keepNext/>
        <w:spacing w:before="320" w:after="120" w:line="360" w:lineRule="auto"/>
      </w:pPr>
      <w:r>
        <w:rPr>
          <w:rFonts w:ascii="Times New Roman" w:hAnsi="Times New Roman" w:cs="Times New Roman"/>
          <w:b/>
          <w:i w:val="0"/>
          <w:sz w:val="28"/>
        </w:rPr>
        <w:t>VII. Limitations and Future Work</w:t>
      </w:r>
    </w:p>
    <w:p>
      <w:pPr>
        <w:pStyle w:val="Heading2"/>
        <w:keepNext/>
        <w:spacing w:before="120" w:after="40" w:line="360" w:lineRule="auto"/>
      </w:pPr>
      <w:r>
        <w:rPr>
          <w:rFonts w:ascii="Times New Roman" w:hAnsi="Times New Roman" w:cs="Times New Roman"/>
          <w:b/>
          <w:i/>
          <w:sz w:val="24"/>
        </w:rPr>
        <w:t>A. Limitations of the present study</w:t>
      </w:r>
    </w:p>
    <w:p>
      <w:pPr>
        <w:spacing w:line="360" w:lineRule="auto" w:before="120" w:after="120"/>
        <w:ind w:firstLine="283"/>
        <w:jc w:val="both"/>
      </w:pPr>
      <w:r>
        <w:rPr/>
        <w:t xml:space="preserve">First, SCAPS-1D assumes idealized conditions (uniform composition, abrupt interfaces, stable parameters) not strictly reproducible experimentally. Second, the adopted defect densities (10¹⁴ cm⁻³ absorber, 10¹⁴ cm⁻² interfaces), while realistic for well-passivated films, are challenging in </w:t>
      </w:r>
      <w:r>
        <w:rPr/>
        <w:t xml:space="preserve">RbGeI</w:t>
      </w:r>
      <w:r>
        <w:rPr>
          <w:vertAlign w:val="subscript"/>
        </w:rPr>
        <w:t xml:space="preserve">3</w:t>
      </w:r>
      <w:r>
        <w:rPr/>
        <w:t xml:space="preserve"> owing to Ge²⁺ oxidation. Third, the model omits optical losses (front-surface reflection, parasitic absorption in transport layers), which would refine Jsc.</w:t>
      </w:r>
    </w:p>
    <w:p>
      <w:pPr>
        <w:pStyle w:val="Heading2"/>
        <w:keepNext/>
        <w:spacing w:before="120" w:after="40" w:line="360" w:lineRule="auto"/>
      </w:pPr>
      <w:r>
        <w:t xml:space="preserve">B. Future work</w:t>
      </w:r>
    </w:p>
    <w:p>
      <w:pPr>
        <w:spacing w:line="360" w:lineRule="auto" w:before="120" w:after="120"/>
        <w:ind w:firstLine="283"/>
        <w:jc w:val="both"/>
      </w:pPr>
      <w:r>
        <w:rPr/>
        <w:t xml:space="preserve">Experimental validation of the optimized device is the most critical next step. Global optimization methods (e.g., Bayesian or genetic algorithms) could identify parameter combinations the one-at-a-time approach misses, and long-term stability testing would assess the practical viability of the </w:t>
      </w:r>
      <w:r>
        <w:rPr/>
        <w:t xml:space="preserve">RbGeI</w:t>
      </w:r>
      <w:r>
        <w:rPr>
          <w:vertAlign w:val="subscript"/>
        </w:rPr>
        <w:t xml:space="preserve">3</w:t>
      </w:r>
      <w:r>
        <w:rPr/>
        <w:t xml:space="preserve">/CuI architecture.</w:t>
      </w:r>
    </w:p>
    <w:p>
      <w:pPr>
        <w:pStyle w:val="Heading1"/>
        <w:keepNext/>
        <w:spacing w:before="320" w:after="120" w:line="360" w:lineRule="auto"/>
      </w:pPr>
      <w:r>
        <w:rPr>
          <w:rFonts w:ascii="Times New Roman" w:hAnsi="Times New Roman" w:cs="Times New Roman"/>
          <w:b/>
          <w:i w:val="0"/>
          <w:sz w:val="28"/>
        </w:rPr>
        <w:t>VIII. Conclusion</w:t>
      </w:r>
    </w:p>
    <w:p>
      <w:pPr>
        <w:spacing w:line="360" w:lineRule="auto" w:before="120" w:after="120"/>
        <w:ind w:firstLine="283"/>
        <w:jc w:val="both"/>
      </w:pPr>
      <w:r>
        <w:rPr>
          <w:rFonts w:ascii="Times New Roman" w:hAnsi="Times New Roman"/>
          <w:b w:val="0"/>
          <w:i w:val="0"/>
          <w:sz w:val="24"/>
        </w:rPr>
        <w:t>This work has presented a numerical investigation of a lead-free RbGeI</w:t>
      </w:r>
      <w:r>
        <w:rPr>
          <w:rFonts w:ascii="Times New Roman" w:hAnsi="Times New Roman"/>
          <w:b w:val="0"/>
          <w:i w:val="0"/>
          <w:sz w:val="24"/>
          <w:vertAlign w:val="subscript"/>
        </w:rPr>
        <w:t>3</w:t>
      </w:r>
      <w:r>
        <w:rPr>
          <w:rFonts w:ascii="Times New Roman" w:hAnsi="Times New Roman"/>
          <w:b w:val="0"/>
          <w:i w:val="0"/>
          <w:sz w:val="24"/>
        </w:rPr>
        <w:t xml:space="preserve"> perovskite solar cell using the SCAPS-1D simulation software. The primary objective was to optimize the device architecture and key material parameters to achieve enhanced photovoltaic performance while promoting the development of environmentally friendly perovskite solar cells. Unlike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is non-toxic and keeps the optoelectronic properties a solar absorber needs, which makes it a credible candidate for future photovoltaic applications.</w:t>
      </w:r>
    </w:p>
    <w:p>
      <w:pPr>
        <w:spacing w:line="360" w:lineRule="auto" w:before="120" w:after="120"/>
        <w:ind w:firstLine="283"/>
        <w:jc w:val="both"/>
      </w:pPr>
      <w:r>
        <w:rPr>
          <w:rFonts w:ascii="Times New Roman" w:hAnsi="Times New Roman"/>
          <w:b w:val="0"/>
          <w:i w:val="0"/>
          <w:sz w:val="24"/>
        </w:rPr>
        <w:t>Initially, eight different device configurations comprising various combinations of electron transport layers (TiO</w:t>
      </w:r>
      <w:r>
        <w:rPr>
          <w:rFonts w:ascii="Times New Roman" w:hAnsi="Times New Roman"/>
          <w:b w:val="0"/>
          <w:i w:val="0"/>
          <w:sz w:val="24"/>
          <w:vertAlign w:val="subscript"/>
        </w:rPr>
        <w:t>2</w:t>
      </w:r>
      <w:r>
        <w:rPr>
          <w:rFonts w:ascii="Times New Roman" w:hAnsi="Times New Roman"/>
          <w:b w:val="0"/>
          <w:i w:val="0"/>
          <w:sz w:val="24"/>
        </w:rPr>
        <w:t xml:space="preserve"> and PCBM) and hole transport layers (NiO, CuI, CBTS, and Spiro-OMeTAD) were systematically evaluated. The comparative analysis demonstrated that the device employing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delivered competitive photovoltaic characteristics and was selected as the baseline for optimization on the grounds of long-term stability, fabrication cost, and hole-mobility advantages of the inorganic CuI HTL, although its initial efficiency was not the highest among the eight candidates. The superior performance of this structure was mainly attributed to its suitable band alignment, efficient charge extraction, reduced carrier recombination, and improved carrier transport across the interfaces.</w:t>
      </w:r>
    </w:p>
    <w:p>
      <w:pPr>
        <w:spacing w:line="360" w:lineRule="auto" w:before="120" w:after="120"/>
        <w:ind w:firstLine="283"/>
        <w:jc w:val="both"/>
      </w:pPr>
      <w:r>
        <w:rPr>
          <w:rFonts w:ascii="Times New Roman" w:hAnsi="Times New Roman"/>
          <w:b w:val="0"/>
          <w:i w:val="0"/>
          <w:sz w:val="24"/>
        </w:rPr>
        <w:t xml:space="preserve">After sequential optimization of eleven device parameters, the consolidated device achieved a PCE of 26.80% (Voc = 1.12 V, Jsc = 30.32 mA/cm², FF = 78.92%). This places the device within 0.4 percentage points of the best previously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result and confirms that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with a bandgap of 1.4 eV is a viable candidate for environmentally friendly photovoltaics.</w:t>
      </w:r>
    </w:p>
    <w:p>
      <w:pPr>
        <w:pStyle w:val="Heading1"/>
        <w:keepNext/>
        <w:spacing w:before="320" w:after="120" w:line="360" w:lineRule="auto"/>
      </w:pPr>
      <w:r>
        <w:rPr>
          <w:rFonts w:ascii="Times New Roman" w:hAnsi="Times New Roman" w:cs="Times New Roman"/>
          <w:b/>
          <w:i w:val="0"/>
          <w:sz w:val="28"/>
        </w:rPr>
        <w:t>References</w:t>
      </w:r>
    </w:p>
    <w:p>
      <w:pPr>
        <w:spacing w:line="192" w:lineRule="auto" w:before="10" w:after="10"/>
        <w:ind w:left="454" w:hanging="454"/>
      </w:pPr>
      <w:r>
        <w:rPr>
          <w:rFonts w:ascii="Times New Roman" w:hAnsi="Times New Roman" w:cs="Times New Roman"/>
          <w:b w:val="0"/>
          <w:i w:val="0"/>
          <w:sz w:val="20"/>
        </w:rPr>
        <w:t xml:space="preserve">[1] </w:t>
      </w:r>
      <w:r>
        <w:rPr>
          <w:rFonts w:ascii="Times New Roman" w:hAnsi="Times New Roman" w:cs="Times New Roman"/>
          <w:b w:val="0"/>
          <w:i w:val="0"/>
          <w:sz w:val="20"/>
        </w:rPr>
        <w:t>RENEWABLES 2024 Global Status Report (REN21, 2024).</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[2] </w:t>
      </w:r>
      <w:r>
        <w:rPr>
          <w:rFonts w:ascii="Times New Roman" w:hAnsi="Times New Roman" w:cs="Times New Roman"/>
          <w:b w:val="0"/>
          <w:i w:val="0"/>
          <w:sz w:val="20"/>
        </w:rPr>
        <w:t>World Energy Outlook 2024 (International Energy Agency, IEA, 2024).</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[3] </w:t>
      </w:r>
      <w:r>
        <w:rPr>
          <w:rFonts w:ascii="Times New Roman" w:hAnsi="Times New Roman" w:cs="Times New Roman"/>
          <w:b w:val="0"/>
          <w:i w:val="0"/>
          <w:sz w:val="20"/>
        </w:rPr>
        <w:t>M. A. Green et al., “Solar cell efficiency tables (Version 64),” Prog. Photovolt.: Res. Appl. (2024). doi:10.1002/pip.3831.</w:t>
      </w:r>
    </w:p>
    <w:p>
      <w:pPr>
        <w:spacing w:line="192" w:lineRule="auto" w:before="10" w:after="10"/>
        <w:ind w:left="454" w:hanging="454"/>
      </w:pPr>
      <w:r>
        <w:rPr>
          <w:rFonts w:ascii="Times New Roman" w:hAnsi="Times New Roman" w:cs="Times New Roman"/>
          <w:b w:val="0"/>
          <w:i w:val="0"/>
          <w:sz w:val="20"/>
        </w:rPr>
        <w:t xml:space="preserve">[4] </w:t>
      </w:r>
      <w:r>
        <w:rPr>
          <w:rFonts w:ascii="Times New Roman" w:hAnsi="Times New Roman" w:cs="Times New Roman"/>
          <w:b w:val="0"/>
          <w:i w:val="0"/>
          <w:sz w:val="20"/>
        </w:rPr>
        <w:t>R. A. Afre and D. Pugliese, “Perovskite solar cells: A review of the latest advances in materials, fabrication techniques, and stability enhancement strategies,” Micromachines 15(2), 192 (2024). doi:10.3390/mi15020192.</w:t>
      </w:r>
    </w:p>
    <w:p>
      <w:pPr>
        <w:spacing w:line="192" w:lineRule="auto" w:before="10" w:after="10"/>
        <w:ind w:left="454" w:hanging="454"/>
      </w:pPr>
      <w:r>
        <w:rPr>
          <w:rFonts w:ascii="Times New Roman" w:hAnsi="Times New Roman" w:cs="Times New Roman"/>
          <w:b w:val="0"/>
          <w:i w:val="0"/>
          <w:sz w:val="20"/>
        </w:rPr>
        <w:t xml:space="preserve">[5] </w:t>
      </w:r>
      <w:r>
        <w:rPr>
          <w:rFonts w:ascii="Times New Roman" w:hAnsi="Times New Roman" w:cs="Times New Roman"/>
          <w:b w:val="0"/>
          <w:i w:val="0"/>
          <w:sz w:val="20"/>
        </w:rPr>
        <w:t>N.-G. Park, M. Grätzel, T. Miyasaka, K. Zhu, and K. Emery, “Towards stable and commercially available perovskite solar cells,” Nat. Energy 1(11), 16152 (2016). doi:10.1038/nenergy.2016.152.</w:t>
      </w:r>
    </w:p>
    <w:p>
      <w:pPr>
        <w:spacing w:line="192" w:lineRule="auto" w:before="10" w:after="10"/>
        <w:ind w:left="454" w:hanging="454"/>
      </w:pPr>
      <w:r>
        <w:rPr>
          <w:rFonts w:ascii="Times New Roman" w:hAnsi="Times New Roman" w:cs="Times New Roman"/>
          <w:b w:val="0"/>
          <w:i w:val="0"/>
          <w:sz w:val="20"/>
        </w:rPr>
        <w:t xml:space="preserve">[6] </w:t>
      </w:r>
      <w:r>
        <w:rPr>
          <w:rFonts w:ascii="Times New Roman" w:hAnsi="Times New Roman" w:cs="Times New Roman"/>
          <w:b w:val="0"/>
          <w:i w:val="0"/>
          <w:sz w:val="20"/>
        </w:rPr>
        <w:t>“Compositional engineering of perovskite materials for high-performance solar cells,” Nature 517(7535), 476–480 (2015). doi:10.1038/nature14133.</w:t>
      </w:r>
    </w:p>
    <w:p>
      <w:pPr>
        <w:spacing w:line="192" w:lineRule="auto" w:before="10" w:after="10"/>
        <w:ind w:left="454" w:hanging="454"/>
      </w:pPr>
      <w:r>
        <w:rPr>
          <w:rFonts w:ascii="Times New Roman" w:hAnsi="Times New Roman" w:cs="Times New Roman"/>
          <w:b w:val="0"/>
          <w:i w:val="0"/>
          <w:sz w:val="20"/>
        </w:rPr>
        <w:t xml:space="preserve">[7] </w:t>
      </w:r>
      <w:r>
        <w:rPr>
          <w:rFonts w:ascii="Times New Roman" w:hAnsi="Times New Roman" w:cs="Times New Roman"/>
          <w:b w:val="0"/>
          <w:i w:val="0"/>
          <w:sz w:val="20"/>
        </w:rPr>
        <w:t>I. Ahmed, K. Prakash, and S. M. Mobin, “Lead-free perovskites for solar cell applications: recent progress, ongoing challenges, and strategic approaches,” Chem. Commun. 61(37), 6691–6721 (2025). doi:10.1039/D4CC06835A.</w:t>
      </w:r>
    </w:p>
    <w:p>
      <w:pPr>
        <w:spacing w:line="192" w:lineRule="auto" w:before="10" w:after="10"/>
        <w:ind w:left="454" w:hanging="454"/>
      </w:pPr>
      <w:r>
        <w:rPr>
          <w:rFonts w:ascii="Times New Roman" w:hAnsi="Times New Roman" w:cs="Times New Roman"/>
          <w:b w:val="0"/>
          <w:i w:val="0"/>
          <w:sz w:val="20"/>
        </w:rPr>
        <w:t xml:space="preserve">[8] </w:t>
      </w:r>
      <w:r>
        <w:rPr>
          <w:rFonts w:ascii="Times New Roman" w:hAnsi="Times New Roman" w:cs="Times New Roman"/>
          <w:b w:val="0"/>
          <w:i w:val="0"/>
          <w:sz w:val="20"/>
        </w:rPr>
        <w:t>S. Kinza Fatima et al., “Lead-free perovskites for next-generation applications: a comprehensive computational and data-driven review,” Mater. Adv. 6(21), 7634–7661 (2025). doi:10.1039/D5MA00681C.</w:t>
      </w:r>
    </w:p>
    <w:p>
      <w:pPr>
        <w:spacing w:line="192" w:lineRule="auto" w:before="10" w:after="10"/>
        <w:ind w:left="454" w:hanging="454"/>
      </w:pPr>
      <w:r>
        <w:rPr>
          <w:rFonts w:ascii="Times New Roman" w:hAnsi="Times New Roman" w:cs="Times New Roman"/>
          <w:b w:val="0"/>
          <w:i w:val="0"/>
          <w:sz w:val="20"/>
        </w:rPr>
        <w:t xml:space="preserve">[9] </w:t>
      </w:r>
      <w:r>
        <w:rPr>
          <w:rFonts w:ascii="Times New Roman" w:hAnsi="Times New Roman" w:cs="Times New Roman"/>
          <w:b w:val="0"/>
          <w:i w:val="0"/>
          <w:sz w:val="20"/>
        </w:rPr>
        <w:t>J. Burschka, N. Pellet, S.-J. Moon, R. Humphry-Baker, P. Gao, M. K. Nazeeruddin, and M. Grätzel, “Sequential deposition as a route to high-performance perovskite-sensitized solar cells,” Nature 499(7458), 316–319 (2013). doi:10.1038/nature12340.</w:t>
      </w:r>
    </w:p>
    <w:p>
      <w:pPr>
        <w:spacing w:line="192" w:lineRule="auto" w:before="10" w:after="10"/>
        <w:ind w:left="454" w:hanging="454"/>
      </w:pPr>
      <w:r>
        <w:rPr>
          <w:rFonts w:ascii="Times New Roman" w:hAnsi="Times New Roman" w:cs="Times New Roman"/>
          <w:b w:val="0"/>
          <w:i w:val="0"/>
          <w:sz w:val="20"/>
        </w:rPr>
        <w:t xml:space="preserve">[10] </w:t>
      </w:r>
      <w:r>
        <w:rPr>
          <w:rFonts w:ascii="Times New Roman" w:hAnsi="Times New Roman" w:cs="Times New Roman"/>
          <w:b w:val="0"/>
          <w:i w:val="0"/>
          <w:sz w:val="20"/>
        </w:rPr>
        <w:t>M. M. Lee, J. Teuscher, T. Miyasaka, T. N. Murakami, and H. J. Snaith, “Efficient hybrid solar cells based on meso-superstructured organometal halide perovskites,” Science 338(6107), 643–647 (2012). doi:9.7726/science.1228604.</w:t>
      </w:r>
    </w:p>
    <w:p>
      <w:pPr>
        <w:spacing w:line="192" w:lineRule="auto" w:before="10" w:after="10"/>
        <w:ind w:left="454" w:hanging="454"/>
      </w:pPr>
      <w:r>
        <w:rPr>
          <w:rFonts w:ascii="Times New Roman" w:hAnsi="Times New Roman" w:cs="Times New Roman"/>
          <w:b w:val="0"/>
          <w:i w:val="0"/>
          <w:sz w:val="20"/>
        </w:rPr>
        <w:t xml:space="preserve">[11] </w:t>
      </w:r>
      <w:r>
        <w:rPr>
          <w:rFonts w:ascii="Times New Roman" w:hAnsi="Times New Roman" w:cs="Times New Roman"/>
          <w:b w:val="0"/>
          <w:i w:val="0"/>
          <w:sz w:val="20"/>
        </w:rPr>
        <w:t>A. K. Jena, A. Kulkarni, and T. Miyasaka, “Halide perovskite photovoltaics: Background, status, and future prospects,” Chem. Rev. 119(5), 3036–3103 (2019). doi:10.1021/acs.chemrev.8b00539.</w:t>
      </w:r>
    </w:p>
    <w:p>
      <w:pPr>
        <w:spacing w:line="192" w:lineRule="auto" w:before="10" w:after="10"/>
        <w:ind w:left="454" w:hanging="454"/>
      </w:pPr>
      <w:r>
        <w:rPr>
          <w:rFonts w:ascii="Times New Roman" w:hAnsi="Times New Roman" w:cs="Times New Roman"/>
          <w:b w:val="0"/>
          <w:i w:val="0"/>
          <w:sz w:val="20"/>
        </w:rPr>
        <w:t xml:space="preserve">[12] </w:t>
      </w:r>
      <w:r>
        <w:rPr>
          <w:rFonts w:ascii="Times New Roman" w:hAnsi="Times New Roman" w:cs="Times New Roman"/>
          <w:b w:val="0"/>
          <w:i w:val="0"/>
          <w:sz w:val="20"/>
        </w:rPr>
        <w:t>P. Afrin, K. Farjana, A. Vumije, and M. N. Uddin, “An investigation on the impact of temperature variation over the performance of formamidinium tin iodide perovskite solar cell using SCAPS simulation,” AIP Adv. 14(7) (2024). doi:10.1063/5.0209332.</w:t>
      </w:r>
    </w:p>
    <w:p>
      <w:pPr>
        <w:spacing w:line="192" w:lineRule="auto" w:before="10" w:after="10"/>
        <w:ind w:left="454" w:hanging="454"/>
      </w:pPr>
      <w:r>
        <w:rPr>
          <w:rFonts w:ascii="Times New Roman" w:hAnsi="Times New Roman"/>
          <w:b w:val="0"/>
          <w:i w:val="0"/>
          <w:sz w:val="20"/>
        </w:rPr>
        <w:t>[13] S. Samaki, F. Tchangnwa Nya, G. M. Dzifack Kenfack, and A. Laref, “Materials and interfaces properties optimization for high-efficient and more stable RbGeI</w:t>
      </w:r>
      <w:r>
        <w:rPr>
          <w:rFonts w:ascii="Times New Roman" w:hAnsi="Times New Roman"/>
          <w:b w:val="0"/>
          <w:i w:val="0"/>
          <w:sz w:val="20"/>
          <w:vertAlign w:val="subscript"/>
        </w:rPr>
        <w:t>3</w:t>
      </w:r>
      <w:r>
        <w:rPr>
          <w:rFonts w:ascii="Times New Roman" w:hAnsi="Times New Roman"/>
          <w:b w:val="0"/>
          <w:i w:val="0"/>
          <w:sz w:val="20"/>
        </w:rPr>
        <w:t xml:space="preserve"> perovskite solar cells: optoelectrical modelling,” Sci. Rep. 13, 15517 (2023). doi:10.1038/s41598-023-42471-w.</w:t>
      </w:r>
    </w:p>
    <w:p>
      <w:pPr>
        <w:spacing w:line="192" w:lineRule="auto" w:before="10" w:after="10"/>
        <w:ind w:left="454" w:hanging="454"/>
      </w:pPr>
      <w:r>
        <w:rPr>
          <w:rFonts w:ascii="Times New Roman" w:hAnsi="Times New Roman"/>
          <w:b w:val="0"/>
          <w:i w:val="0"/>
          <w:sz w:val="20"/>
        </w:rPr>
        <w:t>[14] G. Pindolia, S. M. Shinde, and P. K. Jha, “Optimization of an inorganic lead-free RbGeI</w:t>
      </w:r>
      <w:r>
        <w:rPr>
          <w:rFonts w:ascii="Times New Roman" w:hAnsi="Times New Roman"/>
          <w:b w:val="0"/>
          <w:i w:val="0"/>
          <w:sz w:val="20"/>
          <w:vertAlign w:val="subscript"/>
        </w:rPr>
        <w:t>3</w:t>
      </w:r>
      <w:r>
        <w:rPr>
          <w:rFonts w:ascii="Times New Roman" w:hAnsi="Times New Roman"/>
          <w:b w:val="0"/>
          <w:i w:val="0"/>
          <w:sz w:val="20"/>
        </w:rPr>
        <w:t xml:space="preserve"> based perovskite solar cell by SCAPS-1D simulation,” Sol. Energy 236, 802–821 (2022). doi:10.1016/j.solener.2022.03.053.</w:t>
      </w:r>
    </w:p>
    <w:p>
      <w:pPr>
        <w:spacing w:line="192" w:lineRule="auto" w:before="10" w:after="10"/>
        <w:ind w:left="454" w:hanging="454"/>
      </w:pPr>
      <w:r>
        <w:rPr>
          <w:rFonts w:ascii="Times New Roman" w:hAnsi="Times New Roman" w:cs="Times New Roman"/>
          <w:b w:val="0"/>
          <w:i w:val="0"/>
          <w:sz w:val="20"/>
        </w:rPr>
        <w:t xml:space="preserve">[15] </w:t>
      </w:r>
      <w:r>
        <w:rPr>
          <w:rFonts w:ascii="Times New Roman" w:hAnsi="Times New Roman" w:cs="Times New Roman"/>
          <w:b w:val="0"/>
          <w:i w:val="0"/>
          <w:sz w:val="20"/>
        </w:rPr>
        <w:t>S. Bouazizi, W. Tlili, A. Bouich, B. M. Soucase, and A. Omri, “Design and efficiency enhancement of FTO/PC60BM/CsSn0.5Ge0.5I3/Spiro-OMeTAD/Au perovskite solar cell utilizing SCAPS-1D simulator,” Mater. Res. Express 9(9), 096402 (2022). doi:10.1088/2053-1591/ac8d52.</w:t>
      </w:r>
    </w:p>
    <w:p>
      <w:pPr>
        <w:spacing w:line="192" w:lineRule="auto" w:before="10" w:after="10"/>
        <w:ind w:left="454" w:hanging="454"/>
      </w:pPr>
      <w:r>
        <w:rPr>
          <w:rFonts w:ascii="Times New Roman" w:hAnsi="Times New Roman" w:cs="Times New Roman"/>
          <w:b w:val="0"/>
          <w:i w:val="0"/>
          <w:sz w:val="20"/>
        </w:rPr>
        <w:t xml:space="preserve">[16] </w:t>
      </w:r>
      <w:r>
        <w:rPr>
          <w:rFonts w:ascii="Times New Roman" w:hAnsi="Times New Roman" w:cs="Times New Roman"/>
          <w:b w:val="0"/>
          <w:i w:val="0"/>
          <w:sz w:val="20"/>
        </w:rPr>
        <w:t>T. Salim, S. Sun, Y. Abe, A. Krishna, A. C. Grimsdale, and Y. M. Lam, “Perovskite-based solar cells: Impact of materials processing and device architecture,” J. Mater. Chem. A 3(17), 8943–8969 (2015). doi:10.1039/C4TA05226A.</w:t>
      </w:r>
    </w:p>
    <w:p>
      <w:pPr>
        <w:spacing w:line="192" w:lineRule="auto" w:before="10" w:after="10"/>
        <w:ind w:left="454" w:hanging="454"/>
      </w:pPr>
      <w:r>
        <w:rPr>
          <w:rFonts w:ascii="Times New Roman" w:hAnsi="Times New Roman"/>
          <w:b w:val="0"/>
          <w:i w:val="0"/>
          <w:sz w:val="20"/>
        </w:rPr>
        <w:t>[17] P. K. Dash, P. Banarjee, A. Nyayban, and S. Panda, “Optoelectronic properties and performance optimization for photovoltaic applications of R3m-RbGeX</w:t>
      </w:r>
      <w:r>
        <w:rPr>
          <w:rFonts w:ascii="Times New Roman" w:hAnsi="Times New Roman"/>
          <w:b w:val="0"/>
          <w:i w:val="0"/>
          <w:sz w:val="20"/>
          <w:vertAlign w:val="subscript"/>
        </w:rPr>
        <w:t>3</w:t>
      </w:r>
      <w:r>
        <w:rPr>
          <w:rFonts w:ascii="Times New Roman" w:hAnsi="Times New Roman"/>
          <w:b w:val="0"/>
          <w:i w:val="0"/>
          <w:sz w:val="20"/>
        </w:rPr>
        <w:t xml:space="preserve"> (X = Cl, Br, I) perovskites: A combined DFT and SCAPS-1D study,” arXiv:2505.09362 (2025).</w:t>
      </w:r>
    </w:p>
    <w:p>
      <w:pPr>
        <w:spacing w:line="192" w:lineRule="auto" w:before="10" w:after="10"/>
        <w:ind w:left="454" w:hanging="454"/>
      </w:pPr>
      <w:r>
        <w:rPr>
          <w:rFonts w:ascii="Times New Roman" w:hAnsi="Times New Roman"/>
          <w:b w:val="0"/>
          <w:i w:val="0"/>
          <w:sz w:val="20"/>
        </w:rPr>
        <w:t>[18] N. A. Abdulkareem, “A DFT study of structural, electronic and optical properties of lead-free and Ge-based cubic perovskite RbGeX</w:t>
      </w:r>
      <w:r>
        <w:rPr>
          <w:rFonts w:ascii="Times New Roman" w:hAnsi="Times New Roman"/>
          <w:b w:val="0"/>
          <w:i w:val="0"/>
          <w:sz w:val="20"/>
          <w:vertAlign w:val="subscript"/>
        </w:rPr>
        <w:t>3</w:t>
      </w:r>
      <w:r>
        <w:rPr>
          <w:rFonts w:ascii="Times New Roman" w:hAnsi="Times New Roman"/>
          <w:b w:val="0"/>
          <w:i w:val="0"/>
          <w:sz w:val="20"/>
        </w:rPr>
        <w:t xml:space="preserve"> (X = I, Br and Cl),” Passer J. Basic Appl. Sci. 5(1), 46–51 (2023). doi:10.24271/psr.2023.371069.1187.</w:t>
      </w:r>
    </w:p>
    <w:p>
      <w:pPr>
        <w:spacing w:line="192" w:lineRule="auto" w:before="10" w:after="10"/>
        <w:ind w:left="454" w:hanging="454"/>
      </w:pPr>
      <w:r>
        <w:rPr>
          <w:rFonts w:ascii="Times New Roman" w:hAnsi="Times New Roman" w:cs="Times New Roman"/>
          <w:b w:val="0"/>
          <w:i w:val="0"/>
          <w:sz w:val="20"/>
        </w:rPr>
        <w:t xml:space="preserve">[19] </w:t>
      </w:r>
      <w:r>
        <w:rPr>
          <w:rFonts w:ascii="Times New Roman" w:hAnsi="Times New Roman" w:cs="Times New Roman"/>
          <w:b w:val="0"/>
          <w:i w:val="0"/>
          <w:sz w:val="20"/>
        </w:rPr>
        <w:t>M. Burgelman, P. Nollet, and S. Degrave, “Modelling polycrystalline semiconductor solar cells,” Thin Solid Films 361–362, 527–532 (2000). doi:10.1016/S0040-6090(99)00825-1.</w:t>
      </w:r>
    </w:p>
    <w:p>
      <w:pPr>
        <w:spacing w:line="192" w:lineRule="auto" w:before="10" w:after="10"/>
        <w:ind w:left="454" w:hanging="454"/>
      </w:pPr>
      <w:r>
        <w:rPr>
          <w:rFonts w:ascii="Times New Roman" w:hAnsi="Times New Roman" w:cs="Times New Roman"/>
          <w:b w:val="0"/>
          <w:i w:val="0"/>
          <w:sz w:val="20"/>
        </w:rPr>
        <w:t xml:space="preserve">[20] M. Burgelman, M. Debucquoy, K. Decock, J. Verschraegen, and S. Degrave, SCAPS-1D simulation program for thin film solar cells, version 3.3.10 (ELIS, University of Gent, Belgium, 2024).</w:t>
      </w:r>
      <w:r>
        <w:rPr>
          <w:rFonts w:ascii="Times New Roman" w:hAnsi="Times New Roman" w:cs="Times New Roman"/>
          <w:b w:val="0"/>
          <w:i w:val="0"/>
          <w:sz w:val="20"/>
        </w:rPr>
        <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[21] A. Nakane, H. Tampo, M. Tamakoshi, S. Fujimoto, K. M. Kim, S. Kim, H. Shibata, S. Niki, and H. Fujiwara, “Quantitative determination of optical and recombination losses in thin-film photovoltaic devices based on external quantum efficiency analysis,” arXiv:1604.04491 (2016); published in J. Appl. Phys. 120, 064505 (2016), doi:10.1063/1.4960698.</w:t>
      </w:r>
      <w:r>
        <w:rPr>
          <w:rFonts w:ascii="Times New Roman" w:hAnsi="Times New Roman" w:cs="Times New Roman"/>
          <w:b w:val="0"/>
          <w:i w:val="0"/>
          <w:sz w:val="20"/>
        </w:rPr>
        <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b w:val="0"/>
          <w:i w:val="0"/>
          <w:sz w:val="20"/>
        </w:rPr>
        <w:t>[22] L. Loumachi, A. Yousfi, O. Saidani, and A. S. Alsubaie, “Strengthen the power conversion efficiency of solar cell based RbGeI</w:t>
      </w:r>
      <w:r>
        <w:rPr>
          <w:rFonts w:ascii="Times New Roman" w:hAnsi="Times New Roman"/>
          <w:b w:val="0"/>
          <w:i w:val="0"/>
          <w:sz w:val="20"/>
          <w:vertAlign w:val="subscript"/>
        </w:rPr>
        <w:t>3</w:t>
      </w:r>
      <w:r>
        <w:rPr>
          <w:rFonts w:ascii="Times New Roman" w:hAnsi="Times New Roman"/>
          <w:b w:val="0"/>
          <w:i w:val="0"/>
          <w:sz w:val="20"/>
        </w:rPr>
        <w:t>: Numerical approach,” East Eur. J. Phys. (3), 416–424 (2024). doi:10.26565/2312-4334-2024-3-50</w:t>
      </w:r>
    </w:p>
    <w:p>
      <w:pPr>
        <w:spacing w:line="192" w:lineRule="auto" w:before="10" w:after="10"/>
        <w:ind w:left="454" w:hanging="454"/>
      </w:pPr>
      <w:r>
        <w:rPr>
          <w:rFonts w:ascii="Times New Roman" w:hAnsi="Times New Roman"/>
          <w:b w:val="0"/>
          <w:i w:val="0"/>
          <w:sz w:val="20"/>
        </w:rPr>
        <w:t>[23] A. Pathak, K. M. D. Pravalli, R. Madaka, B. Pandey, D. Shankar, C. S. Beera, and D. J. Rao, “Computational analysis of germanium-based perovskites (MAGeI</w:t>
      </w:r>
      <w:r>
        <w:rPr>
          <w:rFonts w:ascii="Times New Roman" w:hAnsi="Times New Roman"/>
          <w:b w:val="0"/>
          <w:i w:val="0"/>
          <w:sz w:val="20"/>
          <w:vertAlign w:val="subscript"/>
        </w:rPr>
        <w:t>3</w:t>
      </w:r>
      <w:r>
        <w:rPr>
          <w:rFonts w:ascii="Times New Roman" w:hAnsi="Times New Roman"/>
          <w:b w:val="0"/>
          <w:i w:val="0"/>
          <w:sz w:val="20"/>
        </w:rPr>
        <w:t>, FAGeI</w:t>
      </w:r>
      <w:r>
        <w:rPr>
          <w:rFonts w:ascii="Times New Roman" w:hAnsi="Times New Roman"/>
          <w:b w:val="0"/>
          <w:i w:val="0"/>
          <w:sz w:val="20"/>
          <w:vertAlign w:val="subscript"/>
        </w:rPr>
        <w:t>3</w:t>
      </w:r>
      <w:r>
        <w:rPr>
          <w:rFonts w:ascii="Times New Roman" w:hAnsi="Times New Roman"/>
          <w:b w:val="0"/>
          <w:i w:val="0"/>
          <w:sz w:val="20"/>
        </w:rPr>
        <w:t>, CsGeI</w:t>
      </w:r>
      <w:r>
        <w:rPr>
          <w:rFonts w:ascii="Times New Roman" w:hAnsi="Times New Roman"/>
          <w:b w:val="0"/>
          <w:i w:val="0"/>
          <w:sz w:val="20"/>
          <w:vertAlign w:val="subscript"/>
        </w:rPr>
        <w:t>3</w:t>
      </w:r>
      <w:r>
        <w:rPr>
          <w:rFonts w:ascii="Times New Roman" w:hAnsi="Times New Roman"/>
          <w:b w:val="0"/>
          <w:i w:val="0"/>
          <w:sz w:val="20"/>
        </w:rPr>
        <w:t>, RbGeI</w:t>
      </w:r>
      <w:r>
        <w:rPr>
          <w:rFonts w:ascii="Times New Roman" w:hAnsi="Times New Roman"/>
          <w:b w:val="0"/>
          <w:i w:val="0"/>
          <w:sz w:val="20"/>
          <w:vertAlign w:val="subscript"/>
        </w:rPr>
        <w:t>3</w:t>
      </w:r>
      <w:r>
        <w:rPr>
          <w:rFonts w:ascii="Times New Roman" w:hAnsi="Times New Roman"/>
          <w:b w:val="0"/>
          <w:i w:val="0"/>
          <w:sz w:val="20"/>
        </w:rPr>
        <w:t>) for high-efficiency solar cells using SCAPS-1D,” Research Square (2026). doi:10.21203/rs.3.rs-8749975/</w:t>
      </w:r>
    </w:p>
    <w:p>
      <w:pPr>
        <w:spacing w:line="192" w:lineRule="auto" w:before="10" w:after="10"/>
        <w:ind w:left="454" w:hanging="454"/>
      </w:pPr>
      <w:r>
        <w:rPr>
          <w:rFonts w:ascii="Times New Roman" w:hAnsi="Times New Roman"/>
          <w:b w:val="0"/>
          <w:i w:val="0"/>
          <w:sz w:val="20"/>
        </w:rPr>
        <w:t>[24] D. Saikia, J. Bera, A. Betal, and S. Sahu, “Performance evaluation of an all inorganic CsGeI</w:t>
      </w:r>
      <w:r>
        <w:rPr>
          <w:rFonts w:ascii="Times New Roman" w:hAnsi="Times New Roman"/>
          <w:b w:val="0"/>
          <w:i w:val="0"/>
          <w:sz w:val="20"/>
          <w:vertAlign w:val="subscript"/>
        </w:rPr>
        <w:t>3</w:t>
      </w:r>
      <w:r>
        <w:rPr>
          <w:rFonts w:ascii="Times New Roman" w:hAnsi="Times New Roman"/>
          <w:b w:val="0"/>
          <w:i w:val="0"/>
          <w:sz w:val="20"/>
        </w:rPr>
        <w:t xml:space="preserve"> based perovskite solar cell by numerical simulation,” Opt. Mater. 123, 111839 (2022). doi:10.1016/j.optmat.2021.111839.</w:t>
      </w:r>
    </w:p>
    <w:p>
      <w:pPr>
        <w:spacing w:line="192" w:lineRule="auto" w:before="10" w:after="10"/>
        <w:ind w:left="454" w:hanging="454"/>
      </w:pPr>
      <w:r>
        <w:rPr>
          <w:rFonts w:ascii="Times New Roman" w:hAnsi="Times New Roman" w:cs="Times New Roman"/>
          <w:b w:val="0"/>
          <w:i w:val="0"/>
          <w:sz w:val="20"/>
        </w:rPr>
        <w:t xml:space="preserve">[25] R. Pau et al., “Solution-processed CuI as a hole transport layer for Sn–Pb perovskite solar cells,” J. Mater. Chem. A 13(48), 42118–42127 (2025). doi:10.1039/D5TA06770G.</w:t>
      </w:r>
    </w:p>
    <w:p>
      <w:pPr>
        <w:spacing w:line="192" w:lineRule="auto" w:before="10" w:after="10"/>
        <w:ind w:left="454" w:hanging="454"/>
      </w:pPr>
      <w:r>
        <w:rPr>
          <w:rFonts w:ascii="Times New Roman" w:hAnsi="Times New Roman" w:cs="Times New Roman"/>
          <w:b w:val="0"/>
          <w:i w:val="0"/>
          <w:sz w:val="20"/>
        </w:rPr>
        <w:t xml:space="preserve">[26] Q. Sun, A. Sadhu, S. Lie, and L. H. Wong, “Critical review of Cu-based hole transport materials for perovskite solar cells: From theoretical insights to experimental validation,” Adv. Mater. (2024). doi:10.1002/adma.202402412.</w:t>
      </w:r>
    </w:p>
    <w:p>
      <w:pPr>
        <w:spacing w:line="192" w:lineRule="auto" w:before="10" w:after="10"/>
        <w:ind w:left="454" w:hanging="454"/>
      </w:pPr>
      <w:r>
        <w:rPr>
          <w:rFonts w:ascii="Times New Roman" w:hAnsi="Times New Roman" w:cs="Times New Roman"/>
          <w:b w:val="0"/>
          <w:i w:val="0"/>
          <w:sz w:val="20"/>
        </w:rPr>
        <w:t xml:space="preserve">[27] J. Z. Mbese, “Advancements in inorganic hole-transport materials for perovskite solar cells: A comparative review,” Energies 18(9), 2374 (2025). doi:10.3390/en18092374.</w:t>
      </w:r>
    </w:p>
    <w:p>
      <w:pPr>
        <w:spacing w:line="192" w:lineRule="auto" w:before="10" w:after="10"/>
        <w:ind w:left="454" w:hanging="454"/>
      </w:pPr>
      <w:r>
        <w:rPr>
          <w:rFonts w:ascii="Times New Roman" w:hAnsi="Times New Roman" w:cs="Times New Roman"/>
          <w:b w:val="0"/>
          <w:i w:val="0"/>
          <w:sz w:val="20"/>
        </w:rPr>
        <w:t xml:space="preserve">[28] L. T. C. Tuyen, S.-R. Jian, N. T. Tien, and P. H. Le, “Nanomechanical and material properties of fluorine-doped tin oxide thin films prepared by ultrasonic spray pyrolysis: Effects of F-doping,” Materials 12(10), 1665 (2019). doi:10.3390/ma12101665.</w:t>
      </w:r>
    </w:p>
    <w:p>
      <w:pPr>
        <w:spacing w:line="192" w:lineRule="auto" w:before="10" w:after="10"/>
        <w:ind w:left="454" w:hanging="454"/>
      </w:pPr>
      <w:r>
        <w:rPr>
          <w:rFonts w:ascii="Times New Roman" w:hAnsi="Times New Roman" w:cs="Times New Roman"/>
          <w:b w:val="0"/>
          <w:i w:val="0"/>
          <w:sz w:val="20"/>
        </w:rPr>
        <w:t xml:space="preserve">[29] W. Yang et al., “The CuI/NiO gradient hole transport layer for enhanced carrier efficiency in large-area perovskite solar cell,” Appl. Phys. Lett. 128(14) (2026). doi:10.1063/5.0326539.</w:t>
      </w:r>
    </w:p>
    <w:p>
      <w:pPr>
        <w:spacing w:line="192" w:lineRule="auto" w:before="10" w:after="10"/>
        <w:ind w:left="454" w:hanging="454"/>
      </w:pPr>
      <w:r>
        <w:rPr>
          <w:rFonts w:ascii="Times New Roman" w:hAnsi="Times New Roman"/>
          <w:b w:val="0"/>
          <w:i w:val="0"/>
          <w:sz w:val="20"/>
        </w:rPr>
        <w:t xml:space="preserve">[30] A. J. Olasoji and S. H. Im, “Perspective chapter: </w:t>
      </w:r>
      <w:r>
        <w:rPr>
          <w:rFonts w:ascii="Times New Roman" w:hAnsi="Times New Roman"/>
          <w:b w:val="0"/>
          <w:i w:val="0"/>
          <w:sz w:val="20"/>
        </w:rPr>
        <w:t xml:space="preserve">TiO</w:t>
      </w:r>
      <w:r>
        <w:rPr>
          <w:rFonts w:ascii="Times New Roman" w:hAnsi="Times New Roman"/>
          <w:b w:val="0"/>
          <w:i w:val="0"/>
          <w:sz w:val="20"/>
          <w:vertAlign w:val="subscript"/>
        </w:rPr>
        <w:t xml:space="preserve">2</w:t>
      </w:r>
      <w:r>
        <w:rPr>
          <w:rFonts w:ascii="Times New Roman" w:hAnsi="Times New Roman"/>
          <w:b w:val="0"/>
          <w:i w:val="0"/>
          <w:sz w:val="20"/>
        </w:rPr>
        <w:t xml:space="preserve"> electron transporting layers for perovskite solar cells,” in Titanium Dioxide – Uses, Applications, and Advances (IntechOpen, 2024). doi:10.5772/intechopen.1007266.</w:t>
      </w:r>
    </w:p>
    <w:p>
      <w:pPr>
        <w:spacing w:line="192" w:lineRule="auto" w:before="10" w:after="10"/>
        <w:ind w:left="454" w:hanging="454"/>
      </w:pPr>
      <w:r>
        <w:rPr>
          <w:rFonts w:ascii="Times New Roman" w:hAnsi="Times New Roman" w:cs="Times New Roman"/>
          <w:b w:val="0"/>
          <w:i w:val="0"/>
          <w:sz w:val="20"/>
        </w:rPr>
        <w:t xml:space="preserve">[31] K. Valadi, S. Gharibi, R. Taheri-Ledari, S. Akin, A. Maleki, and A. E. Shalan, “Metal oxide electron transport materials for perovskite solar cells: A review,” Environ. Chem. Lett. 19(3), 2185–2207 (2021). doi:10.1007/s10311-020-01171-x.</w:t>
      </w:r>
    </w:p>
    <w:p>
      <w:pPr>
        <w:spacing w:line="192" w:lineRule="auto" w:before="10" w:after="10"/>
        <w:ind w:left="454" w:hanging="454"/>
      </w:pPr>
      <w:r>
        <w:rPr>
          <w:rFonts w:ascii="Times New Roman" w:hAnsi="Times New Roman"/>
          <w:b w:val="0"/>
          <w:i w:val="0"/>
          <w:sz w:val="20"/>
        </w:rPr>
        <w:t xml:space="preserve">[32] L. Ji, T. Zhang, and S. Li, “Band alignment of </w:t>
      </w:r>
      <w:r>
        <w:rPr>
          <w:rFonts w:ascii="Times New Roman" w:hAnsi="Times New Roman"/>
          <w:b w:val="0"/>
          <w:i w:val="0"/>
          <w:sz w:val="20"/>
        </w:rPr>
        <w:t xml:space="preserve">TiO</w:t>
      </w:r>
      <w:r>
        <w:rPr>
          <w:rFonts w:ascii="Times New Roman" w:hAnsi="Times New Roman"/>
          <w:b w:val="0"/>
          <w:i w:val="0"/>
          <w:sz w:val="20"/>
          <w:vertAlign w:val="subscript"/>
        </w:rPr>
        <w:t xml:space="preserve">2</w:t>
      </w:r>
      <w:r>
        <w:rPr>
          <w:rFonts w:ascii="Times New Roman" w:hAnsi="Times New Roman"/>
          <w:b w:val="0"/>
          <w:i w:val="0"/>
          <w:sz w:val="20"/>
        </w:rPr>
        <w:t xml:space="preserve"> by controlling Cl content for high-efficiency perovskite solar cells,” J. Mater. Chem. C 12(36), 14597–14604 (2024). doi:10.1039/D4TC01495B.</w:t>
      </w:r>
    </w:p>
    <w:p>
      <w:pPr>
        <w:spacing w:line="192" w:lineRule="auto" w:before="10" w:after="10"/>
        <w:ind w:left="454" w:hanging="454"/>
      </w:pPr>
      <w:r>
        <w:rPr>
          <w:rFonts w:ascii="Times New Roman" w:hAnsi="Times New Roman" w:cs="Times New Roman"/>
          <w:b w:val="0"/>
          <w:i w:val="0"/>
          <w:sz w:val="20"/>
        </w:rPr>
        <w:t xml:space="preserve">[33] A. Ghosh et al., “Solar power conversion: CuI hole transport layer and Ba3NCl3 absorber enable advanced solar cell technology boosting efficiency over 30%,” RSC Adv. 14(33), 24066–24081 (2024). doi:10.1039/D4RA03695F.</w:t>
      </w:r>
    </w:p>
    <w:p>
      <w:pPr>
        <w:spacing w:line="192" w:lineRule="auto" w:before="10" w:after="10"/>
        <w:ind w:left="454" w:hanging="454"/>
      </w:pPr>
      <w:r>
        <w:rPr>
          <w:rFonts w:ascii="Times New Roman" w:hAnsi="Times New Roman" w:cs="Times New Roman"/>
          <w:b w:val="0"/>
          <w:i w:val="0"/>
          <w:sz w:val="20"/>
        </w:rPr>
        <w:t xml:space="preserve">[34] T. Minemoto and M. Murata, “Impact of work function of back contact of perovskite solar cells without hole transport material analyzed by device simulation,” Curr. Appl. Phys. 14(11), 1428–1433 (2014). doi:10.1016/j.cap.2014.08.002.</w:t>
      </w:r>
    </w:p>
    <w:p>
      <w:pPr>
        <w:spacing w:line="192" w:lineRule="auto" w:before="10" w:after="10"/>
        <w:ind w:left="454" w:hanging="454"/>
      </w:pPr>
      <w:r>
        <w:rPr>
          <w:rFonts w:ascii="Times New Roman" w:hAnsi="Times New Roman" w:cs="Times New Roman"/>
          <w:b w:val="0"/>
          <w:i w:val="0"/>
          <w:sz w:val="20"/>
        </w:rPr>
        <w:t xml:space="preserve">[35] W. Shockley and H. J. Queisser, “Detailed balance limit of efficiency of p-n junction solar cells,” J. Appl. Phys. 32(3), 510–519 (1961). doi:10.1063/1.1736034.</w:t>
      </w:r>
    </w:p>
    <w:p>
      <w:pPr>
        <w:spacing w:line="192" w:lineRule="auto" w:before="10" w:after="10"/>
        <w:ind w:left="454" w:hanging="454"/>
      </w:pPr>
      <w:r>
        <w:rPr>
          <w:rFonts w:ascii="Times New Roman" w:hAnsi="Times New Roman"/>
          <w:b w:val="0"/>
          <w:i w:val="0"/>
          <w:sz w:val="20"/>
        </w:rPr>
        <w:t xml:space="preserve">[36] S. Rühle, “Tabulated values of the Shockley–Queisser limit for single junction solar cells,” Sol. Energy 130, 139–147 (2016). doi:10.1016/j.solener.2016.02.015.</w:t>
      </w:r>
    </w:p>
    <w:p>
      <w:pPr>
        <w:spacing w:line="192" w:lineRule="auto" w:before="10" w:after="10"/>
        <w:ind w:left="454" w:hanging="454"/>
      </w:pPr>
      <w:r>
        <w:rPr>
          <w:rFonts w:ascii="Times New Roman" w:hAnsi="Times New Roman"/>
          <w:b w:val="0"/>
          <w:i w:val="0"/>
          <w:sz w:val="20"/>
        </w:rPr>
        <w:t xml:space="preserve">[37] C. H. Henry, “Limiting efficiencies of ideal single and multiple energy gap terrestrial solar cells,” J. Appl. Phys. 51(8), 4494–4500 (1980). doi:10.1063/1.328272.</w:t>
      </w:r>
    </w:p>
    <w:p>
      <w:pPr>
        <w:spacing w:line="192" w:lineRule="auto" w:before="10" w:after="10"/>
        <w:ind w:left="454" w:hanging="454"/>
      </w:pPr>
      <w:r>
        <w:rPr>
          <w:rFonts w:ascii="Times New Roman" w:hAnsi="Times New Roman" w:cs="Times New Roman"/>
          <w:b w:val="0"/>
          <w:i w:val="0"/>
          <w:sz w:val="20"/>
        </w:rPr>
        <w:t xml:space="preserve">[38] O. J. Sandberg and A. Armin, “On the effect of surface recombination in thin film solar cells, light emitting diodes and photodetectors,” arXiv:1905.07291 (2019); published in Synth. Met. 254, 114–121 (2019), doi:10.1016/j.synthmet.2019.06.008.</w:t>
      </w:r>
    </w:p>
    <w:p>
      <w:pPr>
        <w:spacing w:line="192" w:lineRule="auto" w:before="10" w:after="10"/>
        <w:ind w:left="454" w:hanging="454"/>
      </w:pPr>
      <w:r>
        <w:rPr>
          <w:rFonts w:ascii="Times New Roman" w:hAnsi="Times New Roman"/>
          <w:b w:val="0"/>
          <w:i w:val="0"/>
          <w:sz w:val="20"/>
        </w:rPr>
        <w:t xml:space="preserve">[39] M. Raj, A. Aggarwal, A. Kushwaha, and N. Goel, “Moisture-resistant sustainable solar cell with </w:t>
      </w:r>
      <w:r>
        <w:rPr>
          <w:rFonts w:ascii="Times New Roman" w:hAnsi="Times New Roman"/>
          <w:b w:val="0"/>
          <w:i w:val="0"/>
          <w:sz w:val="20"/>
        </w:rPr>
        <w:t xml:space="preserve">RbGeI</w:t>
      </w:r>
      <w:r>
        <w:rPr>
          <w:rFonts w:ascii="Times New Roman" w:hAnsi="Times New Roman"/>
          <w:b w:val="0"/>
          <w:i w:val="0"/>
          <w:sz w:val="20"/>
          <w:vertAlign w:val="subscript"/>
        </w:rPr>
        <w:t xml:space="preserve">3</w:t>
      </w:r>
      <w:r>
        <w:rPr>
          <w:rFonts w:ascii="Times New Roman" w:hAnsi="Times New Roman"/>
          <w:b w:val="0"/>
          <w:i w:val="0"/>
          <w:sz w:val="20"/>
        </w:rPr>
        <w:t xml:space="preserve"> absorber layer,” J. Mater. Sci. 60(22), 9176–9196 (2025). doi:10.1007/s10853-025-11002-5.</w:t>
      </w:r>
    </w:p>
    <w:p>
      <w:pPr>
        <w:spacing w:line="192" w:lineRule="auto" w:before="10" w:after="10"/>
        <w:ind w:left="454" w:hanging="454"/>
      </w:pPr>
      <w:r>
        <w:rPr>
          <w:rFonts w:ascii="Times New Roman" w:hAnsi="Times New Roman"/>
          <w:b w:val="0"/>
          <w:i w:val="0"/>
          <w:sz w:val="20"/>
        </w:rPr>
        <w:t xml:space="preserve">[40] H.-J. Park, H. Son, and B.-S. Jeong, “SCAPS-1D Simulation for Device Optimization to Improve Efficiency in Lead-Free </w:t>
      </w:r>
      <w:r>
        <w:rPr>
          <w:rFonts w:ascii="Times New Roman" w:hAnsi="Times New Roman"/>
          <w:b w:val="0"/>
          <w:i w:val="0"/>
          <w:sz w:val="20"/>
        </w:rPr>
        <w:t xml:space="preserve">CsSnI</w:t>
      </w:r>
      <w:r>
        <w:rPr>
          <w:rFonts w:ascii="Times New Roman" w:hAnsi="Times New Roman"/>
          <w:b w:val="0"/>
          <w:i w:val="0"/>
          <w:sz w:val="20"/>
          <w:vertAlign w:val="subscript"/>
        </w:rPr>
        <w:t xml:space="preserve">3</w:t>
      </w:r>
      <w:r>
        <w:rPr>
          <w:rFonts w:ascii="Times New Roman" w:hAnsi="Times New Roman"/>
          <w:b w:val="0"/>
          <w:i w:val="0"/>
          <w:sz w:val="20"/>
        </w:rPr>
        <w:t xml:space="preserve"> Perovskite Solar Cells,” Inorganics 12(4), 123 (2024). doi:10.3390/inorganics12040123.</w:t>
      </w:r>
    </w:p>
    <w:p>
      <w:pPr>
        <w:spacing w:line="192" w:lineRule="auto" w:before="10" w:after="10"/>
        <w:ind w:left="454" w:hanging="454"/>
      </w:pPr>
      <w:r>
        <w:rPr>
          <w:rFonts w:ascii="Times New Roman" w:hAnsi="Times New Roman"/>
          <w:b w:val="0"/>
          <w:i w:val="0"/>
          <w:sz w:val="20"/>
        </w:rPr>
        <w:t xml:space="preserve">[41] R. Islam, M. N. Uddin, M. J. Hossen, and A. Begum, “Photovoltaic performance of lead-free </w:t>
      </w:r>
      <w:r>
        <w:rPr>
          <w:rFonts w:ascii="Times New Roman" w:hAnsi="Times New Roman"/>
          <w:b w:val="0"/>
          <w:i w:val="0"/>
          <w:sz w:val="20"/>
        </w:rPr>
        <w:t xml:space="preserve">MASnI</w:t>
      </w:r>
      <w:r>
        <w:rPr>
          <w:rFonts w:ascii="Times New Roman" w:hAnsi="Times New Roman"/>
          <w:b w:val="0"/>
          <w:i w:val="0"/>
          <w:sz w:val="20"/>
          <w:vertAlign w:val="subscript"/>
        </w:rPr>
        <w:t xml:space="preserve">3</w:t>
      </w:r>
      <w:r>
        <w:rPr>
          <w:rFonts w:ascii="Times New Roman" w:hAnsi="Times New Roman"/>
          <w:b w:val="0"/>
          <w:i w:val="0"/>
          <w:sz w:val="20"/>
        </w:rPr>
        <w:t xml:space="preserve">-based perovskite solar cells with kesterite hole transport materials,” AIP Adv. 16(5) (2026). doi:10.1063/5.0315071.</w:t>
      </w:r>
    </w:p>
    <w:p>
      <w:pPr>
        <w:spacing w:line="192" w:lineRule="auto" w:before="10" w:after="10"/>
        <w:ind w:left="454" w:hanging="454"/>
      </w:pPr>
      <w:r>
        <w:rPr>
          <w:rFonts w:ascii="Times New Roman" w:hAnsi="Times New Roman" w:cs="Times New Roman"/>
          <w:b w:val="0"/>
          <w:i w:val="0"/>
          <w:sz w:val="20"/>
        </w:rPr>
        <w:t xml:space="preserve">[42] A. C. Piñón Reyes et al., “Study of a lead-free perovskite solar cell using CZTS as HTL to achieve a 20% PCE by SCAPS-1D simulation,” Micromachines 12(12), 1508 (2021). doi:10.3390/mi12121508.</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0"/>
      </w:rPr>
      <w:t xml:space="preserve">Page </w:t>
    </w:r>
    <w:fldSimple w:instr="PAGE \* MERGEFORMAT">
      <w:r>
        <w:rPr>
          <w:rFonts w:ascii="Times New Roman" w:hAnsi="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color w:val="555555"/>
        <w:sz w:val="18"/>
      </w:rPr>
      <w:t>Photovoltaic Performance Analysis of RbGeI3 PSC using SCAPS-1D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