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b/>
          <w:i w:val="0"/>
          <w:sz w:val="36"/>
        </w:rPr>
        <w:t>Photovoltaic Performance Analysis of RbGeI</w:t>
      </w:r>
      <w:r>
        <w:rPr>
          <w:rFonts w:ascii="Times New Roman" w:hAnsi="Times New Roman"/>
          <w:b/>
          <w:i w:val="0"/>
          <w:sz w:val="36"/>
          <w:vertAlign w:val="subscript"/>
        </w:rPr>
        <w:t>3</w:t>
      </w:r>
      <w:r>
        <w:rPr>
          <w:rFonts w:ascii="Times New Roman" w:hAnsi="Times New Roman"/>
          <w:b/>
          <w:i w:val="0"/>
          <w:sz w:val="36"/>
        </w:rPr>
        <w:t xml:space="preserve"> Absorber Based Perovskite Solar Cell using SCAPS-1D Simulation</w:t>
      </w:r>
    </w:p>
    <w:p>
      <w:pPr>
        <w:spacing w:line="360" w:lineRule="auto" w:before="0" w:after="480"/>
        <w:jc w:val="center"/>
      </w:pPr>
      <w:r>
        <w:rPr>
          <w:rFonts w:ascii="Times New Roman" w:hAnsi="Times New Roman" w:cs="Times New Roman"/>
          <w:b w:val="0"/>
          <w:i/>
          <w:color w:val="555555"/>
          <w:sz w:val="24"/>
        </w:rPr>
        <w:t>Numerical Optimization of a Lead-Free Planar Heterojunction Device</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b w:val="0"/>
          <w:i w:val="0"/>
          <w:sz w:val="22"/>
        </w:rPr>
        <w:t>The rapid rise of lead-halide perovskite solar cells has been tempered by the toxicity and environmental persistence of lead, motivating a sustained search for lead-free absorbers that retain favorable optoelectronic properties. Rubidium germanium iodide (RbGeI</w:t>
      </w:r>
      <w:r>
        <w:rPr>
          <w:rFonts w:ascii="Times New Roman" w:hAnsi="Times New Roman"/>
          <w:b w:val="0"/>
          <w:i w:val="0"/>
          <w:sz w:val="22"/>
          <w:vertAlign w:val="subscript"/>
        </w:rPr>
        <w:t>3</w:t>
      </w:r>
      <w:r>
        <w:rPr>
          <w:rFonts w:ascii="Times New Roman" w:hAnsi="Times New Roman"/>
          <w:b w:val="0"/>
          <w:i w:val="0"/>
          <w:sz w:val="22"/>
        </w:rPr>
        <w:t>) has a direct, tunable bandgap, strong optical absorption, and improved environmental compatibility. In this work, we report a numerical optimization of an RbGeI</w:t>
      </w:r>
      <w:r>
        <w:rPr>
          <w:rFonts w:ascii="Times New Roman" w:hAnsi="Times New Roman"/>
          <w:b w:val="0"/>
          <w:i w:val="0"/>
          <w:sz w:val="22"/>
          <w:vertAlign w:val="subscript"/>
        </w:rPr>
        <w:t>3</w:t>
      </w:r>
      <w:r>
        <w:rPr>
          <w:rFonts w:ascii="Times New Roman" w:hAnsi="Times New Roman"/>
          <w:b w:val="0"/>
          <w:i w:val="0"/>
          <w:sz w:val="22"/>
        </w:rPr>
        <w:t>-based perovskite solar cell using the one-dimensional Solar Cell Capacitance Simulator (SCAPS-1D, version 3.3.10). Eight planar heterojunction configurations were first screened by combining two electron transport layers (TiO</w:t>
      </w:r>
      <w:r>
        <w:rPr>
          <w:rFonts w:ascii="Times New Roman" w:hAnsi="Times New Roman"/>
          <w:b w:val="0"/>
          <w:i w:val="0"/>
          <w:sz w:val="22"/>
          <w:vertAlign w:val="subscript"/>
        </w:rPr>
        <w:t>2</w:t>
      </w:r>
      <w:r>
        <w:rPr>
          <w:rFonts w:ascii="Times New Roman" w:hAnsi="Times New Roman"/>
          <w:b w:val="0"/>
          <w:i w:val="0"/>
          <w:sz w:val="22"/>
        </w:rPr>
        <w:t xml:space="preserve"> and PCBM) with four hole transport layers (NiO, CuI, CBTS, and Spiro-OMeTAD), all sharing the same RbGeI</w:t>
      </w:r>
      <w:r>
        <w:rPr>
          <w:rFonts w:ascii="Times New Roman" w:hAnsi="Times New Roman"/>
          <w:b w:val="0"/>
          <w:i w:val="0"/>
          <w:sz w:val="22"/>
          <w:vertAlign w:val="subscript"/>
        </w:rPr>
        <w:t>3</w:t>
      </w:r>
      <w:r>
        <w:rPr>
          <w:rFonts w:ascii="Times New Roman" w:hAnsi="Times New Roman"/>
          <w:b w:val="0"/>
          <w:i w:val="0"/>
          <w:sz w:val="22"/>
        </w:rPr>
        <w:t xml:space="preserve"> absorber. The FTO/TiO</w:t>
      </w:r>
      <w:r>
        <w:rPr>
          <w:rFonts w:ascii="Times New Roman" w:hAnsi="Times New Roman"/>
          <w:b w:val="0"/>
          <w:i w:val="0"/>
          <w:sz w:val="22"/>
          <w:vertAlign w:val="subscript"/>
        </w:rPr>
        <w:t>2</w:t>
      </w:r>
      <w:r>
        <w:rPr>
          <w:rFonts w:ascii="Times New Roman" w:hAnsi="Times New Roman"/>
          <w:b w:val="0"/>
          <w:i w:val="0"/>
          <w:sz w:val="22"/>
        </w:rPr>
        <w:t>/RbGeI</w:t>
      </w:r>
      <w:r>
        <w:rPr>
          <w:rFonts w:ascii="Times New Roman" w:hAnsi="Times New Roman"/>
          <w:b w:val="0"/>
          <w:i w:val="0"/>
          <w:sz w:val="22"/>
          <w:vertAlign w:val="subscript"/>
        </w:rPr>
        <w:t>3</w:t>
      </w:r>
      <w:r>
        <w:rPr>
          <w:rFonts w:ascii="Times New Roman" w:hAnsi="Times New Roman"/>
          <w:b w:val="0"/>
          <w:i w:val="0"/>
          <w:sz w:val="22"/>
        </w:rPr>
        <w:t>/CuI/Au architecture was selected for further optimization on the grounds of long-term stability and cost, although its initial PCE of 19.79% was not the highest among the eight candidates.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26.69%, with an open-circuit voltage (V</w:t>
      </w:r>
      <w:r>
        <w:rPr>
          <w:rFonts w:ascii="Times New Roman" w:hAnsi="Times New Roman"/>
          <w:b w:val="0"/>
          <w:i w:val="0"/>
          <w:sz w:val="22"/>
          <w:vertAlign w:val="subscript"/>
        </w:rPr>
        <w:t>oc</w:t>
      </w:r>
      <w:r>
        <w:rPr>
          <w:rFonts w:ascii="Times New Roman" w:hAnsi="Times New Roman"/>
          <w:b w:val="0"/>
          <w:i w:val="0"/>
          <w:sz w:val="22"/>
        </w:rPr>
        <w:t>) of 1.1127 V, a short-circuit current density (J</w:t>
      </w:r>
      <w:r>
        <w:rPr>
          <w:rFonts w:ascii="Times New Roman" w:hAnsi="Times New Roman"/>
          <w:b w:val="0"/>
          <w:i w:val="0"/>
          <w:sz w:val="22"/>
          <w:vertAlign w:val="subscript"/>
        </w:rPr>
        <w:t>sc</w:t>
      </w:r>
      <w:r>
        <w:rPr>
          <w:rFonts w:ascii="Times New Roman" w:hAnsi="Times New Roman"/>
          <w:b w:val="0"/>
          <w:i w:val="0"/>
          <w:sz w:val="22"/>
        </w:rPr>
        <w:t>) of 30.3156 mA/cm², and a fill factor (FF) of 79.13%. The optimized parameter set comprises a 700 nm RbGeI</w:t>
      </w:r>
      <w:r>
        <w:rPr>
          <w:rFonts w:ascii="Times New Roman" w:hAnsi="Times New Roman"/>
          <w:b w:val="0"/>
          <w:i w:val="0"/>
          <w:sz w:val="22"/>
          <w:vertAlign w:val="subscript"/>
        </w:rPr>
        <w:t>3</w:t>
      </w:r>
      <w:r>
        <w:rPr>
          <w:rFonts w:ascii="Times New Roman" w:hAnsi="Times New Roman"/>
          <w:b w:val="0"/>
          <w:i w:val="0"/>
          <w:sz w:val="22"/>
        </w:rPr>
        <w:t xml:space="preserve"> absorber (E</w:t>
      </w:r>
      <w:r>
        <w:rPr>
          <w:rFonts w:ascii="Times New Roman" w:hAnsi="Times New Roman"/>
          <w:b w:val="0"/>
          <w:i w:val="0"/>
          <w:sz w:val="22"/>
          <w:vertAlign w:val="subscript"/>
        </w:rPr>
        <w:t>g</w:t>
      </w:r>
      <w:r>
        <w:rPr>
          <w:rFonts w:ascii="Times New Roman" w:hAnsi="Times New Roman"/>
          <w:b w:val="0"/>
          <w:i w:val="0"/>
          <w:sz w:val="22"/>
        </w:rPr>
        <w:t xml:space="preserve"> = 1.4 eV, χ = 3.9 eV, ε</w:t>
      </w:r>
      <w:r>
        <w:rPr>
          <w:rFonts w:ascii="Times New Roman" w:hAnsi="Times New Roman"/>
          <w:b w:val="0"/>
          <w:i w:val="0"/>
          <w:sz w:val="22"/>
          <w:vertAlign w:val="subscript"/>
        </w:rPr>
        <w:t>r</w:t>
      </w:r>
      <w:r>
        <w:rPr>
          <w:rFonts w:ascii="Times New Roman" w:hAnsi="Times New Roman"/>
          <w:b w:val="0"/>
          <w:i w:val="0"/>
          <w:sz w:val="22"/>
        </w:rPr>
        <w:t xml:space="preserve"> = 15, N</w:t>
      </w:r>
      <w:r>
        <w:rPr>
          <w:rFonts w:ascii="Times New Roman" w:hAnsi="Times New Roman"/>
          <w:b w:val="0"/>
          <w:i w:val="0"/>
          <w:sz w:val="22"/>
          <w:vertAlign w:val="subscript"/>
        </w:rPr>
        <w:t>C</w:t>
      </w:r>
      <w:r>
        <w:rPr>
          <w:rFonts w:ascii="Times New Roman" w:hAnsi="Times New Roman"/>
          <w:b w:val="0"/>
          <w:i w:val="0"/>
          <w:sz w:val="22"/>
        </w:rPr>
        <w:t xml:space="preserve"> = N</w:t>
      </w:r>
      <w:r>
        <w:rPr>
          <w:rFonts w:ascii="Times New Roman" w:hAnsi="Times New Roman"/>
          <w:b w:val="0"/>
          <w:i w:val="0"/>
          <w:sz w:val="22"/>
          <w:vertAlign w:val="subscript"/>
        </w:rPr>
        <w:t>V</w:t>
      </w:r>
      <w:r>
        <w:rPr>
          <w:rFonts w:ascii="Times New Roman" w:hAnsi="Times New Roman"/>
          <w:b w:val="0"/>
          <w:i w:val="0"/>
          <w:sz w:val="22"/>
        </w:rPr>
        <w:t xml:space="preserve"> = 1×10¹⁷ cm⁻³), a 10 nm TiO</w:t>
      </w:r>
      <w:r>
        <w:rPr>
          <w:rFonts w:ascii="Times New Roman" w:hAnsi="Times New Roman"/>
          <w:b w:val="0"/>
          <w:i w:val="0"/>
          <w:sz w:val="22"/>
          <w:vertAlign w:val="subscript"/>
        </w:rPr>
        <w:t>2</w:t>
      </w:r>
      <w:r>
        <w:rPr>
          <w:rFonts w:ascii="Times New Roman" w:hAnsi="Times New Roman"/>
          <w:b w:val="0"/>
          <w:i w:val="0"/>
          <w:sz w:val="22"/>
        </w:rPr>
        <w:t xml:space="preserve"> ETL, a 100 nm CuI HTL, and interfacial defect densities of 1×10¹⁴ cm⁻² at both heterojunctions. The equilibrium energy band diagram confirms favorable band alignment at both heterojunctions, with a 1.8 eV conduction-band offset at CuI/RbGeI</w:t>
      </w:r>
      <w:r>
        <w:rPr>
          <w:rFonts w:ascii="Times New Roman" w:hAnsi="Times New Roman"/>
          <w:b w:val="0"/>
          <w:i w:val="0"/>
          <w:sz w:val="22"/>
          <w:vertAlign w:val="subscript"/>
        </w:rPr>
        <w:t>3</w:t>
      </w:r>
      <w:r>
        <w:rPr>
          <w:rFonts w:ascii="Times New Roman" w:hAnsi="Times New Roman"/>
          <w:b w:val="0"/>
          <w:i w:val="0"/>
          <w:sz w:val="22"/>
        </w:rPr>
        <w:t xml:space="preserve"> that blocks electron back-transfer and a 0.10 eV conduction-band spike at RbGeI</w:t>
      </w:r>
      <w:r>
        <w:rPr>
          <w:rFonts w:ascii="Times New Roman" w:hAnsi="Times New Roman"/>
          <w:b w:val="0"/>
          <w:i w:val="0"/>
          <w:sz w:val="22"/>
          <w:vertAlign w:val="subscript"/>
        </w:rPr>
        <w:t>3</w:t>
      </w:r>
      <w:r>
        <w:rPr>
          <w:rFonts w:ascii="Times New Roman" w:hAnsi="Times New Roman"/>
          <w:b w:val="0"/>
          <w:i w:val="0"/>
          <w:sz w:val="22"/>
        </w:rPr>
        <w:t>/TiO</w:t>
      </w:r>
      <w:r>
        <w:rPr>
          <w:rFonts w:ascii="Times New Roman" w:hAnsi="Times New Roman"/>
          <w:b w:val="0"/>
          <w:i w:val="0"/>
          <w:sz w:val="22"/>
          <w:vertAlign w:val="subscript"/>
        </w:rPr>
        <w:t>2</w:t>
      </w:r>
      <w:r>
        <w:rPr>
          <w:rFonts w:ascii="Times New Roman" w:hAnsi="Times New Roman"/>
          <w:b w:val="0"/>
          <w:i w:val="0"/>
          <w:sz w:val="22"/>
        </w:rPr>
        <w:t xml:space="preserve"> that supports efficient electron extraction. The results identify the TiO</w:t>
      </w:r>
      <w:r>
        <w:rPr>
          <w:rFonts w:ascii="Times New Roman" w:hAnsi="Times New Roman"/>
          <w:b w:val="0"/>
          <w:i w:val="0"/>
          <w:sz w:val="22"/>
          <w:vertAlign w:val="subscript"/>
        </w:rPr>
        <w:t>2</w:t>
      </w:r>
      <w:r>
        <w:rPr>
          <w:rFonts w:ascii="Times New Roman" w:hAnsi="Times New Roman"/>
          <w:b w:val="0"/>
          <w:i w:val="0"/>
          <w:sz w:val="22"/>
        </w:rPr>
        <w:t>/CuI transport-layer pair as an efficient combination for environmentally benign RbGeI</w:t>
      </w:r>
      <w:r>
        <w:rPr>
          <w:rFonts w:ascii="Times New Roman" w:hAnsi="Times New Roman"/>
          <w:b w:val="0"/>
          <w:i w:val="0"/>
          <w:sz w:val="22"/>
          <w:vertAlign w:val="subscript"/>
        </w:rPr>
        <w:t>3</w:t>
      </w:r>
      <w:r>
        <w:rPr>
          <w:rFonts w:ascii="Times New Roman" w:hAnsi="Times New Roman"/>
          <w:b w:val="0"/>
          <w:i w:val="0"/>
          <w:sz w:val="22"/>
        </w:rPr>
        <w:t xml:space="preserve"> photovoltaics and provide quantitative design guidelines for future experimental realization.</w:t>
      </w:r>
    </w:p>
    <w:p>
      <w:pPr>
        <w:spacing w:line="360" w:lineRule="auto" w:before="0" w:after="240"/>
        <w:jc w:val="both"/>
      </w:pPr>
      <w:r>
        <w:rPr>
          <w:rFonts w:ascii="Times New Roman" w:hAnsi="Times New Roman"/>
          <w:b w:val="0"/>
          <w:i/>
          <w:sz w:val="22"/>
        </w:rPr>
        <w:t>Keywords: lead-free perovskite; RbGeI</w:t>
      </w:r>
      <w:r>
        <w:rPr>
          <w:rFonts w:ascii="Times New Roman" w:hAnsi="Times New Roman"/>
          <w:b w:val="0"/>
          <w:i/>
          <w:sz w:val="22"/>
          <w:vertAlign w:val="subscript"/>
        </w:rPr>
        <w:t>3</w:t>
      </w:r>
      <w:r>
        <w:rPr>
          <w:rFonts w:ascii="Times New Roman" w:hAnsi="Times New Roman"/>
          <w:b w:val="0"/>
          <w:i/>
          <w:sz w:val="22"/>
        </w:rPr>
        <w:t>; SCAPS-1D; numerical simulation; CuI hole transport layer; TiO</w:t>
      </w:r>
      <w:r>
        <w:rPr>
          <w:rFonts w:ascii="Times New Roman" w:hAnsi="Times New Roman"/>
          <w:b w:val="0"/>
          <w:i/>
          <w:sz w:val="22"/>
          <w:vertAlign w:val="subscript"/>
        </w:rPr>
        <w:t>2</w:t>
      </w:r>
      <w:r>
        <w:rPr>
          <w:rFonts w:ascii="Times New Roman" w:hAnsi="Times New Roman"/>
          <w:b w:val="0"/>
          <w:i/>
          <w:sz w:val="22"/>
        </w:rPr>
        <w:t xml:space="preserve">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200" w:after="8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therefore matters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are modest and some rely on scarce or toxic elements. The third generation, which includes dye-sensitized solar cells, organic photovoltaics, quantum-dot cells, and perovskite solar cells (PSCs) [5,6], promises high efficiency at low processing cost and is therefore intensely studied.</w:t>
      </w:r>
    </w:p>
    <w:p>
      <w:pPr>
        <w:pStyle w:val="Heading2"/>
        <w:keepNext/>
        <w:spacing w:before="200" w:after="8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b w:val="0"/>
          <w:i w:val="0"/>
          <w:sz w:val="24"/>
        </w:rPr>
        <w:t>Halide perovskites adopt an ABX</w:t>
      </w:r>
      <w:r>
        <w:rPr>
          <w:rFonts w:ascii="Times New Roman" w:hAnsi="Times New Roman"/>
          <w:b w:val="0"/>
          <w:i w:val="0"/>
          <w:sz w:val="24"/>
          <w:vertAlign w:val="subscript"/>
        </w:rPr>
        <w:t>3</w:t>
      </w:r>
      <w:r>
        <w:rPr>
          <w:rFonts w:ascii="Times New Roman" w:hAnsi="Times New Roman"/>
          <w:b w:val="0"/>
          <w:i w:val="0"/>
          <w:sz w:val="24"/>
        </w:rPr>
        <w:t xml:space="preserve">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w:t>
      </w:r>
      <w:r>
        <w:rPr>
          <w:rFonts w:ascii="Times New Roman" w:hAnsi="Times New Roman"/>
          <w:b w:val="0"/>
          <w:i w:val="0"/>
          <w:sz w:val="24"/>
          <w:vertAlign w:val="subscript"/>
        </w:rPr>
        <w:t>3</w:t>
      </w:r>
      <w:r>
        <w:rPr>
          <w:rFonts w:ascii="Times New Roman" w:hAnsi="Times New Roman"/>
          <w:b w:val="0"/>
          <w:i w:val="0"/>
          <w:sz w:val="24"/>
        </w:rPr>
        <w:t>) and formamidinium lead iodide (FAPbI</w:t>
      </w:r>
      <w:r>
        <w:rPr>
          <w:rFonts w:ascii="Times New Roman" w:hAnsi="Times New Roman"/>
          <w:b w:val="0"/>
          <w:i w:val="0"/>
          <w:sz w:val="24"/>
          <w:vertAlign w:val="subscript"/>
        </w:rPr>
        <w:t>3</w:t>
      </w:r>
      <w:r>
        <w:rPr>
          <w:rFonts w:ascii="Times New Roman" w:hAnsi="Times New Roman"/>
          <w:b w:val="0"/>
          <w:i w:val="0"/>
          <w:sz w:val="24"/>
        </w:rPr>
        <w:t>), both of which contain lead. Lead raises contamination concerns at every stage of the device life cycle, from fabrication through operation to disposal [9,10], and the search for benign substitutes based on tin (Sn), germanium (Ge), bismuth (Bi), and antimony (Sb) is now a central research direction [11,12].</w:t>
      </w:r>
    </w:p>
    <w:p>
      <w:pPr>
        <w:spacing w:line="360" w:lineRule="auto" w:before="120" w:after="120"/>
        <w:ind w:firstLine="283"/>
        <w:jc w:val="both"/>
      </w:pPr>
      <w:r>
        <w:rPr>
          <w:rFonts w:ascii="Times New Roman" w:hAnsi="Times New Roman"/>
          <w:b w:val="0"/>
          <w:i w:val="0"/>
          <w:sz w:val="24"/>
        </w:rPr>
        <w:t>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because germanium offers a similar lone-pair electronic structure to lead, supports a direct and tunable bandgap, and is less toxic [13]. Among Ge-based absorbers, rubidium germanium iodide (RbGeI</w:t>
      </w:r>
      <w:r>
        <w:rPr>
          <w:rFonts w:ascii="Times New Roman" w:hAnsi="Times New Roman"/>
          <w:b w:val="0"/>
          <w:i w:val="0"/>
          <w:sz w:val="24"/>
          <w:vertAlign w:val="subscript"/>
        </w:rPr>
        <w:t>3</w:t>
      </w:r>
      <w:r>
        <w:rPr>
          <w:rFonts w:ascii="Times New Roman" w:hAnsi="Times New Roman"/>
          <w:b w:val="0"/>
          <w:i w:val="0"/>
          <w:sz w:val="24"/>
        </w:rPr>
        <w:t>) stands out for its suitable bandgap (≈1.3–1.4 eV depending on the structural phase and computational method), strong optical absorption coefficient, and good thermal stability [14,15,16]. Recent density-functional-theory (DFT) calculations have confirmed that RbGeI</w:t>
      </w:r>
      <w:r>
        <w:rPr>
          <w:rFonts w:ascii="Times New Roman" w:hAnsi="Times New Roman"/>
          <w:b w:val="0"/>
          <w:i w:val="0"/>
          <w:sz w:val="24"/>
          <w:vertAlign w:val="subscript"/>
        </w:rPr>
        <w:t>3</w:t>
      </w:r>
      <w:r>
        <w:rPr>
          <w:rFonts w:ascii="Times New Roman" w:hAnsi="Times New Roman"/>
          <w:b w:val="0"/>
          <w:i w:val="0"/>
          <w:sz w:val="24"/>
        </w:rPr>
        <w:t xml:space="preserve"> has a direct bandgap and a high optical absorption coefficient comparable to that of MAPbI</w:t>
      </w:r>
      <w:r>
        <w:rPr>
          <w:rFonts w:ascii="Times New Roman" w:hAnsi="Times New Roman"/>
          <w:b w:val="0"/>
          <w:i w:val="0"/>
          <w:sz w:val="24"/>
          <w:vertAlign w:val="subscript"/>
        </w:rPr>
        <w:t>3</w:t>
      </w:r>
      <w:r>
        <w:rPr>
          <w:rFonts w:ascii="Times New Roman" w:hAnsi="Times New Roman"/>
          <w:b w:val="0"/>
          <w:i w:val="0"/>
          <w:sz w:val="24"/>
        </w:rPr>
        <w:t xml:space="preserve"> [13,17,18], making it well-suited for single-junction photovoltaics.</w:t>
      </w:r>
    </w:p>
    <w:p>
      <w:pPr>
        <w:pStyle w:val="Heading2"/>
        <w:keepNext/>
        <w:spacing w:before="200" w:after="8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the standard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makes it possible to disentangle their individual contributions to device performance. Figure 1 shows the graphical user interface of SCAPS-1D version 3.3.10 used in this study.</w:t>
      </w:r>
    </w:p>
    <w:p>
      <w:pPr>
        <w:keepNext/>
        <w:keepLines/>
        <w:spacing w:before="200" w:after="80"/>
        <w:jc w:val="center"/>
      </w:pPr>
      <w:r>
        <w:drawing>
          <wp:inline xmlns:a="http://schemas.openxmlformats.org/drawingml/2006/main" xmlns:pic="http://schemas.openxmlformats.org/drawingml/2006/picture">
            <wp:extent cx="5040000" cy="2255775"/>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b w:val="0"/>
          <w:i w:val="0"/>
          <w:sz w:val="24"/>
        </w:rPr>
        <w:t>Although several SCAPS-1D studies of RbGeI</w:t>
      </w:r>
      <w:r>
        <w:rPr>
          <w:rFonts w:ascii="Times New Roman" w:hAnsi="Times New Roman"/>
          <w:b w:val="0"/>
          <w:i w:val="0"/>
          <w:sz w:val="24"/>
          <w:vertAlign w:val="subscript"/>
        </w:rPr>
        <w:t>3</w:t>
      </w:r>
      <w:r>
        <w:rPr>
          <w:rFonts w:ascii="Times New Roman" w:hAnsi="Times New Roman"/>
          <w:b w:val="0"/>
          <w:i w:val="0"/>
          <w:sz w:val="24"/>
        </w:rPr>
        <w:t xml:space="preserve"> devices have been reported, most have optimized only a limited subset of device parameters or investigated a single device configuration. The simulation baseline for RbGeI3 devices is still low</w:t>
      </w:r>
      <w:r>
        <w:rPr>
          <w:rFonts w:ascii="Times New Roman" w:hAnsi="Times New Roman"/>
          <w:b w:val="0"/>
          <w:i w:val="0"/>
          <w:sz w:val="24"/>
          <w:vertAlign w:val="subscript"/>
        </w:rPr>
      </w:r>
      <w:r>
        <w:rPr>
          <w:rFonts w:ascii="Times New Roman" w:hAnsi="Times New Roman"/>
          <w:b w:val="0"/>
          <w:i w:val="0"/>
          <w:sz w:val="24"/>
        </w:rPr>
        <w:t>: Pindolia et al. reported a PCE of 10.11% for the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progressively pushed the predicted PCE of RbGeI</w:t>
      </w:r>
      <w:r>
        <w:rPr>
          <w:rFonts w:ascii="Times New Roman" w:hAnsi="Times New Roman"/>
          <w:b w:val="0"/>
          <w:i w:val="0"/>
          <w:sz w:val="24"/>
          <w:vertAlign w:val="subscript"/>
        </w:rPr>
        <w:t>3</w:t>
      </w:r>
      <w:r>
        <w:rPr>
          <w:rFonts w:ascii="Times New Roman" w:hAnsi="Times New Roman"/>
          <w:b w:val="0"/>
          <w:i w:val="0"/>
          <w:sz w:val="24"/>
        </w:rPr>
        <w:t xml:space="preserve"> devices upward, from 10.11% in 2022 to 24.62% in 2024 [22] and 26.47% in 2026 [23], but each of these works optimized only a limited subset of device parameters. The ETL–HTL combinations explored for RbGeI</w:t>
      </w:r>
      <w:r>
        <w:rPr>
          <w:rFonts w:ascii="Times New Roman" w:hAnsi="Times New Roman"/>
          <w:b w:val="0"/>
          <w:i w:val="0"/>
          <w:sz w:val="24"/>
          <w:vertAlign w:val="subscript"/>
        </w:rPr>
        <w:t>3</w:t>
      </w:r>
      <w:r>
        <w:rPr>
          <w:rFonts w:ascii="Times New Roman" w:hAnsi="Times New Roman"/>
          <w:b w:val="0"/>
          <w:i w:val="0"/>
          <w:sz w:val="24"/>
        </w:rPr>
        <w:t xml:space="preserve"> have also been narrow: most studies used TiO</w:t>
      </w:r>
      <w:r>
        <w:rPr>
          <w:rFonts w:ascii="Times New Roman" w:hAnsi="Times New Roman"/>
          <w:b w:val="0"/>
          <w:i w:val="0"/>
          <w:sz w:val="24"/>
          <w:vertAlign w:val="subscript"/>
        </w:rPr>
        <w:t>2</w:t>
      </w:r>
      <w:r>
        <w:rPr>
          <w:rFonts w:ascii="Times New Roman" w:hAnsi="Times New Roman"/>
          <w:b w:val="0"/>
          <w:i w:val="0"/>
          <w:sz w:val="24"/>
        </w:rPr>
        <w:t xml:space="preserve"> as the ETL and either Spiro-OMeTAD, NiO, or CBTS as the HTL, while the TiO</w:t>
      </w:r>
      <w:r>
        <w:rPr>
          <w:rFonts w:ascii="Times New Roman" w:hAnsi="Times New Roman"/>
          <w:b w:val="0"/>
          <w:i w:val="0"/>
          <w:sz w:val="24"/>
          <w:vertAlign w:val="subscript"/>
        </w:rPr>
        <w:t>2</w:t>
      </w:r>
      <w:r>
        <w:rPr>
          <w:rFonts w:ascii="Times New Roman" w:hAnsi="Times New Roman"/>
          <w:b w:val="0"/>
          <w:i w:val="0"/>
          <w:sz w:val="24"/>
        </w:rPr>
        <w:t>/CuI combination adopted in this work has received comparatively little attention despite the well-documented advantages of CuI as an HTL.</w:t>
      </w:r>
    </w:p>
    <w:p>
      <w:pPr>
        <w:pStyle w:val="Heading2"/>
        <w:keepNext/>
        <w:spacing w:before="200" w:after="8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b w:val="0"/>
          <w:i w:val="0"/>
          <w:sz w:val="24"/>
        </w:rPr>
        <w:t>The present work addresses this gap by performing a SCAPS-1D optimization of an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perovskite solar cell. We first screen eight ETL–HTL combinations to identify the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architecture as a promising candidate for inorganic-HTL optimization, and then run an eleven-step sequential optimization covering absorber thickness, absorber defect density, dielectric constant, electron affinity, bandgap, conduction- and valence-band effective density of states, ETL and HTL thicknesses, and the two interfacial defect densities. We also analyze the quantum-efficiency spectrum and the equilibrium energy-band diagram of the optimized device, and we benchmark it against recently reported RbGeI</w:t>
      </w:r>
      <w:r>
        <w:rPr>
          <w:rFonts w:ascii="Times New Roman" w:hAnsi="Times New Roman"/>
          <w:b w:val="0"/>
          <w:i w:val="0"/>
          <w:sz w:val="24"/>
          <w:vertAlign w:val="subscript"/>
        </w:rPr>
        <w:t>3</w:t>
      </w:r>
      <w:r>
        <w:rPr>
          <w:rFonts w:ascii="Times New Roman" w:hAnsi="Times New Roman"/>
          <w:b w:val="0"/>
          <w:i w:val="0"/>
          <w:sz w:val="24"/>
        </w:rPr>
        <w:t>-based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and discusses the results, Section VI compares with prior literature, and Sections VII and VIII cover limitations and conclusions.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verified against the primary source literature to avoid citation-integrity issues. In particular, the entries for Pindolia et al. (2022), Loumachi et al. (2024), and Pathak et al. (2026) are quoted verbatim from the corresponding primary sources.</w:t>
      </w:r>
    </w:p>
    <w:p>
      <w:pPr>
        <w:keepNext/>
        <w:spacing w:before="200" w:after="80"/>
        <w:jc w:val="center"/>
      </w:pPr>
      <w:r>
        <w:rPr>
          <w:rFonts w:ascii="Times New Roman" w:hAnsi="Times New Roman" w:cs="Times New Roman"/>
          <w:b/>
          <w:i w:val="0"/>
          <w:sz w:val="20"/>
        </w:rPr>
        <w:t>Table I. Summary of recent SCAPS-1D studies on lead-free Ge-based and Sn-based perovskite solar cells.</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2041"/>
          </w:tcPr>
          <w:p>
            <w:pPr>
              <w:jc w:val="center"/>
            </w:pPr>
            <w:r/>
            <w:r>
              <w:rPr>
                <w:rFonts w:ascii="Times New Roman" w:hAnsi="Times New Roman" w:cs="Times New Roman"/>
                <w:b/>
                <w:i w:val="0"/>
                <w:sz w:val="18"/>
              </w:rPr>
              <w:t>Study (Year) [Ref.]</w:t>
            </w:r>
          </w:p>
        </w:tc>
        <w:tc>
          <w:tcPr>
            <w:tcW w:type="dxa" w:w="2494"/>
          </w:tcPr>
          <w:p>
            <w:pPr>
              <w:jc w:val="center"/>
            </w:pPr>
            <w:r/>
            <w:r>
              <w:rPr>
                <w:rFonts w:ascii="Times New Roman" w:hAnsi="Times New Roman" w:cs="Times New Roman"/>
                <w:b/>
                <w:i w:val="0"/>
                <w:sz w:val="18"/>
              </w:rPr>
              <w:t>Device Structure</w:t>
            </w:r>
          </w:p>
        </w:tc>
        <w:tc>
          <w:tcPr>
            <w:tcW w:type="dxa" w:w="850"/>
          </w:tcPr>
          <w:p>
            <w:pPr>
              <w:jc w:val="center"/>
            </w:pPr>
            <w:r/>
            <w:r>
              <w:rPr>
                <w:rFonts w:ascii="Times New Roman" w:hAnsi="Times New Roman" w:cs="Times New Roman"/>
                <w:b/>
                <w:i w:val="0"/>
                <w:sz w:val="18"/>
              </w:rPr>
              <w:t>PCE (%)</w:t>
            </w:r>
          </w:p>
        </w:tc>
        <w:tc>
          <w:tcPr>
            <w:tcW w:type="dxa" w:w="3969"/>
          </w:tcPr>
          <w:p>
            <w:pPr>
              <w:jc w:val="center"/>
            </w:pPr>
            <w:r/>
            <w:r>
              <w:rPr>
                <w:rFonts w:ascii="Times New Roman" w:hAnsi="Times New Roman" w:cs="Times New Roman"/>
                <w:b/>
                <w:i w:val="0"/>
                <w:sz w:val="18"/>
              </w:rPr>
              <w:t>Key Limitation</w:t>
            </w:r>
          </w:p>
        </w:tc>
      </w:tr>
      <w:tr>
        <w:trPr>
          <w:cantSplit w:val="true"/>
        </w:trPr>
        <w:tc>
          <w:tcPr>
            <w:tcW w:type="dxa" w:w="2041"/>
          </w:tcPr>
          <w:p>
            <w:pPr>
              <w:jc w:val="left"/>
            </w:pPr>
            <w:r/>
            <w:r>
              <w:rPr>
                <w:rFonts w:ascii="Times New Roman" w:hAnsi="Times New Roman" w:cs="Times New Roman"/>
                <w:b w:val="0"/>
                <w:i w:val="0"/>
                <w:sz w:val="18"/>
              </w:rPr>
              <w:t>Pindolia et al. (2022) [14]</w:t>
            </w:r>
          </w:p>
        </w:tc>
        <w:tc>
          <w:tcPr>
            <w:tcW w:type="dxa" w:w="2494"/>
          </w:tcPr>
          <w:p>
            <w:pPr>
              <w:jc w:val="center"/>
            </w:pPr>
            <w:r>
              <w:rPr/>
              <w:t>FTO/TiO</w:t>
            </w:r>
            <w:r>
              <w:rPr>
                <w:vertAlign w:val="subscript"/>
              </w:rPr>
              <w:t>2</w:t>
            </w:r>
            <w:r>
              <w:rPr/>
              <w:t>/RbGeI</w:t>
            </w:r>
            <w:r>
              <w:rPr>
                <w:vertAlign w:val="subscript"/>
              </w:rPr>
              <w:t>3</w:t>
            </w:r>
            <w:r>
              <w:rPr/>
              <w:t>/NiO/Ag</w:t>
            </w:r>
          </w:p>
        </w:tc>
        <w:tc>
          <w:tcPr>
            <w:tcW w:type="dxa" w:w="850"/>
          </w:tcPr>
          <w:p>
            <w:pPr>
              <w:jc w:val="center"/>
            </w:pPr>
            <w:r/>
            <w:r>
              <w:rPr>
                <w:rFonts w:ascii="Times New Roman" w:hAnsi="Times New Roman" w:cs="Times New Roman"/>
                <w:b w:val="0"/>
                <w:i w:val="0"/>
                <w:sz w:val="18"/>
              </w:rPr>
              <w:t>10.11</w:t>
            </w:r>
          </w:p>
        </w:tc>
        <w:tc>
          <w:tcPr>
            <w:tcW w:type="dxa" w:w="3969"/>
          </w:tcPr>
          <w:p>
            <w:pPr>
              <w:jc w:val="center"/>
            </w:p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
              <w:rPr>
                <w:rFonts w:ascii="Times New Roman" w:hAnsi="Times New Roman" w:cs="Times New Roman"/>
                <w:b w:val="0"/>
                <w:i w:val="0"/>
                <w:sz w:val="18"/>
              </w:rPr>
              <w:t>Saikia et al. (2022) [24]</w:t>
            </w:r>
          </w:p>
        </w:tc>
        <w:tc>
          <w:tcPr>
            <w:tcW w:type="dxa" w:w="2494"/>
          </w:tcPr>
          <w:p>
            <w:pPr>
              <w:jc w:val="center"/>
            </w:pPr>
            <w:r>
              <w:rPr/>
              <w:t>FTO/TiO</w:t>
            </w:r>
            <w:r>
              <w:rPr>
                <w:vertAlign w:val="subscript"/>
              </w:rPr>
              <w:t>2</w:t>
            </w:r>
            <w:r>
              <w:rPr/>
              <w:t>/CsGeI</w:t>
            </w:r>
            <w:r>
              <w:rPr>
                <w:vertAlign w:val="subscript"/>
              </w:rPr>
              <w:t>3</w:t>
            </w:r>
            <w:r>
              <w:rPr/>
              <w:t>/CuI/Au</w:t>
            </w:r>
          </w:p>
        </w:tc>
        <w:tc>
          <w:tcPr>
            <w:tcW w:type="dxa" w:w="850"/>
          </w:tcPr>
          <w:p>
            <w:pPr>
              <w:jc w:val="center"/>
            </w:pPr>
            <w:r/>
            <w:r>
              <w:rPr>
                <w:rFonts w:ascii="Times New Roman" w:hAnsi="Times New Roman" w:cs="Times New Roman"/>
                <w:b w:val="0"/>
                <w:i w:val="0"/>
                <w:sz w:val="18"/>
              </w:rPr>
              <w:t>10.80</w:t>
            </w:r>
          </w:p>
        </w:tc>
        <w:tc>
          <w:tcPr>
            <w:tcW w:type="dxa" w:w="3969"/>
          </w:tcPr>
          <w:p>
            <w:pPr>
              <w:jc w:val="center"/>
            </w:pPr>
            <w:r/>
            <w:r>
              <w:rPr>
                <w:rFonts w:ascii="Times New Roman" w:hAnsi="Times New Roman" w:cs="Times New Roman"/>
                <w:b w:val="0"/>
                <w:i w:val="0"/>
                <w:sz w:val="18"/>
              </w:rPr>
              <w:t>No multi-HTL comparative analysis.</w:t>
            </w:r>
          </w:p>
        </w:tc>
      </w:tr>
      <w:tr>
        <w:trPr>
          <w:cantSplit w:val="true"/>
        </w:trPr>
        <w:tc>
          <w:tcPr>
            <w:tcW w:type="dxa" w:w="2041"/>
          </w:tcPr>
          <w:p>
            <w:pPr>
              <w:jc w:val="left"/>
            </w:pPr>
            <w:r/>
            <w:r>
              <w:rPr>
                <w:rFonts w:ascii="Times New Roman" w:hAnsi="Times New Roman" w:cs="Times New Roman"/>
                <w:b w:val="0"/>
                <w:i w:val="0"/>
                <w:sz w:val="18"/>
              </w:rPr>
              <w:t>Bouazizi et al. (2022) [15]</w:t>
            </w:r>
          </w:p>
        </w:tc>
        <w:tc>
          <w:tcPr>
            <w:tcW w:type="dxa" w:w="2494"/>
          </w:tcPr>
          <w:p>
            <w:pPr>
              <w:jc w:val="center"/>
            </w:pPr>
            <w:r>
              <w:rPr/>
              <w:t>FTO/PCBM/CsSn</w:t>
            </w:r>
            <w:r>
              <w:rPr>
                <w:vertAlign w:val="subscript"/>
              </w:rPr>
              <w:t>0</w:t>
            </w:r>
            <w:r>
              <w:rPr/>
              <w:t>.</w:t>
            </w:r>
            <w:r>
              <w:rPr>
                <w:vertAlign w:val="subscript"/>
              </w:rPr>
              <w:t>5</w:t>
            </w:r>
            <w:r>
              <w:rPr/>
              <w:t>Ge</w:t>
            </w:r>
            <w:r>
              <w:rPr>
                <w:vertAlign w:val="subscript"/>
              </w:rPr>
              <w:t>0</w:t>
            </w:r>
            <w:r>
              <w:rPr/>
              <w:t>.</w:t>
            </w:r>
            <w:r>
              <w:rPr>
                <w:vertAlign w:val="subscript"/>
              </w:rPr>
              <w:t>5</w:t>
            </w:r>
            <w:r>
              <w:rPr/>
              <w:t>I</w:t>
            </w:r>
            <w:r>
              <w:rPr>
                <w:vertAlign w:val="subscript"/>
              </w:rPr>
              <w:t>3</w:t>
            </w:r>
            <w:r>
              <w:rPr/>
              <w:t>/Spiro/Au</w:t>
            </w:r>
          </w:p>
        </w:tc>
        <w:tc>
          <w:tcPr>
            <w:tcW w:type="dxa" w:w="850"/>
          </w:tcPr>
          <w:p>
            <w:pPr>
              <w:jc w:val="center"/>
            </w:pPr>
            <w:r/>
            <w:r>
              <w:rPr>
                <w:rFonts w:ascii="Times New Roman" w:hAnsi="Times New Roman" w:cs="Times New Roman"/>
                <w:b w:val="0"/>
                <w:i w:val="0"/>
                <w:sz w:val="18"/>
              </w:rPr>
              <w:t>18.13</w:t>
            </w:r>
          </w:p>
        </w:tc>
        <w:tc>
          <w:tcPr>
            <w:tcW w:type="dxa" w:w="3969"/>
          </w:tcPr>
          <w:p>
            <w:pPr>
              <w:jc w:val="center"/>
            </w:p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
              <w:rPr>
                <w:rFonts w:ascii="Times New Roman" w:hAnsi="Times New Roman" w:cs="Times New Roman"/>
                <w:b w:val="0"/>
                <w:i w:val="0"/>
                <w:sz w:val="18"/>
              </w:rPr>
              <w:t>Loumachi et al. (2024) [22]</w:t>
            </w:r>
          </w:p>
        </w:tc>
        <w:tc>
          <w:tcPr>
            <w:tcW w:type="dxa" w:w="2494"/>
          </w:tcPr>
          <w:p>
            <w:pPr>
              <w:jc w:val="center"/>
            </w:pPr>
            <w:r>
              <w:rPr/>
              <w:t>ITO/C</w:t>
            </w:r>
            <w:r>
              <w:rPr>
                <w:vertAlign w:val="subscript"/>
              </w:rPr>
              <w:t>60</w:t>
            </w:r>
            <w:r>
              <w:rPr/>
              <w:t>/RbGeI</w:t>
            </w:r>
            <w:r>
              <w:rPr>
                <w:vertAlign w:val="subscript"/>
              </w:rPr>
              <w:t>3</w:t>
            </w:r>
            <w:r>
              <w:rPr/>
              <w:t>/CBTS/Ag</w:t>
            </w:r>
          </w:p>
        </w:tc>
        <w:tc>
          <w:tcPr>
            <w:tcW w:type="dxa" w:w="850"/>
          </w:tcPr>
          <w:p>
            <w:pPr>
              <w:jc w:val="center"/>
            </w:pPr>
            <w:r/>
            <w:r>
              <w:rPr>
                <w:rFonts w:ascii="Times New Roman" w:hAnsi="Times New Roman" w:cs="Times New Roman"/>
                <w:b w:val="0"/>
                <w:i w:val="0"/>
                <w:sz w:val="18"/>
              </w:rPr>
              <w:t>24.62</w:t>
            </w:r>
          </w:p>
        </w:tc>
        <w:tc>
          <w:tcPr>
            <w:tcW w:type="dxa" w:w="3969"/>
          </w:tcPr>
          <w:p>
            <w:pPr>
              <w:jc w:val="center"/>
            </w:pPr>
            <w:r>
              <w:rPr/>
              <w:t>Optimized RbGeI</w:t>
            </w:r>
            <w:r>
              <w:rPr>
                <w:vertAlign w:val="subscript"/>
              </w:rPr>
              <w:t>3</w:t>
            </w:r>
            <w:r>
              <w:rPr/>
              <w:t xml:space="preserve"> thickness and series/shunt resistance; interface defect optimization not addressed.</w:t>
            </w:r>
          </w:p>
        </w:tc>
      </w:tr>
      <w:tr>
        <w:trPr>
          <w:cantSplit w:val="true"/>
        </w:trPr>
        <w:tc>
          <w:tcPr>
            <w:tcW w:type="dxa" w:w="2041"/>
          </w:tcPr>
          <w:p>
            <w:pPr>
              <w:jc w:val="left"/>
            </w:pPr>
            <w:r/>
            <w:r>
              <w:rPr>
                <w:rFonts w:ascii="Times New Roman" w:hAnsi="Times New Roman" w:cs="Times New Roman"/>
                <w:b w:val="0"/>
                <w:i w:val="0"/>
                <w:sz w:val="18"/>
              </w:rPr>
              <w:t>Raj et al. (2025) [25]</w:t>
            </w:r>
          </w:p>
        </w:tc>
        <w:tc>
          <w:tcPr>
            <w:tcW w:type="dxa" w:w="2494"/>
          </w:tcPr>
          <w:p>
            <w:pPr>
              <w:jc w:val="center"/>
            </w:pPr>
            <w:r>
              <w:rPr/>
              <w:t>FTO/TiO</w:t>
            </w:r>
            <w:r>
              <w:rPr>
                <w:vertAlign w:val="subscript"/>
              </w:rPr>
              <w:t>2</w:t>
            </w:r>
            <w:r>
              <w:rPr/>
              <w:t>/RbGeI</w:t>
            </w:r>
            <w:r>
              <w:rPr>
                <w:vertAlign w:val="subscript"/>
              </w:rPr>
              <w:t>3</w:t>
            </w:r>
            <w:r>
              <w:rPr/>
              <w:t>/PEDOT:PSS/Au</w:t>
            </w:r>
          </w:p>
        </w:tc>
        <w:tc>
          <w:tcPr>
            <w:tcW w:type="dxa" w:w="850"/>
          </w:tcPr>
          <w:p>
            <w:pPr>
              <w:jc w:val="center"/>
            </w:pPr>
            <w:r/>
            <w:r>
              <w:rPr>
                <w:rFonts w:ascii="Times New Roman" w:hAnsi="Times New Roman" w:cs="Times New Roman"/>
                <w:b w:val="0"/>
                <w:i w:val="0"/>
                <w:sz w:val="18"/>
              </w:rPr>
              <w:t>18.44</w:t>
            </w:r>
          </w:p>
        </w:tc>
        <w:tc>
          <w:tcPr>
            <w:tcW w:type="dxa" w:w="3969"/>
          </w:tcPr>
          <w:p>
            <w:pPr>
              <w:jc w:val="center"/>
            </w:pPr>
            <w:r/>
            <w:r>
              <w:rPr>
                <w:rFonts w:ascii="Times New Roman" w:hAnsi="Times New Roman" w:cs="Times New Roman"/>
                <w:b w:val="0"/>
                <w:i w:val="0"/>
                <w:sz w:val="18"/>
              </w:rPr>
              <w:t>Organic HTL limits long-term stability.</w:t>
            </w:r>
          </w:p>
        </w:tc>
      </w:tr>
      <w:tr>
        <w:trPr>
          <w:cantSplit w:val="true"/>
        </w:trPr>
        <w:tc>
          <w:tcPr>
            <w:tcW w:type="dxa" w:w="2041"/>
          </w:tcPr>
          <w:p>
            <w:pPr>
              <w:jc w:val="left"/>
            </w:pPr>
            <w:r/>
            <w:r>
              <w:rPr>
                <w:rFonts w:ascii="Times New Roman" w:hAnsi="Times New Roman" w:cs="Times New Roman"/>
                <w:b w:val="0"/>
                <w:i w:val="0"/>
                <w:sz w:val="18"/>
              </w:rPr>
              <w:t>Pathak et al. (2026) [23]</w:t>
            </w:r>
          </w:p>
        </w:tc>
        <w:tc>
          <w:tcPr>
            <w:tcW w:type="dxa" w:w="2494"/>
          </w:tcPr>
          <w:p>
            <w:pPr>
              <w:jc w:val="center"/>
            </w:pPr>
            <w:r>
              <w:rPr/>
              <w:t>FTO/TiO</w:t>
            </w:r>
            <w:r>
              <w:rPr>
                <w:vertAlign w:val="subscript"/>
              </w:rPr>
              <w:t>2</w:t>
            </w:r>
            <w:r>
              <w:rPr/>
              <w:t>/RbGeI</w:t>
            </w:r>
            <w:r>
              <w:rPr>
                <w:vertAlign w:val="subscript"/>
              </w:rPr>
              <w:t>3</w:t>
            </w:r>
            <w:r>
              <w:rPr/>
              <w:t>/Spiro-OMeTAD/Au</w:t>
            </w:r>
          </w:p>
        </w:tc>
        <w:tc>
          <w:tcPr>
            <w:tcW w:type="dxa" w:w="850"/>
          </w:tcPr>
          <w:p>
            <w:pPr>
              <w:jc w:val="center"/>
            </w:pPr>
            <w:r/>
            <w:r>
              <w:rPr>
                <w:rFonts w:ascii="Times New Roman" w:hAnsi="Times New Roman" w:cs="Times New Roman"/>
                <w:b w:val="0"/>
                <w:i w:val="0"/>
                <w:sz w:val="18"/>
              </w:rPr>
              <w:t>26.47</w:t>
            </w:r>
          </w:p>
        </w:tc>
        <w:tc>
          <w:tcPr>
            <w:tcW w:type="dxa" w:w="3969"/>
          </w:tcPr>
          <w:p>
            <w:pPr>
              <w:jc w:val="center"/>
            </w:p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
              <w:rPr>
                <w:rFonts w:ascii="Times New Roman" w:hAnsi="Times New Roman" w:cs="Times New Roman"/>
                <w:b w:val="0"/>
                <w:i w:val="0"/>
                <w:sz w:val="18"/>
              </w:rPr>
              <w:t>Dash et al. (2025) [17]</w:t>
            </w:r>
          </w:p>
        </w:tc>
        <w:tc>
          <w:tcPr>
            <w:tcW w:type="dxa" w:w="2494"/>
          </w:tcPr>
          <w:p>
            <w:pPr>
              <w:jc w:val="center"/>
            </w:pPr>
            <w:r>
              <w:rPr/>
              <w:t>DFT + SCAPS-1D of RbGeX</w:t>
            </w:r>
            <w:r>
              <w:rPr>
                <w:vertAlign w:val="subscript"/>
              </w:rPr>
              <w:t>3</w:t>
            </w:r>
            <w:r>
              <w:rPr/>
              <w:t xml:space="preserve"> (X=Cl, Br, I)</w:t>
            </w:r>
          </w:p>
        </w:tc>
        <w:tc>
          <w:tcPr>
            <w:tcW w:type="dxa" w:w="850"/>
          </w:tcPr>
          <w:p>
            <w:pPr>
              <w:jc w:val="center"/>
            </w:pPr>
            <w:r/>
            <w:r>
              <w:rPr>
                <w:rFonts w:ascii="Times New Roman" w:hAnsi="Times New Roman" w:cs="Times New Roman"/>
                <w:b w:val="0"/>
                <w:i w:val="0"/>
                <w:sz w:val="18"/>
              </w:rPr>
              <w:t>25.76</w:t>
            </w:r>
          </w:p>
        </w:tc>
        <w:tc>
          <w:tcPr>
            <w:tcW w:type="dxa" w:w="3969"/>
          </w:tcPr>
          <w:p>
            <w:pPr>
              <w:jc w:val="center"/>
            </w:p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b w:val="0"/>
          <w:i w:val="0"/>
          <w:sz w:val="24"/>
        </w:rPr>
        <w:t>Copper(I) iodide is a wide-gap (E</w:t>
      </w:r>
      <w:r>
        <w:rPr>
          <w:rFonts w:ascii="Times New Roman" w:hAnsi="Times New Roman"/>
          <w:b w:val="0"/>
          <w:i w:val="0"/>
          <w:sz w:val="24"/>
          <w:vertAlign w:val="subscript"/>
        </w:rPr>
        <w:t>g</w:t>
      </w:r>
      <w:r>
        <w:rPr>
          <w:rFonts w:ascii="Times New Roman" w:hAnsi="Times New Roman"/>
          <w:b w:val="0"/>
          <w:i w:val="0"/>
          <w:sz w:val="24"/>
        </w:rPr>
        <w:t xml:space="preserve"> ≈ 3.1 eV), p-type transparent conductor whose valence-band maximum aligns closely with that of RbGeI</w:t>
      </w:r>
      <w:r>
        <w:rPr>
          <w:rFonts w:ascii="Times New Roman" w:hAnsi="Times New Roman"/>
          <w:b w:val="0"/>
          <w:i w:val="0"/>
          <w:sz w:val="24"/>
          <w:vertAlign w:val="subscript"/>
        </w:rPr>
        <w:t>3</w:t>
      </w:r>
      <w:r>
        <w:rPr>
          <w:rFonts w:ascii="Times New Roman" w:hAnsi="Times New Roman"/>
          <w:b w:val="0"/>
          <w:i w:val="0"/>
          <w:sz w:val="24"/>
        </w:rPr>
        <w:t>, supporting efficient hole extraction [26,27]. Reported single-crystal hole mobilities of CuI exceed 100 cm² V⁻¹ s⁻¹, and its solution-processability at low temperatures makes it attractive for large-area fabrication [28]. Despite these advantages, only a small number of SCAPS-1D studies have paired CuI with RbGeI</w:t>
      </w:r>
      <w:r>
        <w:rPr>
          <w:rFonts w:ascii="Times New Roman" w:hAnsi="Times New Roman"/>
          <w:b w:val="0"/>
          <w:i w:val="0"/>
          <w:sz w:val="24"/>
          <w:vertAlign w:val="subscript"/>
        </w:rPr>
        <w:t>3</w:t>
      </w:r>
      <w:r>
        <w:rPr>
          <w:rFonts w:ascii="Times New Roman" w:hAnsi="Times New Roman"/>
          <w:b w:val="0"/>
          <w:i w:val="0"/>
          <w:sz w:val="24"/>
        </w:rPr>
        <w:t xml:space="preserve"> specifically, and none has performed an eleven-parameter optimization on this combination. The present work instead varies all eleven device-level parameters on the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architecture and reports the resulting photovoltaic performance.</w:t>
      </w:r>
    </w:p>
    <w:p>
      <w:pPr>
        <w:spacing w:line="360" w:lineRule="auto" w:before="120" w:after="120"/>
        <w:ind w:firstLine="283"/>
        <w:jc w:val="both"/>
      </w:pPr>
      <w:r>
        <w:rPr>
          <w:rFonts w:ascii="Times New Roman" w:hAnsi="Times New Roman"/>
          <w:b w:val="0"/>
          <w:i w:val="0"/>
          <w:sz w:val="24"/>
        </w:rPr>
        <w:t>A further observation from Table I is that the comparator device structures span a range of ETL and HTL materials (TiO</w:t>
      </w:r>
      <w:r>
        <w:rPr>
          <w:rFonts w:ascii="Times New Roman" w:hAnsi="Times New Roman"/>
          <w:b w:val="0"/>
          <w:i w:val="0"/>
          <w:sz w:val="24"/>
          <w:vertAlign w:val="subscript"/>
        </w:rPr>
        <w:t>2</w:t>
      </w:r>
      <w:r>
        <w:rPr>
          <w:rFonts w:ascii="Times New Roman" w:hAnsi="Times New Roman"/>
          <w:b w:val="0"/>
          <w:i w:val="0"/>
          <w:sz w:val="24"/>
        </w:rPr>
        <w:t>, PCBM, C</w:t>
      </w:r>
      <w:r>
        <w:rPr>
          <w:rFonts w:ascii="Times New Roman" w:hAnsi="Times New Roman"/>
          <w:b w:val="0"/>
          <w:i w:val="0"/>
          <w:sz w:val="24"/>
          <w:vertAlign w:val="subscript"/>
        </w:rPr>
        <w:t>60</w:t>
      </w:r>
      <w:r>
        <w:rPr>
          <w:rFonts w:ascii="Times New Roman" w:hAnsi="Times New Roman"/>
          <w:b w:val="0"/>
          <w:i w:val="0"/>
          <w:sz w:val="24"/>
        </w:rPr>
        <w:t>, NiO, CuI, CBTS, Spiro-OMeTAD, PEDOT:PSS) and back-contact metals (Ag, Au). Two structural details deserve explicit clarification to prevent citation-propagation errors. First, the ETL in the Loumachi et al. device [22] is C</w:t>
      </w:r>
      <w:r>
        <w:rPr>
          <w:rFonts w:ascii="Times New Roman" w:hAnsi="Times New Roman"/>
          <w:b w:val="0"/>
          <w:i w:val="0"/>
          <w:sz w:val="24"/>
          <w:vertAlign w:val="subscript"/>
        </w:rPr>
        <w:t>60</w:t>
      </w:r>
      <w:r>
        <w:rPr>
          <w:rFonts w:ascii="Times New Roman" w:hAnsi="Times New Roman"/>
          <w:b w:val="0"/>
          <w:i w:val="0"/>
          <w:sz w:val="24"/>
        </w:rPr>
        <w:t xml:space="preserve"> (buckminsterfullerene), frequently rendered “C60” in the literature. The subscript is significant because “C6” refers to a different chemical species. Second, the back contact in the Loumachi et al. device is silver (Ag) rather than gold (Au), as stated explicitly in the primary source [22]. Both details are preserved correctly in the comparator entry above.</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200" w:after="8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b w:val="0"/>
          <w:i w:val="0"/>
          <w:sz w:val="24"/>
        </w:rPr>
        <w:t>The proposed lead-free perovskite solar cell investigated in this work adopts a conventional n-i-p planar heterojunction architecture with the configuration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The device comprises five functional layers: a fluorine-doped tin oxide (FTO) transparent conducting oxide front electrode, a titanium dioxide (TiO</w:t>
      </w:r>
      <w:r>
        <w:rPr>
          <w:rFonts w:ascii="Times New Roman" w:hAnsi="Times New Roman"/>
          <w:b w:val="0"/>
          <w:i w:val="0"/>
          <w:sz w:val="24"/>
          <w:vertAlign w:val="subscript"/>
        </w:rPr>
        <w:t>2</w:t>
      </w:r>
      <w:r>
        <w:rPr>
          <w:rFonts w:ascii="Times New Roman" w:hAnsi="Times New Roman"/>
          <w:b w:val="0"/>
          <w:i w:val="0"/>
          <w:sz w:val="24"/>
        </w:rPr>
        <w:t>) electron transport layer (ETL), a rubidium germanium iodide (RbGeI</w:t>
      </w:r>
      <w:r>
        <w:rPr>
          <w:rFonts w:ascii="Times New Roman" w:hAnsi="Times New Roman"/>
          <w:b w:val="0"/>
          <w:i w:val="0"/>
          <w:sz w:val="24"/>
          <w:vertAlign w:val="subscript"/>
        </w:rPr>
        <w:t>3</w:t>
      </w:r>
      <w:r>
        <w:rPr>
          <w:rFonts w:ascii="Times New Roman" w:hAnsi="Times New Roman"/>
          <w:b w:val="0"/>
          <w:i w:val="0"/>
          <w:sz w:val="24"/>
        </w:rPr>
        <w:t>)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keepLines/>
        <w:spacing w:before="200" w:after="80"/>
        <w:jc w:val="center"/>
      </w:pPr>
      <w:r>
        <w:drawing>
          <wp:inline xmlns:a="http://schemas.openxmlformats.org/drawingml/2006/main" xmlns:pic="http://schemas.openxmlformats.org/drawingml/2006/picture">
            <wp:extent cx="5040000" cy="2847957"/>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b w:val="0"/>
          <w:i/>
          <w:sz w:val="20"/>
        </w:rPr>
        <w:t>Fig. 2. Schematic diagram of the proposed FTO/TiO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/CuI/Au perovskite solar cell structure, showing the five functional layers and the direction of photogenerated carrier transport under AM 1.5G illumination.</w:t>
      </w:r>
    </w:p>
    <w:p>
      <w:pPr>
        <w:pStyle w:val="Heading2"/>
        <w:keepNext/>
        <w:spacing w:before="200" w:after="8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b w:val="0"/>
          <w:i w:val="0"/>
          <w:sz w:val="24"/>
        </w:rPr>
        <w:t>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[29]. FTO was preferred over alternative transparent conducting oxides (such as indium tin oxide, ITO) for its superior thermal and chemical stability, its compatibility with the TiO</w:t>
      </w:r>
      <w:r>
        <w:rPr>
          <w:rFonts w:ascii="Times New Roman" w:hAnsi="Times New Roman"/>
          <w:b w:val="0"/>
          <w:i w:val="0"/>
          <w:sz w:val="24"/>
          <w:vertAlign w:val="subscript"/>
        </w:rPr>
        <w:t>2</w:t>
      </w:r>
      <w:r>
        <w:rPr>
          <w:rFonts w:ascii="Times New Roman" w:hAnsi="Times New Roman"/>
          <w:b w:val="0"/>
          <w:i w:val="0"/>
          <w:sz w:val="24"/>
        </w:rPr>
        <w:t xml:space="preserve"> ETL deposition process, and its lower cost. The thickness of the FTO layer was fixed at 500 nm, consistent with values commonly reported for perovskite solar cells [30].</w:t>
      </w:r>
    </w:p>
    <w:p>
      <w:pPr>
        <w:spacing w:line="360" w:lineRule="auto" w:before="120" w:after="120"/>
        <w:ind w:firstLine="283"/>
        <w:jc w:val="both"/>
      </w:pPr>
      <w:r>
        <w:rPr>
          <w:rFonts w:ascii="Times New Roman" w:hAnsi="Times New Roman"/>
          <w:b w:val="0"/>
          <w:i w:val="0"/>
          <w:sz w:val="24"/>
        </w:rPr>
        <w:t>Titanium dioxide (TiO</w:t>
      </w:r>
      <w:r>
        <w:rPr>
          <w:rFonts w:ascii="Times New Roman" w:hAnsi="Times New Roman"/>
          <w:b w:val="0"/>
          <w:i w:val="0"/>
          <w:sz w:val="24"/>
          <w:vertAlign w:val="subscript"/>
        </w:rPr>
        <w:t>2</w:t>
      </w:r>
      <w:r>
        <w:rPr>
          <w:rFonts w:ascii="Times New Roman" w:hAnsi="Times New Roman"/>
          <w:b w:val="0"/>
          <w:i w:val="0"/>
          <w:sz w:val="24"/>
        </w:rPr>
        <w:t>) was employed as the electron transport layer. The primary function of the ETL is to extract photogenerated electrons from the absorber layer and transport them toward the FTO electrode while effectively blocking holes. TiO</w:t>
      </w:r>
      <w:r>
        <w:rPr>
          <w:rFonts w:ascii="Times New Roman" w:hAnsi="Times New Roman"/>
          <w:b w:val="0"/>
          <w:i w:val="0"/>
          <w:sz w:val="24"/>
          <w:vertAlign w:val="subscript"/>
        </w:rPr>
        <w:t>2</w:t>
      </w:r>
      <w:r>
        <w:rPr>
          <w:rFonts w:ascii="Times New Roman" w:hAnsi="Times New Roman"/>
          <w:b w:val="0"/>
          <w:i w:val="0"/>
          <w:sz w:val="24"/>
        </w:rPr>
        <w:t xml:space="preserve">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downhill path for photogenerated electrons to transfer from the absorber into the ETL, while its deep valence band acts as an effective barrier against hole transport [31,32]. Although its intrinsic electron mobility is lower than that of ZnO and SnO</w:t>
      </w:r>
      <w:r>
        <w:rPr>
          <w:rFonts w:ascii="Times New Roman" w:hAnsi="Times New Roman"/>
          <w:b w:val="0"/>
          <w:i w:val="0"/>
          <w:sz w:val="24"/>
          <w:vertAlign w:val="subscript"/>
        </w:rPr>
        <w:t>2</w:t>
      </w:r>
      <w:r>
        <w:rPr>
          <w:rFonts w:ascii="Times New Roman" w:hAnsi="Times New Roman"/>
          <w:b w:val="0"/>
          <w:i w:val="0"/>
          <w:sz w:val="24"/>
        </w:rPr>
        <w:t>, TiO</w:t>
      </w:r>
      <w:r>
        <w:rPr>
          <w:rFonts w:ascii="Times New Roman" w:hAnsi="Times New Roman"/>
          <w:b w:val="0"/>
          <w:i w:val="0"/>
          <w:sz w:val="24"/>
          <w:vertAlign w:val="subscript"/>
        </w:rPr>
        <w:t>2</w:t>
      </w:r>
      <w:r>
        <w:rPr>
          <w:rFonts w:ascii="Times New Roman" w:hAnsi="Times New Roman"/>
          <w:b w:val="0"/>
          <w:i w:val="0"/>
          <w:sz w:val="24"/>
        </w:rPr>
        <w:t xml:space="preserve"> provides sufficiently fast electron transport when fabricated with appropriate morphology and crystallinity, and it forms chemically stable interfaces with perovskite materials [33].</w:t>
      </w:r>
    </w:p>
    <w:p>
      <w:pPr>
        <w:spacing w:line="360" w:lineRule="auto" w:before="120" w:after="120"/>
        <w:ind w:firstLine="283"/>
        <w:jc w:val="both"/>
      </w:pPr>
      <w:r>
        <w:rPr>
          <w:rFonts w:ascii="Times New Roman" w:hAnsi="Times New Roman"/>
          <w:b w:val="0"/>
          <w:i w:val="0"/>
          <w:sz w:val="24"/>
        </w:rPr>
        <w:t>Rubidium germanium iodide (RbGeI</w:t>
      </w:r>
      <w:r>
        <w:rPr>
          <w:rFonts w:ascii="Times New Roman" w:hAnsi="Times New Roman"/>
          <w:b w:val="0"/>
          <w:i w:val="0"/>
          <w:sz w:val="24"/>
          <w:vertAlign w:val="subscript"/>
        </w:rPr>
        <w:t>3</w:t>
      </w:r>
      <w:r>
        <w:rPr>
          <w:rFonts w:ascii="Times New Roman" w:hAnsi="Times New Roman"/>
          <w:b w:val="0"/>
          <w:i w:val="0"/>
          <w:sz w:val="24"/>
        </w:rPr>
        <w:t>) was selected as the photoactive absorber. Compared with conventional lead-based perovskites, RbGeI</w:t>
      </w:r>
      <w:r>
        <w:rPr>
          <w:rFonts w:ascii="Times New Roman" w:hAnsi="Times New Roman"/>
          <w:b w:val="0"/>
          <w:i w:val="0"/>
          <w:sz w:val="24"/>
          <w:vertAlign w:val="subscript"/>
        </w:rPr>
        <w:t>3</w:t>
      </w:r>
      <w:r>
        <w:rPr>
          <w:rFonts w:ascii="Times New Roman" w:hAnsi="Times New Roman"/>
          <w:b w:val="0"/>
          <w:i w:val="0"/>
          <w:sz w:val="24"/>
        </w:rPr>
        <w:t xml:space="preserve"> offers the important advantage of being environmentally friendly because germanium replaces toxic lead while maintaining desirable optoelectronic properties. RbGeI</w:t>
      </w:r>
      <w:r>
        <w:rPr>
          <w:rFonts w:ascii="Times New Roman" w:hAnsi="Times New Roman"/>
          <w:b w:val="0"/>
          <w:i w:val="0"/>
          <w:sz w:val="24"/>
          <w:vertAlign w:val="subscript"/>
        </w:rPr>
        <w:t>3</w:t>
      </w:r>
      <w:r>
        <w:rPr>
          <w:rFonts w:ascii="Times New Roman" w:hAnsi="Times New Roman"/>
          <w:b w:val="0"/>
          <w:i w:val="0"/>
          <w:sz w:val="24"/>
        </w:rPr>
        <w:t xml:space="preserve"> adopts the ABX</w:t>
      </w:r>
      <w:r>
        <w:rPr>
          <w:rFonts w:ascii="Times New Roman" w:hAnsi="Times New Roman"/>
          <w:b w:val="0"/>
          <w:i w:val="0"/>
          <w:sz w:val="24"/>
          <w:vertAlign w:val="subscript"/>
        </w:rPr>
        <w:t>3</w:t>
      </w:r>
      <w:r>
        <w:rPr>
          <w:rFonts w:ascii="Times New Roman" w:hAnsi="Times New Roman"/>
          <w:b w:val="0"/>
          <w:i w:val="0"/>
          <w:sz w:val="24"/>
        </w:rPr>
        <w:t xml:space="preserve"> perovskite structure with rubidium at the A-site, germanium at the B-site, and iodine at the X-site. Its direct bandgap in the 1.3–1.4 eV range, strong optical absorption coefficient (reported to be comparable to that of MAPbI</w:t>
      </w:r>
      <w:r>
        <w:rPr>
          <w:rFonts w:ascii="Times New Roman" w:hAnsi="Times New Roman"/>
          <w:b w:val="0"/>
          <w:i w:val="0"/>
          <w:sz w:val="24"/>
          <w:vertAlign w:val="subscript"/>
        </w:rPr>
        <w:t>3</w:t>
      </w:r>
      <w:r>
        <w:rPr>
          <w:rFonts w:ascii="Times New Roman" w:hAnsi="Times New Roman"/>
          <w:b w:val="0"/>
          <w:i w:val="0"/>
          <w:sz w:val="24"/>
        </w:rPr>
        <w:t xml:space="preserve">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b w:val="0"/>
          <w:i w:val="0"/>
          <w:sz w:val="24"/>
        </w:rPr>
        <w:t>Copper iodide (CuI) was selected as the hole transport layer owing to its excellent hole conductivity, high optical transparency, appropriate valence-band alignment with RbGeI</w:t>
      </w:r>
      <w:r>
        <w:rPr>
          <w:rFonts w:ascii="Times New Roman" w:hAnsi="Times New Roman"/>
          <w:b w:val="0"/>
          <w:i w:val="0"/>
          <w:sz w:val="24"/>
          <w:vertAlign w:val="subscript"/>
        </w:rPr>
        <w:t>3</w:t>
      </w:r>
      <w:r>
        <w:rPr>
          <w:rFonts w:ascii="Times New Roman" w:hAnsi="Times New Roman"/>
          <w:b w:val="0"/>
          <w:i w:val="0"/>
          <w:sz w:val="24"/>
        </w:rPr>
        <w:t>, and comparatively low fabrication cost [26,27,34]. The HTL facilitates efficient extraction of photogenerated holes from the absorber layer while preventing electron back-transfer toward the rear electrode. CuI is a wide-gap (E</w:t>
      </w:r>
      <w:r>
        <w:rPr>
          <w:rFonts w:ascii="Times New Roman" w:hAnsi="Times New Roman"/>
          <w:b w:val="0"/>
          <w:i w:val="0"/>
          <w:sz w:val="24"/>
          <w:vertAlign w:val="subscript"/>
        </w:rPr>
        <w:t>g</w:t>
      </w:r>
      <w:r>
        <w:rPr>
          <w:rFonts w:ascii="Times New Roman" w:hAnsi="Times New Roman"/>
          <w:b w:val="0"/>
          <w:i w:val="0"/>
          <w:sz w:val="24"/>
        </w:rPr>
        <w:t xml:space="preserve"> ≈ 3.1 eV) p-type transparent conductor whose valence-band maximum aligns closely with that of RbGeI</w:t>
      </w:r>
      <w:r>
        <w:rPr>
          <w:rFonts w:ascii="Times New Roman" w:hAnsi="Times New Roman"/>
          <w:b w:val="0"/>
          <w:i w:val="0"/>
          <w:sz w:val="24"/>
          <w:vertAlign w:val="subscript"/>
        </w:rPr>
        <w:t>3</w:t>
      </w:r>
      <w:r>
        <w:rPr>
          <w:rFonts w:ascii="Times New Roman" w:hAnsi="Times New Roman"/>
          <w:b w:val="0"/>
          <w:i w:val="0"/>
          <w:sz w:val="24"/>
        </w:rPr>
        <w:t xml:space="preserve"> (giving a small valence-band offset of approximately 0.10 eV as quantified in Section V.N), supporting efficient hole extraction. Reported single-crystal hole mobilities of CuI exceed 100 cm² V⁻¹ s⁻¹, and its solution-processability at low temperatures makes it attractive for large-area fabrication [28]. The initial CuI thickness was set to 100 nm.</w:t>
      </w:r>
    </w:p>
    <w:p>
      <w:pPr>
        <w:spacing w:line="360" w:lineRule="auto" w:before="120" w:after="120"/>
        <w:ind w:firstLine="283"/>
        <w:jc w:val="both"/>
      </w:pPr>
      <w:r>
        <w:rPr>
          <w:rFonts w:ascii="Times New Roman" w:hAnsi="Times New Roman" w:cs="Times New Roman"/>
          <w:b w:val="0"/>
          <w:i w:val="0"/>
          <w:sz w:val="24"/>
        </w:rPr>
        <w:t>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[35].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200" w:after="8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b w:val="0"/>
          <w:i w:val="0"/>
          <w:sz w:val="24"/>
        </w:rPr>
        <w:t>The initial electrical and optical parameters used in the SCAPS-1D simulation of the proposed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solar cell are summarized in Table II. These values were collected from previously published experimental and numerical studies on lead-free perovskite solar cells [14,15,16,19,31]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V.P).</w:t>
      </w:r>
    </w:p>
    <w:p>
      <w:pPr>
        <w:keepNext/>
        <w:spacing w:before="200" w:after="80"/>
        <w:jc w:val="center"/>
      </w:pPr>
      <w:r>
        <w:rPr>
          <w:rFonts w:ascii="Times New Roman" w:hAnsi="Times New Roman"/>
          <w:b/>
          <w:i w:val="0"/>
          <w:sz w:val="20"/>
        </w:rPr>
        <w:t>Table II. Initial electrical and optical parameters used in the SCAPS-1D simulation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tcPr>
          <w:p>
            <w:pPr>
              <w:jc w:val="center"/>
            </w:pPr>
            <w:r/>
            <w:r>
              <w:rPr>
                <w:rFonts w:ascii="Times New Roman" w:hAnsi="Times New Roman" w:cs="Times New Roman"/>
                <w:b/>
                <w:i w:val="0"/>
                <w:sz w:val="18"/>
              </w:rPr>
              <w:t>Parameter</w:t>
            </w:r>
          </w:p>
        </w:tc>
        <w:tc>
          <w:tcPr>
            <w:tcW w:type="dxa" w:w="1361"/>
          </w:tcPr>
          <w:p>
            <w:pPr>
              <w:jc w:val="center"/>
            </w:pPr>
            <w:r>
              <w:rPr/>
              <w:t>TiO</w:t>
            </w:r>
            <w:r>
              <w:rPr>
                <w:vertAlign w:val="subscript"/>
              </w:rPr>
              <w:t>2</w:t>
            </w:r>
          </w:p>
        </w:tc>
        <w:tc>
          <w:tcPr>
            <w:tcW w:type="dxa" w:w="1361"/>
          </w:tcPr>
          <w:p>
            <w:pPr>
              <w:jc w:val="center"/>
            </w:pPr>
            <w:r/>
            <w:r>
              <w:rPr>
                <w:rFonts w:ascii="Times New Roman" w:hAnsi="Times New Roman" w:cs="Times New Roman"/>
                <w:b/>
                <w:i w:val="0"/>
                <w:sz w:val="18"/>
              </w:rPr>
              <w:t>FTO</w:t>
            </w:r>
          </w:p>
        </w:tc>
        <w:tc>
          <w:tcPr>
            <w:tcW w:type="dxa" w:w="1361"/>
          </w:tcPr>
          <w:p>
            <w:pPr>
              <w:jc w:val="center"/>
            </w:pPr>
            <w:r>
              <w:rPr/>
              <w:t>RbGeI</w:t>
            </w:r>
            <w:r>
              <w:rPr>
                <w:vertAlign w:val="subscript"/>
              </w:rPr>
              <w:t>3</w:t>
            </w:r>
          </w:p>
        </w:tc>
        <w:tc>
          <w:tcPr>
            <w:tcW w:type="dxa" w:w="1361"/>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30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400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Pr/>
              <w:t>Bandgap E</w:t>
            </w:r>
            <w:r>
              <w:rPr>
                <w:vertAlign w:val="subscript"/>
              </w:rPr>
              <w:t>g</w:t>
            </w:r>
            <w:r>
              <w:rPr/>
              <w:t xml:space="preserve">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Pr/>
              <w:t>Dielectric permittivity ε</w:t>
            </w:r>
            <w:r>
              <w:rPr>
                <w:vertAlign w:val="subscript"/>
              </w:rPr>
              <w:t>r</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23.01</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Pr/>
              <w:t>CB effective DOS N</w:t>
            </w:r>
            <w:r>
              <w:rPr>
                <w:vertAlign w:val="subscript"/>
              </w:rPr>
              <w:t>C</w:t>
            </w:r>
            <w:r>
              <w:rPr/>
              <w:t xml:space="preserve">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1.4×10¹⁹</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Pr/>
              <w:t>VB effective DOS N</w:t>
            </w:r>
            <w:r>
              <w:rPr>
                <w:vertAlign w:val="subscript"/>
              </w:rPr>
              <w:t>V</w:t>
            </w:r>
            <w:r>
              <w:rPr/>
              <w:t xml:space="preserve">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2.8×10¹⁹</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Pr/>
              <w:t>Electron mobility μ</w:t>
            </w:r>
            <w:r>
              <w:rPr>
                <w:vertAlign w:val="subscript"/>
              </w:rPr>
              <w:t>e</w:t>
            </w:r>
            <w:r>
              <w:rPr/>
              <w:t xml:space="preserve">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Pr/>
              <w:t>Hole mobility μ</w:t>
            </w:r>
            <w:r>
              <w:rPr>
                <w:vertAlign w:val="subscript"/>
              </w:rPr>
              <w:t>p</w:t>
            </w:r>
            <w:r>
              <w:rPr/>
              <w:t xml:space="preserve">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Pr/>
              <w:t>Donor density N</w:t>
            </w:r>
            <w:r>
              <w:rPr>
                <w:vertAlign w:val="subscript"/>
              </w:rPr>
              <w:t>D</w:t>
            </w:r>
            <w:r>
              <w:rPr/>
              <w:t xml:space="preserve">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Pr/>
              <w:t>Acceptor density N</w:t>
            </w:r>
            <w:r>
              <w:rPr>
                <w:vertAlign w:val="subscript"/>
              </w:rPr>
              <w:t>a</w:t>
            </w:r>
            <w:r>
              <w:rPr/>
              <w:t xml:space="preserve">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Pr/>
              <w:t>Bulk defect density N</w:t>
            </w:r>
            <w:r>
              <w:rPr>
                <w:vertAlign w:val="subscript"/>
              </w:rPr>
              <w:t>t</w:t>
            </w:r>
            <w:r>
              <w:rPr/>
              <w:t xml:space="preserve">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1×10¹⁵</w:t>
            </w:r>
          </w:p>
        </w:tc>
      </w:tr>
    </w:tbl>
    <w:p>
      <w:pPr>
        <w:keepNext/>
        <w:spacing w:before="200" w:after="80"/>
        <w:jc w:val="center"/>
      </w:pPr>
      <w:r>
        <w:rPr>
          <w:rFonts w:ascii="Times New Roman" w:hAnsi="Times New Roman" w:cs="Times New Roman"/>
          <w:b/>
          <w:i w:val="0"/>
          <w:sz w:val="20"/>
        </w:rPr>
        <w:t>Table III. Initial interface defect density applied at each heterojunction.</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402"/>
          </w:tcPr>
          <w:p>
            <w:pPr>
              <w:jc w:val="center"/>
            </w:pPr>
            <w:r/>
            <w:r>
              <w:rPr>
                <w:rFonts w:ascii="Times New Roman" w:hAnsi="Times New Roman" w:cs="Times New Roman"/>
                <w:b/>
                <w:i w:val="0"/>
                <w:sz w:val="20"/>
              </w:rPr>
              <w:t>Interface</w:t>
            </w:r>
          </w:p>
        </w:tc>
        <w:tc>
          <w:tcPr>
            <w:tcW w:type="dxa" w:w="3969"/>
          </w:tcPr>
          <w:p>
            <w:pPr>
              <w:jc w:val="center"/>
            </w:pPr>
            <w:r>
              <w:rPr/>
              <w:t>Interface defect density N</w:t>
            </w:r>
            <w:r>
              <w:rPr>
                <w:vertAlign w:val="subscript"/>
              </w:rPr>
              <w:t>t</w:t>
            </w:r>
            <w:r>
              <w:rPr/>
              <w:t xml:space="preserve"> (cm⁻²)</w:t>
            </w:r>
          </w:p>
        </w:tc>
      </w:tr>
      <w:tr>
        <w:trPr>
          <w:cantSplit w:val="true"/>
        </w:trPr>
        <w:tc>
          <w:tcPr>
            <w:tcW w:type="dxa" w:w="3402"/>
          </w:tcPr>
          <w:p>
            <w:pPr>
              <w:jc w:val="left"/>
            </w:pPr>
            <w:r>
              <w:rPr/>
              <w:t>TiO</w:t>
            </w:r>
            <w:r>
              <w:rPr>
                <w:vertAlign w:val="subscript"/>
              </w:rPr>
              <w:t>2</w:t>
            </w:r>
            <w:r>
              <w:rPr/>
              <w:t xml:space="preserve"> / RbGeI</w:t>
            </w:r>
            <w:r>
              <w:rPr>
                <w:vertAlign w:val="subscript"/>
              </w:rPr>
              <w:t>3</w:t>
            </w:r>
          </w:p>
        </w:tc>
        <w:tc>
          <w:tcPr>
            <w:tcW w:type="dxa" w:w="3969"/>
          </w:tcPr>
          <w:p>
            <w:pPr>
              <w:jc w:val="center"/>
            </w:pPr>
            <w:r/>
            <w:r>
              <w:rPr>
                <w:rFonts w:ascii="Times New Roman" w:hAnsi="Times New Roman" w:cs="Times New Roman"/>
                <w:b w:val="0"/>
                <w:i w:val="0"/>
                <w:sz w:val="20"/>
              </w:rPr>
              <w:t>1 × 10¹⁴</w:t>
            </w:r>
          </w:p>
        </w:tc>
      </w:tr>
      <w:tr>
        <w:trPr>
          <w:cantSplit w:val="true"/>
        </w:trPr>
        <w:tc>
          <w:tcPr>
            <w:tcW w:type="dxa" w:w="3402"/>
          </w:tcPr>
          <w:p>
            <w:pPr>
              <w:jc w:val="left"/>
            </w:pPr>
            <w:r>
              <w:rPr/>
              <w:t>RbGeI</w:t>
            </w:r>
            <w:r>
              <w:rPr>
                <w:vertAlign w:val="subscript"/>
              </w:rPr>
              <w:t>3</w:t>
            </w:r>
            <w:r>
              <w:rPr/>
              <w:t xml:space="preserve"> / CuI</w:t>
            </w:r>
          </w:p>
        </w:tc>
        <w:tc>
          <w:tcPr>
            <w:tcW w:type="dxa" w:w="3969"/>
          </w:tcPr>
          <w:p>
            <w:pPr>
              <w:jc w:val="center"/>
            </w:pPr>
            <w:r/>
            <w:r>
              <w:rPr>
                <w:rFonts w:ascii="Times New Roman" w:hAnsi="Times New Roman" w:cs="Times New Roman"/>
                <w:b w:val="0"/>
                <w:i w:val="0"/>
                <w:sz w:val="20"/>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200" w:after="8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The photovoltaic performance of the proposed lead-free perovskite solar cell was investigated using the Solar Cell Capacitance Simulator in One Dimension (SCAPS-1D), version 3.3.10 [19,20,21]. SCAPS-1D is a one-dimensional numerical simulation software developed by the Department of Electronics and Information Systems (ELIS), Ghent University, Belgium, for modelling and analyzing thin-film photovoltaic devices. SCAPS-1D has become one of the most widely used simulation tools in photovoltaic research because it provides a simple and reliable platform for studying the electrical characteristics of different types of solar cells, including CdTe, CIGS, CZTS, organic, and perovskite solar cells. Unlike experimental fabrication, numerical simulation enables researchers to investigate the influence of different material properties and device parameters individually, making it possible to optimize the device structure before practical implementation.</w:t>
      </w:r>
    </w:p>
    <w:p>
      <w:pPr>
        <w:spacing w:line="360" w:lineRule="auto" w:before="120" w:after="120"/>
        <w:ind w:firstLine="283"/>
        <w:jc w:val="both"/>
      </w:pPr>
      <w:r>
        <w:rPr>
          <w:rFonts w:ascii="Times New Roman" w:hAnsi="Times New Roman"/>
          <w:b w:val="0"/>
          <w:i w:val="0"/>
          <w:sz w:val="24"/>
        </w:rPr>
        <w:t>where ε is the dielectric permittivity, ψ is the electrostatic potential, q is the elementary charge, n and p represent the electron and hole concentrations, N</w:t>
      </w:r>
      <w:r>
        <w:rPr>
          <w:rFonts w:ascii="Times New Roman" w:hAnsi="Times New Roman"/>
          <w:b w:val="0"/>
          <w:i w:val="0"/>
          <w:sz w:val="24"/>
          <w:vertAlign w:val="subscript"/>
        </w:rPr>
        <w:t>D</w:t>
      </w:r>
      <w:r>
        <w:rPr>
          <w:rFonts w:ascii="Times New Roman" w:hAnsi="Times New Roman"/>
          <w:b w:val="0"/>
          <w:i w:val="0"/>
          <w:sz w:val="24"/>
        </w:rPr>
        <w:t xml:space="preserve"> and N</w:t>
      </w:r>
      <w:r>
        <w:rPr>
          <w:rFonts w:ascii="Times New Roman" w:hAnsi="Times New Roman"/>
          <w:b w:val="0"/>
          <w:i w:val="0"/>
          <w:sz w:val="24"/>
          <w:vertAlign w:val="subscript"/>
        </w:rPr>
        <w:t>a</w:t>
      </w:r>
      <w:r>
        <w:rPr>
          <w:rFonts w:ascii="Times New Roman" w:hAnsi="Times New Roman"/>
          <w:b w:val="0"/>
          <w:i w:val="0"/>
          <w:sz w:val="24"/>
        </w:rPr>
        <w:t xml:space="preserve"> denote the donor and acceptor concentrations, respectively, and ρ</w:t>
      </w:r>
      <w:r>
        <w:rPr>
          <w:rFonts w:ascii="Times New Roman" w:hAnsi="Times New Roman"/>
          <w:b w:val="0"/>
          <w:i w:val="0"/>
          <w:sz w:val="24"/>
          <w:vertAlign w:val="subscript"/>
        </w:rPr>
        <w:t>t</w:t>
      </w:r>
      <w:r>
        <w:rPr>
          <w:rFonts w:ascii="Times New Roman" w:hAnsi="Times New Roman"/>
          <w:b w:val="0"/>
          <w:i w:val="0"/>
          <w:sz w:val="24"/>
        </w:rPr>
        <w:t xml:space="preserve"> represents the trapped charge density. The transport of electrons inside the device is governed by the electron continuity equation,</w:t>
      </w:r>
    </w:p>
    <w:p>
      <w:pPr>
        <w:spacing w:line="360" w:lineRule="auto" w:before="120" w:after="120"/>
        <w:ind w:firstLine="283"/>
        <w:jc w:val="both"/>
      </w:pPr>
      <w:r>
        <w:rPr>
          <w:rFonts w:ascii="Times New Roman" w:hAnsi="Times New Roman"/>
          <w:b w:val="0"/>
          <w:i w:val="0"/>
          <w:sz w:val="24"/>
        </w:rPr>
        <w:t>where J</w:t>
      </w:r>
      <w:r>
        <w:rPr>
          <w:rFonts w:ascii="Times New Roman" w:hAnsi="Times New Roman"/>
          <w:b w:val="0"/>
          <w:i w:val="0"/>
          <w:sz w:val="24"/>
          <w:vertAlign w:val="subscript"/>
        </w:rPr>
        <w:t>n</w:t>
      </w:r>
      <w:r>
        <w:rPr>
          <w:rFonts w:ascii="Times New Roman" w:hAnsi="Times New Roman"/>
          <w:b w:val="0"/>
          <w:i w:val="0"/>
          <w:sz w:val="24"/>
        </w:rPr>
        <w:t xml:space="preserve"> is the electron current density, G is the carrier generation rate, and R is the carrier recombination rate. Similarly, the hole transport is described by the hole continuity equation,</w:t>
      </w:r>
    </w:p>
    <w:p>
      <w:pPr>
        <w:spacing w:line="360" w:lineRule="auto" w:before="120" w:after="120"/>
        <w:ind w:firstLine="283"/>
        <w:jc w:val="both"/>
      </w:pPr>
      <w:r>
        <w:rPr>
          <w:rFonts w:ascii="Times New Roman" w:hAnsi="Times New Roman"/>
          <w:b w:val="0"/>
          <w:i w:val="0"/>
          <w:sz w:val="24"/>
        </w:rPr>
        <w:t>where J</w:t>
      </w:r>
      <w:r>
        <w:rPr>
          <w:rFonts w:ascii="Times New Roman" w:hAnsi="Times New Roman"/>
          <w:b w:val="0"/>
          <w:i w:val="0"/>
          <w:sz w:val="24"/>
          <w:vertAlign w:val="subscript"/>
        </w:rPr>
        <w:t>p</w:t>
      </w:r>
      <w:r>
        <w:rPr>
          <w:rFonts w:ascii="Times New Roman" w:hAnsi="Times New Roman"/>
          <w:b w:val="0"/>
          <w:i w:val="0"/>
          <w:sz w:val="24"/>
        </w:rPr>
        <w:t xml:space="preserve"> is the hole current density. Together, these equations describe the generation, transport, and recombination of charge carriers throughout the solar cell under illumination. SCAPS-1D allows users to define the physical properties of each semiconductor layer individually, including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w:t>
      </w:r>
    </w:p>
    <w:p>
      <w:pPr>
        <w:pStyle w:val="Heading2"/>
        <w:keepNext/>
        <w:spacing w:before="200" w:after="8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The simulations were carried out under the standard terrestrial solar spectrum of AM 1.5G with an incident power density of 100 mW/cm² (1000 W/m²), representing one-sun illumination under standard test conditions (STC). The operating temperature was fixed at 300 K (27 °C) throughout the simulation. Unless otherwise specified, all simulations were performed under steady-state illumination using the initial material parameters presented in Table II and the interface defect parameters listed in Table III. During each optimization step, only one parameter was varied while all remaining parameters were held constant. The general simulation conditions are summarized in Table IV.</w:t>
      </w:r>
    </w:p>
    <w:p>
      <w:pPr>
        <w:keepNext/>
        <w:spacing w:before="200" w:after="80"/>
        <w:jc w:val="center"/>
      </w:pPr>
      <w:r>
        <w:rPr>
          <w:rFonts w:ascii="Times New Roman" w:hAnsi="Times New Roman" w:cs="Times New Roman"/>
          <w:b/>
          <w:i w:val="0"/>
          <w:sz w:val="20"/>
        </w:rPr>
        <w:t>Table IV. Simulation conditions used in SCAPS-1D.</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685"/>
          </w:tcPr>
          <w:p>
            <w:pPr>
              <w:jc w:val="center"/>
            </w:pPr>
            <w:r/>
            <w:r>
              <w:rPr>
                <w:rFonts w:ascii="Times New Roman" w:hAnsi="Times New Roman" w:cs="Times New Roman"/>
                <w:b/>
                <w:i w:val="0"/>
                <w:sz w:val="20"/>
              </w:rPr>
              <w:t>Parameter</w:t>
            </w:r>
          </w:p>
        </w:tc>
        <w:tc>
          <w:tcPr>
            <w:tcW w:type="dxa" w:w="4535"/>
          </w:tcPr>
          <w:p>
            <w:pPr>
              <w:jc w:val="center"/>
            </w:pPr>
            <w:r/>
            <w:r>
              <w:rPr>
                <w:rFonts w:ascii="Times New Roman" w:hAnsi="Times New Roman" w:cs="Times New Roman"/>
                <w:b/>
                <w:i w:val="0"/>
                <w:sz w:val="20"/>
              </w:rPr>
              <w:t>Value</w:t>
            </w:r>
          </w:p>
        </w:tc>
      </w:tr>
      <w:tr>
        <w:trPr>
          <w:cantSplit w:val="true"/>
        </w:trPr>
        <w:tc>
          <w:tcPr>
            <w:tcW w:type="dxa" w:w="3685"/>
          </w:tcPr>
          <w:p>
            <w:pPr>
              <w:jc w:val="left"/>
            </w:pPr>
            <w:r/>
            <w:r>
              <w:rPr>
                <w:rFonts w:ascii="Times New Roman" w:hAnsi="Times New Roman" w:cs="Times New Roman"/>
                <w:b w:val="0"/>
                <w:i w:val="0"/>
                <w:sz w:val="20"/>
              </w:rPr>
              <w:t>Simulation software</w:t>
            </w:r>
          </w:p>
        </w:tc>
        <w:tc>
          <w:tcPr>
            <w:tcW w:type="dxa" w:w="4535"/>
          </w:tcPr>
          <w:p>
            <w:pPr>
              <w:jc w:val="center"/>
            </w:pPr>
            <w:r/>
            <w:r>
              <w:rPr>
                <w:rFonts w:ascii="Times New Roman" w:hAnsi="Times New Roman" w:cs="Times New Roman"/>
                <w:b w:val="0"/>
                <w:i w:val="0"/>
                <w:sz w:val="20"/>
              </w:rPr>
              <w:t>SCAPS-1D version 3.3.10</w:t>
            </w:r>
          </w:p>
        </w:tc>
      </w:tr>
      <w:tr>
        <w:trPr>
          <w:cantSplit w:val="true"/>
        </w:trPr>
        <w:tc>
          <w:tcPr>
            <w:tcW w:type="dxa" w:w="3685"/>
          </w:tcPr>
          <w:p>
            <w:pPr>
              <w:jc w:val="left"/>
            </w:pPr>
            <w:r/>
            <w:r>
              <w:rPr>
                <w:rFonts w:ascii="Times New Roman" w:hAnsi="Times New Roman" w:cs="Times New Roman"/>
                <w:b w:val="0"/>
                <w:i w:val="0"/>
                <w:sz w:val="20"/>
              </w:rPr>
              <w:t>Illumination spectrum</w:t>
            </w:r>
          </w:p>
        </w:tc>
        <w:tc>
          <w:tcPr>
            <w:tcW w:type="dxa" w:w="4535"/>
          </w:tcPr>
          <w:p>
            <w:pPr>
              <w:jc w:val="center"/>
            </w:pPr>
            <w:r/>
            <w:r>
              <w:rPr>
                <w:rFonts w:ascii="Times New Roman" w:hAnsi="Times New Roman" w:cs="Times New Roman"/>
                <w:b w:val="0"/>
                <w:i w:val="0"/>
                <w:sz w:val="20"/>
              </w:rPr>
              <w:t>AM 1.5G</w:t>
            </w:r>
          </w:p>
        </w:tc>
      </w:tr>
      <w:tr>
        <w:trPr>
          <w:cantSplit w:val="true"/>
        </w:trPr>
        <w:tc>
          <w:tcPr>
            <w:tcW w:type="dxa" w:w="3685"/>
          </w:tcPr>
          <w:p>
            <w:pPr>
              <w:jc w:val="left"/>
            </w:pPr>
            <w:r/>
            <w:r>
              <w:rPr>
                <w:rFonts w:ascii="Times New Roman" w:hAnsi="Times New Roman" w:cs="Times New Roman"/>
                <w:b w:val="0"/>
                <w:i w:val="0"/>
                <w:sz w:val="20"/>
              </w:rPr>
              <w:t>Incident power density</w:t>
            </w:r>
          </w:p>
        </w:tc>
        <w:tc>
          <w:tcPr>
            <w:tcW w:type="dxa" w:w="4535"/>
          </w:tcPr>
          <w:p>
            <w:pPr>
              <w:jc w:val="center"/>
            </w:pPr>
            <w:r/>
            <w:r>
              <w:rPr>
                <w:rFonts w:ascii="Times New Roman" w:hAnsi="Times New Roman" w:cs="Times New Roman"/>
                <w:b w:val="0"/>
                <w:i w:val="0"/>
                <w:sz w:val="20"/>
              </w:rPr>
              <w:t>100 mW/cm² (1000 W/m²)</w:t>
            </w:r>
          </w:p>
        </w:tc>
      </w:tr>
      <w:tr>
        <w:trPr>
          <w:cantSplit w:val="true"/>
        </w:trPr>
        <w:tc>
          <w:tcPr>
            <w:tcW w:type="dxa" w:w="3685"/>
          </w:tcPr>
          <w:p>
            <w:pPr>
              <w:jc w:val="left"/>
            </w:pPr>
            <w:r/>
            <w:r>
              <w:rPr>
                <w:rFonts w:ascii="Times New Roman" w:hAnsi="Times New Roman" w:cs="Times New Roman"/>
                <w:b w:val="0"/>
                <w:i w:val="0"/>
                <w:sz w:val="20"/>
              </w:rPr>
              <w:t>Operating temperature</w:t>
            </w:r>
          </w:p>
        </w:tc>
        <w:tc>
          <w:tcPr>
            <w:tcW w:type="dxa" w:w="4535"/>
          </w:tcPr>
          <w:p>
            <w:pPr>
              <w:jc w:val="center"/>
            </w:pPr>
            <w:r/>
            <w:r>
              <w:rPr>
                <w:rFonts w:ascii="Times New Roman" w:hAnsi="Times New Roman" w:cs="Times New Roman"/>
                <w:b w:val="0"/>
                <w:i w:val="0"/>
                <w:sz w:val="20"/>
              </w:rPr>
              <w:t>300 K (27 °C)</w:t>
            </w:r>
          </w:p>
        </w:tc>
      </w:tr>
      <w:tr>
        <w:trPr>
          <w:cantSplit w:val="true"/>
        </w:trPr>
        <w:tc>
          <w:tcPr>
            <w:tcW w:type="dxa" w:w="3685"/>
          </w:tcPr>
          <w:p>
            <w:pPr>
              <w:jc w:val="left"/>
            </w:pPr>
            <w:r/>
            <w:r>
              <w:rPr>
                <w:rFonts w:ascii="Times New Roman" w:hAnsi="Times New Roman" w:cs="Times New Roman"/>
                <w:b w:val="0"/>
                <w:i w:val="0"/>
                <w:sz w:val="20"/>
              </w:rPr>
              <w:t>Illumination intensity</w:t>
            </w:r>
          </w:p>
        </w:tc>
        <w:tc>
          <w:tcPr>
            <w:tcW w:type="dxa" w:w="4535"/>
          </w:tcPr>
          <w:p>
            <w:pPr>
              <w:jc w:val="center"/>
            </w:pPr>
            <w:r/>
            <w:r>
              <w:rPr>
                <w:rFonts w:ascii="Times New Roman" w:hAnsi="Times New Roman" w:cs="Times New Roman"/>
                <w:b w:val="0"/>
                <w:i w:val="0"/>
                <w:sz w:val="20"/>
              </w:rPr>
              <w:t>1 Sun</w:t>
            </w:r>
          </w:p>
        </w:tc>
      </w:tr>
      <w:tr>
        <w:trPr>
          <w:cantSplit w:val="true"/>
        </w:trPr>
        <w:tc>
          <w:tcPr>
            <w:tcW w:type="dxa" w:w="3685"/>
          </w:tcPr>
          <w:p>
            <w:pPr>
              <w:jc w:val="left"/>
            </w:pPr>
            <w:r/>
            <w:r>
              <w:rPr>
                <w:rFonts w:ascii="Times New Roman" w:hAnsi="Times New Roman" w:cs="Times New Roman"/>
                <w:b w:val="0"/>
                <w:i w:val="0"/>
                <w:sz w:val="20"/>
              </w:rPr>
              <w:t>Scan mode</w:t>
            </w:r>
          </w:p>
        </w:tc>
        <w:tc>
          <w:tcPr>
            <w:tcW w:type="dxa" w:w="4535"/>
          </w:tcPr>
          <w:p>
            <w:pPr>
              <w:jc w:val="center"/>
            </w:pPr>
            <w:r/>
            <w:r>
              <w:rPr>
                <w:rFonts w:ascii="Times New Roman" w:hAnsi="Times New Roman" w:cs="Times New Roman"/>
                <w:b w:val="0"/>
                <w:i w:val="0"/>
                <w:sz w:val="20"/>
              </w:rPr>
              <w:t>Illuminated J–V</w:t>
            </w:r>
          </w:p>
        </w:tc>
      </w:tr>
      <w:tr>
        <w:trPr>
          <w:cantSplit w:val="true"/>
        </w:trPr>
        <w:tc>
          <w:tcPr>
            <w:tcW w:type="dxa" w:w="3685"/>
          </w:tcPr>
          <w:p>
            <w:pPr>
              <w:jc w:val="left"/>
            </w:pPr>
            <w:r/>
            <w:r>
              <w:rPr>
                <w:rFonts w:ascii="Times New Roman" w:hAnsi="Times New Roman" w:cs="Times New Roman"/>
                <w:b w:val="0"/>
                <w:i w:val="0"/>
                <w:sz w:val="20"/>
              </w:rPr>
              <w:t>Device type</w:t>
            </w:r>
          </w:p>
        </w:tc>
        <w:tc>
          <w:tcPr>
            <w:tcW w:type="dxa" w:w="4535"/>
          </w:tcPr>
          <w:p>
            <w:pPr>
              <w:jc w:val="center"/>
            </w:pPr>
            <w:r/>
            <w:r>
              <w:rPr>
                <w:rFonts w:ascii="Times New Roman" w:hAnsi="Times New Roman" w:cs="Times New Roman"/>
                <w:b w:val="0"/>
                <w:i w:val="0"/>
                <w:sz w:val="20"/>
              </w:rPr>
              <w:t>Planar heterojunction</w:t>
            </w:r>
          </w:p>
        </w:tc>
      </w:tr>
      <w:tr>
        <w:trPr>
          <w:cantSplit w:val="true"/>
        </w:trPr>
        <w:tc>
          <w:tcPr>
            <w:tcW w:type="dxa" w:w="3685"/>
          </w:tcPr>
          <w:p>
            <w:pPr>
              <w:jc w:val="left"/>
            </w:pPr>
            <w:r/>
            <w:r>
              <w:rPr>
                <w:rFonts w:ascii="Times New Roman" w:hAnsi="Times New Roman" w:cs="Times New Roman"/>
                <w:b w:val="0"/>
                <w:i w:val="0"/>
                <w:sz w:val="20"/>
              </w:rPr>
              <w:t>Front contact</w:t>
            </w:r>
          </w:p>
        </w:tc>
        <w:tc>
          <w:tcPr>
            <w:tcW w:type="dxa" w:w="4535"/>
          </w:tcPr>
          <w:p>
            <w:pPr>
              <w:jc w:val="center"/>
            </w:pPr>
            <w:r/>
            <w:r>
              <w:rPr>
                <w:rFonts w:ascii="Times New Roman" w:hAnsi="Times New Roman" w:cs="Times New Roman"/>
                <w:b w:val="0"/>
                <w:i w:val="0"/>
                <w:sz w:val="20"/>
              </w:rPr>
              <w:t>FTO</w:t>
            </w:r>
          </w:p>
        </w:tc>
      </w:tr>
      <w:tr>
        <w:trPr>
          <w:cantSplit w:val="true"/>
        </w:trPr>
        <w:tc>
          <w:tcPr>
            <w:tcW w:type="dxa" w:w="3685"/>
          </w:tcPr>
          <w:p>
            <w:pPr>
              <w:jc w:val="left"/>
            </w:pPr>
            <w:r/>
            <w:r>
              <w:rPr>
                <w:rFonts w:ascii="Times New Roman" w:hAnsi="Times New Roman" w:cs="Times New Roman"/>
                <w:b w:val="0"/>
                <w:i w:val="0"/>
                <w:sz w:val="20"/>
              </w:rPr>
              <w:t>Back contact</w:t>
            </w:r>
          </w:p>
        </w:tc>
        <w:tc>
          <w:tcPr>
            <w:tcW w:type="dxa" w:w="4535"/>
          </w:tcPr>
          <w:p>
            <w:pPr>
              <w:jc w:val="center"/>
            </w:pPr>
            <w:r/>
            <w:r>
              <w:rPr>
                <w:rFonts w:ascii="Times New Roman" w:hAnsi="Times New Roman" w:cs="Times New Roman"/>
                <w:b w:val="0"/>
                <w:i w:val="0"/>
                <w:sz w:val="20"/>
              </w:rPr>
              <w:t>Au</w:t>
            </w:r>
          </w:p>
        </w:tc>
      </w:tr>
      <w:tr>
        <w:trPr>
          <w:cantSplit w:val="true"/>
        </w:trPr>
        <w:tc>
          <w:tcPr>
            <w:tcW w:type="dxa" w:w="3685"/>
          </w:tcPr>
          <w:p>
            <w:pPr>
              <w:jc w:val="left"/>
            </w:pPr>
            <w:r/>
            <w:r>
              <w:rPr>
                <w:rFonts w:ascii="Times New Roman" w:hAnsi="Times New Roman" w:cs="Times New Roman"/>
                <w:b w:val="0"/>
                <w:i w:val="0"/>
                <w:sz w:val="20"/>
              </w:rPr>
              <w:t>Initial material parameters</w:t>
            </w:r>
          </w:p>
        </w:tc>
        <w:tc>
          <w:tcPr>
            <w:tcW w:type="dxa" w:w="4535"/>
          </w:tcPr>
          <w:p>
            <w:pPr>
              <w:jc w:val="center"/>
            </w:pPr>
            <w:r/>
            <w:r>
              <w:rPr>
                <w:rFonts w:ascii="Times New Roman" w:hAnsi="Times New Roman" w:cs="Times New Roman"/>
                <w:b w:val="0"/>
                <w:i w:val="0"/>
                <w:sz w:val="20"/>
              </w:rPr>
              <w:t>Table II</w:t>
            </w:r>
          </w:p>
        </w:tc>
      </w:tr>
      <w:tr>
        <w:trPr>
          <w:cantSplit w:val="true"/>
        </w:trPr>
        <w:tc>
          <w:tcPr>
            <w:tcW w:type="dxa" w:w="3685"/>
          </w:tcPr>
          <w:p>
            <w:pPr>
              <w:jc w:val="left"/>
            </w:pPr>
            <w:r/>
            <w:r>
              <w:rPr>
                <w:rFonts w:ascii="Times New Roman" w:hAnsi="Times New Roman" w:cs="Times New Roman"/>
                <w:b w:val="0"/>
                <w:i w:val="0"/>
                <w:sz w:val="20"/>
              </w:rPr>
              <w:t>Initial interface defect density</w:t>
            </w:r>
          </w:p>
        </w:tc>
        <w:tc>
          <w:tcPr>
            <w:tcW w:type="dxa" w:w="4535"/>
          </w:tcPr>
          <w:p>
            <w:pPr>
              <w:jc w:val="center"/>
            </w:pPr>
            <w:r/>
            <w:r>
              <w:rPr>
                <w:rFonts w:ascii="Times New Roman" w:hAnsi="Times New Roman" w:cs="Times New Roman"/>
                <w:b w:val="0"/>
                <w:i w:val="0"/>
                <w:sz w:val="20"/>
              </w:rPr>
              <w:t>Table III</w:t>
            </w:r>
          </w:p>
        </w:tc>
      </w:tr>
    </w:tbl>
    <w:p>
      <w:pPr>
        <w:pStyle w:val="Heading2"/>
        <w:keepNext/>
        <w:spacing w:before="200" w:after="8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b w:val="0"/>
          <w:i w:val="0"/>
          <w:sz w:val="24"/>
        </w:rPr>
        <w:t>The photovoltaic performance was evaluated using the four key parameters extracted from the simulated J–V curve: open-circuit voltage (V</w:t>
      </w:r>
      <w:r>
        <w:rPr>
          <w:rFonts w:ascii="Times New Roman" w:hAnsi="Times New Roman"/>
          <w:b w:val="0"/>
          <w:i w:val="0"/>
          <w:sz w:val="24"/>
          <w:vertAlign w:val="subscript"/>
        </w:rPr>
        <w:t>oc</w:t>
      </w:r>
      <w:r>
        <w:rPr>
          <w:rFonts w:ascii="Times New Roman" w:hAnsi="Times New Roman"/>
          <w:b w:val="0"/>
          <w:i w:val="0"/>
          <w:sz w:val="24"/>
        </w:rPr>
        <w:t>), short-circuit current density (J</w:t>
      </w:r>
      <w:r>
        <w:rPr>
          <w:rFonts w:ascii="Times New Roman" w:hAnsi="Times New Roman"/>
          <w:b w:val="0"/>
          <w:i w:val="0"/>
          <w:sz w:val="24"/>
          <w:vertAlign w:val="subscript"/>
        </w:rPr>
        <w:t>sc</w:t>
      </w:r>
      <w:r>
        <w:rPr>
          <w:rFonts w:ascii="Times New Roman" w:hAnsi="Times New Roman"/>
          <w:b w:val="0"/>
          <w:i w:val="0"/>
          <w:sz w:val="24"/>
        </w:rPr>
        <w:t>), fill factor (FF), and power conversion efficiency (PCE). PCE is computed as PCE = (V</w:t>
      </w:r>
      <w:r>
        <w:rPr>
          <w:rFonts w:ascii="Times New Roman" w:hAnsi="Times New Roman"/>
          <w:b w:val="0"/>
          <w:i w:val="0"/>
          <w:sz w:val="24"/>
          <w:vertAlign w:val="subscript"/>
        </w:rPr>
        <w:t>oc</w:t>
      </w:r>
      <w:r>
        <w:rPr>
          <w:rFonts w:ascii="Times New Roman" w:hAnsi="Times New Roman"/>
          <w:b w:val="0"/>
          <w:i w:val="0"/>
          <w:sz w:val="24"/>
        </w:rPr>
        <w:t xml:space="preserve"> × J</w:t>
      </w:r>
      <w:r>
        <w:rPr>
          <w:rFonts w:ascii="Times New Roman" w:hAnsi="Times New Roman"/>
          <w:b w:val="0"/>
          <w:i w:val="0"/>
          <w:sz w:val="24"/>
          <w:vertAlign w:val="subscript"/>
        </w:rPr>
        <w:t>sc</w:t>
      </w:r>
      <w:r>
        <w:rPr>
          <w:rFonts w:ascii="Times New Roman" w:hAnsi="Times New Roman"/>
          <w:b w:val="0"/>
          <w:i w:val="0"/>
          <w:sz w:val="24"/>
        </w:rPr>
        <w:t xml:space="preserve"> × FF) / P</w:t>
      </w:r>
      <w:r>
        <w:rPr>
          <w:rFonts w:ascii="Times New Roman" w:hAnsi="Times New Roman"/>
          <w:b w:val="0"/>
          <w:i w:val="0"/>
          <w:sz w:val="24"/>
          <w:vertAlign w:val="subscript"/>
        </w:rPr>
        <w:t>in</w:t>
      </w:r>
      <w:r>
        <w:rPr>
          <w:rFonts w:ascii="Times New Roman" w:hAnsi="Times New Roman"/>
          <w:b w:val="0"/>
          <w:i w:val="0"/>
          <w:sz w:val="24"/>
        </w:rPr>
        <w:t>, where P</w:t>
      </w:r>
      <w:r>
        <w:rPr>
          <w:rFonts w:ascii="Times New Roman" w:hAnsi="Times New Roman"/>
          <w:b w:val="0"/>
          <w:i w:val="0"/>
          <w:sz w:val="24"/>
          <w:vertAlign w:val="subscript"/>
        </w:rPr>
        <w:t>in</w:t>
      </w:r>
      <w:r>
        <w:rPr>
          <w:rFonts w:ascii="Times New Roman" w:hAnsi="Times New Roman"/>
          <w:b w:val="0"/>
          <w:i w:val="0"/>
          <w:sz w:val="24"/>
        </w:rPr>
        <w:t xml:space="preserve"> = 100 mW/cm² under AM 1.5G.</w:t>
      </w:r>
    </w:p>
    <w:p>
      <w:pPr>
        <w:pStyle w:val="Heading2"/>
        <w:keepNext/>
        <w:spacing w:before="200" w:after="8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After constructing the initial device, a systematic optimization procedure was carried out by varying one parameter at a time while keeping all remaining parameters constant. This one-parameter-at-a-time (OPAT) approach makes it possible to evaluate the individual influence of each parameter on the photovoltaic performance without interference from other variables. The optimized value obtained from each simulation step was then used as the input for the subsequent optimization process. The sequential optimization procedure is summarized in Section V.</w:t>
      </w:r>
    </w:p>
    <w:p>
      <w:pPr>
        <w:spacing w:line="360" w:lineRule="auto" w:before="120" w:after="120"/>
        <w:ind w:firstLine="283"/>
        <w:jc w:val="both"/>
      </w:pPr>
      <w:r>
        <w:rPr>
          <w:rFonts w:ascii="Times New Roman" w:hAnsi="Times New Roman"/>
          <w:b w:val="0"/>
          <w:i w:val="0"/>
          <w:sz w:val="24"/>
        </w:rPr>
        <w:t>The procedure comprises eleven optimization steps: (1) absorber thickness (0.3–1.0 µm); (2) absorber bulk defect density (10¹²–10¹⁸ cm⁻³); (3) absorber dielectric constant (15–23.1); (4) absorber electron affinity (3.9–4.2 eV); (5)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interfacial defect density (10¹²–10¹⁸ cm⁻²); (6) RbGeI</w:t>
      </w:r>
      <w:r>
        <w:rPr>
          <w:rFonts w:ascii="Times New Roman" w:hAnsi="Times New Roman"/>
          <w:b w:val="0"/>
          <w:i w:val="0"/>
          <w:sz w:val="24"/>
          <w:vertAlign w:val="subscript"/>
        </w:rPr>
        <w:t>3</w:t>
      </w:r>
      <w:r>
        <w:rPr>
          <w:rFonts w:ascii="Times New Roman" w:hAnsi="Times New Roman"/>
          <w:b w:val="0"/>
          <w:i w:val="0"/>
          <w:sz w:val="24"/>
        </w:rPr>
        <w:t>/CuI interfacial defect density (10¹²–10¹⁸ cm⁻²); (7) absorber bandgap (1.3–1.7 eV); (8) TiO</w:t>
      </w:r>
      <w:r>
        <w:rPr>
          <w:rFonts w:ascii="Times New Roman" w:hAnsi="Times New Roman"/>
          <w:b w:val="0"/>
          <w:i w:val="0"/>
          <w:sz w:val="24"/>
          <w:vertAlign w:val="subscript"/>
        </w:rPr>
        <w:t>2</w:t>
      </w:r>
      <w:r>
        <w:rPr>
          <w:rFonts w:ascii="Times New Roman" w:hAnsi="Times New Roman"/>
          <w:b w:val="0"/>
          <w:i w:val="0"/>
          <w:sz w:val="24"/>
        </w:rPr>
        <w:t xml:space="preserve"> ETL thickness (0.01–0.09 µm); (9) CuI HTL thickness (0.1–1.9 µm); (10) conduction-band effective density of states N</w:t>
      </w:r>
      <w:r>
        <w:rPr>
          <w:rFonts w:ascii="Times New Roman" w:hAnsi="Times New Roman"/>
          <w:b w:val="0"/>
          <w:i w:val="0"/>
          <w:sz w:val="24"/>
          <w:vertAlign w:val="subscript"/>
        </w:rPr>
        <w:t>C</w:t>
      </w:r>
      <w:r>
        <w:rPr>
          <w:rFonts w:ascii="Times New Roman" w:hAnsi="Times New Roman"/>
          <w:b w:val="0"/>
          <w:i w:val="0"/>
          <w:sz w:val="24"/>
        </w:rPr>
        <w:t xml:space="preserve"> (1×10¹⁷–1×10²⁰ cm⁻³); (11) valence-band effective density of states N</w:t>
      </w:r>
      <w:r>
        <w:rPr>
          <w:rFonts w:ascii="Times New Roman" w:hAnsi="Times New Roman"/>
          <w:b w:val="0"/>
          <w:i w:val="0"/>
          <w:sz w:val="24"/>
          <w:vertAlign w:val="subscript"/>
        </w:rPr>
        <w:t>V</w:t>
      </w:r>
      <w:r>
        <w:rPr>
          <w:rFonts w:ascii="Times New Roman" w:hAnsi="Times New Roman"/>
          <w:b w:val="0"/>
          <w:i w:val="0"/>
          <w:sz w:val="24"/>
        </w:rPr>
        <w:t xml:space="preserve"> (1×10¹⁷–1×10²⁰ cm⁻³). Each step's locally optimal parameter value was carried forward into all subsequent steps, with the consolidated final parameter set summarized in Table XIII.</w:t>
      </w:r>
    </w:p>
    <w:p>
      <w:pPr>
        <w:spacing w:line="360" w:lineRule="auto" w:before="120" w:after="120"/>
        <w:ind w:firstLine="283"/>
        <w:jc w:val="both"/>
      </w:pPr>
      <w:r>
        <w:rPr>
          <w:rFonts w:ascii="Times New Roman" w:hAnsi="Times New Roman" w:cs="Times New Roman"/>
          <w:b w:val="0"/>
          <w:i w:val="0"/>
          <w:sz w:val="24"/>
        </w:rPr>
        <w:t>Because each per-step optimum is identified while holding all other parameters at their prior-step values, the final consolidated parameter set reflects the sequence order and may not represent a global optimum. Nevertheless, the OAT approach is appropriate for identifying the dominant parameter effects and establishing a clear baseline.</w:t>
      </w:r>
    </w:p>
    <w:p>
      <w:pPr>
        <w:pStyle w:val="Heading2"/>
        <w:keepNext/>
        <w:spacing w:before="200" w:after="8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b w:val="0"/>
          <w:i w:val="0"/>
          <w:sz w:val="24"/>
        </w:rPr>
        <w:t>To determine the most suitable device architecture, eight different planar heterojunction configurations were designed and simulated using SCAPS-1D. In all configurations, RbGeI</w:t>
      </w:r>
      <w:r>
        <w:rPr>
          <w:rFonts w:ascii="Times New Roman" w:hAnsi="Times New Roman"/>
          <w:b w:val="0"/>
          <w:i w:val="0"/>
          <w:sz w:val="24"/>
          <w:vertAlign w:val="subscript"/>
        </w:rPr>
        <w:t>3</w:t>
      </w:r>
      <w:r>
        <w:rPr>
          <w:rFonts w:ascii="Times New Roman" w:hAnsi="Times New Roman"/>
          <w:b w:val="0"/>
          <w:i w:val="0"/>
          <w:sz w:val="24"/>
        </w:rPr>
        <w:t xml:space="preserve"> was employed as the absorber layer, and the device architecture was varied by changing the ETL and HTL while keeping the absorber material and simulation conditions unchanged. For the ETL, TiO</w:t>
      </w:r>
      <w:r>
        <w:rPr>
          <w:rFonts w:ascii="Times New Roman" w:hAnsi="Times New Roman"/>
          <w:b w:val="0"/>
          <w:i w:val="0"/>
          <w:sz w:val="24"/>
          <w:vertAlign w:val="subscript"/>
        </w:rPr>
        <w:t>2</w:t>
      </w:r>
      <w:r>
        <w:rPr>
          <w:rFonts w:ascii="Times New Roman" w:hAnsi="Times New Roman"/>
          <w:b w:val="0"/>
          <w:i w:val="0"/>
          <w:sz w:val="24"/>
        </w:rPr>
        <w:t xml:space="preserve"> and PCBM were selected for their energy-band alignment and widespread use in perovskite solar cells. Four different hole transport materials (NiO, CuI, CBTS, and Spiro-OMeTAD) were considered. By combining these ETLs and HTLs with the RbGeI</w:t>
      </w:r>
      <w:r>
        <w:rPr>
          <w:rFonts w:ascii="Times New Roman" w:hAnsi="Times New Roman"/>
          <w:b w:val="0"/>
          <w:i w:val="0"/>
          <w:sz w:val="24"/>
          <w:vertAlign w:val="subscript"/>
        </w:rPr>
        <w:t>3</w:t>
      </w:r>
      <w:r>
        <w:rPr>
          <w:rFonts w:ascii="Times New Roman" w:hAnsi="Times New Roman"/>
          <w:b w:val="0"/>
          <w:i w:val="0"/>
          <w:sz w:val="24"/>
        </w:rPr>
        <w:t xml:space="preserve"> absorber layer, a total of eight device configurations (D1–D8) were constructed, as listed in Table V. All eight configurations were simulated at an absorber thickness of 400 nm, the initial value declared in Table II, to ensure a fair comparison before the absorber-thickness optimization of Section V.B.</w:t>
      </w:r>
    </w:p>
    <w:p>
      <w:pPr>
        <w:keepNext/>
        <w:spacing w:before="200" w:after="8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1417"/>
          </w:tcPr>
          <w:p>
            <w:pPr>
              <w:jc w:val="center"/>
            </w:pPr>
            <w:r/>
            <w:r>
              <w:rPr>
                <w:rFonts w:ascii="Times New Roman" w:hAnsi="Times New Roman" w:cs="Times New Roman"/>
                <w:b/>
                <w:i w:val="0"/>
                <w:sz w:val="20"/>
              </w:rPr>
              <w:t>Device</w:t>
            </w:r>
          </w:p>
        </w:tc>
        <w:tc>
          <w:tcPr>
            <w:tcW w:type="dxa" w:w="6803"/>
          </w:tcPr>
          <w:p>
            <w:pPr>
              <w:jc w:val="center"/>
            </w:pPr>
            <w:r/>
            <w:r>
              <w:rPr>
                <w:rFonts w:ascii="Times New Roman" w:hAnsi="Times New Roman" w:cs="Times New Roman"/>
                <w:b/>
                <w:i w:val="0"/>
                <w:sz w:val="20"/>
              </w:rPr>
              <w:t>Architecture</w:t>
            </w:r>
          </w:p>
        </w:tc>
      </w:tr>
      <w:tr>
        <w:trPr>
          <w:cantSplit w:val="true"/>
        </w:trPr>
        <w:tc>
          <w:tcPr>
            <w:tcW w:type="dxa" w:w="1417"/>
          </w:tcPr>
          <w:p>
            <w:pPr>
              <w:jc w:val="left"/>
            </w:pPr>
            <w:r/>
            <w:r>
              <w:rPr>
                <w:rFonts w:ascii="Times New Roman" w:hAnsi="Times New Roman" w:cs="Times New Roman"/>
                <w:b w:val="0"/>
                <w:i w:val="0"/>
                <w:sz w:val="20"/>
              </w:rPr>
              <w:t>D1</w:t>
            </w:r>
          </w:p>
        </w:tc>
        <w:tc>
          <w:tcPr>
            <w:tcW w:type="dxa" w:w="6803"/>
          </w:tcPr>
          <w:p>
            <w:pPr>
              <w:jc w:val="center"/>
            </w:pPr>
            <w:r>
              <w:rPr/>
              <w:t>FTO / PCBM / RbGeI</w:t>
            </w:r>
            <w:r>
              <w:rPr>
                <w:vertAlign w:val="subscript"/>
              </w:rPr>
              <w:t>3</w:t>
            </w:r>
            <w:r>
              <w:rPr/>
              <w:t xml:space="preserve"> / NiO / Au</w:t>
            </w:r>
          </w:p>
        </w:tc>
      </w:tr>
      <w:tr>
        <w:trPr>
          <w:cantSplit w:val="true"/>
        </w:trPr>
        <w:tc>
          <w:tcPr>
            <w:tcW w:type="dxa" w:w="1417"/>
          </w:tcPr>
          <w:p>
            <w:pPr>
              <w:jc w:val="left"/>
            </w:pPr>
            <w:r/>
            <w:r>
              <w:rPr>
                <w:rFonts w:ascii="Times New Roman" w:hAnsi="Times New Roman" w:cs="Times New Roman"/>
                <w:b w:val="0"/>
                <w:i w:val="0"/>
                <w:sz w:val="20"/>
              </w:rPr>
              <w:t>D2</w:t>
            </w:r>
          </w:p>
        </w:tc>
        <w:tc>
          <w:tcPr>
            <w:tcW w:type="dxa" w:w="6803"/>
          </w:tcPr>
          <w:p>
            <w:pPr>
              <w:jc w:val="center"/>
            </w:pPr>
            <w:r>
              <w:rPr/>
              <w:t>FTO / TiO</w:t>
            </w:r>
            <w:r>
              <w:rPr>
                <w:vertAlign w:val="subscript"/>
              </w:rPr>
              <w:t>2</w:t>
            </w:r>
            <w:r>
              <w:rPr/>
              <w:t xml:space="preserve"> / RbGeI</w:t>
            </w:r>
            <w:r>
              <w:rPr>
                <w:vertAlign w:val="subscript"/>
              </w:rPr>
              <w:t>3</w:t>
            </w:r>
            <w:r>
              <w:rPr/>
              <w:t xml:space="preserve"> / NiO / Au</w:t>
            </w:r>
          </w:p>
        </w:tc>
      </w:tr>
      <w:tr>
        <w:trPr>
          <w:cantSplit w:val="true"/>
        </w:trPr>
        <w:tc>
          <w:tcPr>
            <w:tcW w:type="dxa" w:w="1417"/>
          </w:tcPr>
          <w:p>
            <w:pPr>
              <w:jc w:val="left"/>
            </w:pPr>
            <w:r/>
            <w:r>
              <w:rPr>
                <w:rFonts w:ascii="Times New Roman" w:hAnsi="Times New Roman" w:cs="Times New Roman"/>
                <w:b w:val="0"/>
                <w:i w:val="0"/>
                <w:sz w:val="20"/>
              </w:rPr>
              <w:t>D3</w:t>
            </w:r>
          </w:p>
        </w:tc>
        <w:tc>
          <w:tcPr>
            <w:tcW w:type="dxa" w:w="6803"/>
          </w:tcPr>
          <w:p>
            <w:pPr>
              <w:jc w:val="center"/>
            </w:pPr>
            <w:r>
              <w:rPr/>
              <w:t>FTO / PCBM / RbGeI</w:t>
            </w:r>
            <w:r>
              <w:rPr>
                <w:vertAlign w:val="subscript"/>
              </w:rPr>
              <w:t>3</w:t>
            </w:r>
            <w:r>
              <w:rPr/>
              <w:t xml:space="preserve"> / CuI / Au</w:t>
            </w:r>
          </w:p>
        </w:tc>
      </w:tr>
      <w:tr>
        <w:trPr>
          <w:cantSplit w:val="true"/>
        </w:trPr>
        <w:tc>
          <w:tcPr>
            <w:tcW w:type="dxa" w:w="1417"/>
          </w:tcPr>
          <w:p>
            <w:pPr>
              <w:jc w:val="left"/>
            </w:pPr>
            <w:r/>
            <w:r>
              <w:rPr>
                <w:rFonts w:ascii="Times New Roman" w:hAnsi="Times New Roman" w:cs="Times New Roman"/>
                <w:b w:val="0"/>
                <w:i w:val="0"/>
                <w:sz w:val="20"/>
              </w:rPr>
              <w:t>D4 ★</w:t>
            </w:r>
          </w:p>
        </w:tc>
        <w:tc>
          <w:tcPr>
            <w:tcW w:type="dxa" w:w="6803"/>
          </w:tcPr>
          <w:p>
            <w:pPr>
              <w:jc w:val="center"/>
            </w:pPr>
            <w:r>
              <w:rPr/>
              <w:t>FTO / TiO</w:t>
            </w:r>
            <w:r>
              <w:rPr>
                <w:vertAlign w:val="subscript"/>
              </w:rPr>
              <w:t>2</w:t>
            </w:r>
            <w:r>
              <w:rPr/>
              <w:t xml:space="preserve"> / RbGeI</w:t>
            </w:r>
            <w:r>
              <w:rPr>
                <w:vertAlign w:val="subscript"/>
              </w:rPr>
              <w:t>3</w:t>
            </w:r>
            <w:r>
              <w:rPr/>
              <w:t xml:space="preserve"> / CuI / Au</w:t>
            </w:r>
          </w:p>
        </w:tc>
      </w:tr>
      <w:tr>
        <w:trPr>
          <w:cantSplit w:val="true"/>
        </w:trPr>
        <w:tc>
          <w:tcPr>
            <w:tcW w:type="dxa" w:w="1417"/>
          </w:tcPr>
          <w:p>
            <w:pPr>
              <w:jc w:val="left"/>
            </w:pPr>
            <w:r/>
            <w:r>
              <w:rPr>
                <w:rFonts w:ascii="Times New Roman" w:hAnsi="Times New Roman" w:cs="Times New Roman"/>
                <w:b w:val="0"/>
                <w:i w:val="0"/>
                <w:sz w:val="20"/>
              </w:rPr>
              <w:t>D5</w:t>
            </w:r>
          </w:p>
        </w:tc>
        <w:tc>
          <w:tcPr>
            <w:tcW w:type="dxa" w:w="6803"/>
          </w:tcPr>
          <w:p>
            <w:pPr>
              <w:jc w:val="center"/>
            </w:pPr>
            <w:r>
              <w:rPr/>
              <w:t>FTO / PCBM / RbGeI</w:t>
            </w:r>
            <w:r>
              <w:rPr>
                <w:vertAlign w:val="subscript"/>
              </w:rPr>
              <w:t>3</w:t>
            </w:r>
            <w:r>
              <w:rPr/>
              <w:t xml:space="preserve"> / CBTS / Au</w:t>
            </w:r>
          </w:p>
        </w:tc>
      </w:tr>
      <w:tr>
        <w:trPr>
          <w:cantSplit w:val="true"/>
        </w:trPr>
        <w:tc>
          <w:tcPr>
            <w:tcW w:type="dxa" w:w="1417"/>
          </w:tcPr>
          <w:p>
            <w:pPr>
              <w:jc w:val="left"/>
            </w:pPr>
            <w:r/>
            <w:r>
              <w:rPr>
                <w:rFonts w:ascii="Times New Roman" w:hAnsi="Times New Roman" w:cs="Times New Roman"/>
                <w:b w:val="0"/>
                <w:i w:val="0"/>
                <w:sz w:val="20"/>
              </w:rPr>
              <w:t>D6</w:t>
            </w:r>
          </w:p>
        </w:tc>
        <w:tc>
          <w:tcPr>
            <w:tcW w:type="dxa" w:w="6803"/>
          </w:tcPr>
          <w:p>
            <w:pPr>
              <w:jc w:val="center"/>
            </w:pPr>
            <w:r>
              <w:rPr/>
              <w:t>FTO / TiO</w:t>
            </w:r>
            <w:r>
              <w:rPr>
                <w:vertAlign w:val="subscript"/>
              </w:rPr>
              <w:t>2</w:t>
            </w:r>
            <w:r>
              <w:rPr/>
              <w:t xml:space="preserve"> / RbGeI</w:t>
            </w:r>
            <w:r>
              <w:rPr>
                <w:vertAlign w:val="subscript"/>
              </w:rPr>
              <w:t>3</w:t>
            </w:r>
            <w:r>
              <w:rPr/>
              <w:t xml:space="preserve"> / CBTS / Au</w:t>
            </w:r>
          </w:p>
        </w:tc>
      </w:tr>
      <w:tr>
        <w:trPr>
          <w:cantSplit w:val="true"/>
        </w:trPr>
        <w:tc>
          <w:tcPr>
            <w:tcW w:type="dxa" w:w="1417"/>
          </w:tcPr>
          <w:p>
            <w:pPr>
              <w:jc w:val="left"/>
            </w:pPr>
            <w:r/>
            <w:r>
              <w:rPr>
                <w:rFonts w:ascii="Times New Roman" w:hAnsi="Times New Roman" w:cs="Times New Roman"/>
                <w:b w:val="0"/>
                <w:i w:val="0"/>
                <w:sz w:val="20"/>
              </w:rPr>
              <w:t>D7</w:t>
            </w:r>
          </w:p>
        </w:tc>
        <w:tc>
          <w:tcPr>
            <w:tcW w:type="dxa" w:w="6803"/>
          </w:tcPr>
          <w:p>
            <w:pPr>
              <w:jc w:val="center"/>
            </w:pPr>
            <w:r>
              <w:rPr/>
              <w:t>FTO / PCBM / RbGeI</w:t>
            </w:r>
            <w:r>
              <w:rPr>
                <w:vertAlign w:val="subscript"/>
              </w:rPr>
              <w:t>3</w:t>
            </w:r>
            <w:r>
              <w:rPr/>
              <w:t xml:space="preserve"> / Spiro-OMeTAD / Au</w:t>
            </w:r>
          </w:p>
        </w:tc>
      </w:tr>
      <w:tr>
        <w:trPr>
          <w:cantSplit w:val="true"/>
        </w:trPr>
        <w:tc>
          <w:tcPr>
            <w:tcW w:type="dxa" w:w="1417"/>
          </w:tcPr>
          <w:p>
            <w:pPr>
              <w:jc w:val="left"/>
            </w:pPr>
            <w:r/>
            <w:r>
              <w:rPr>
                <w:rFonts w:ascii="Times New Roman" w:hAnsi="Times New Roman" w:cs="Times New Roman"/>
                <w:b w:val="0"/>
                <w:i w:val="0"/>
                <w:sz w:val="20"/>
              </w:rPr>
              <w:t>D8</w:t>
            </w:r>
          </w:p>
        </w:tc>
        <w:tc>
          <w:tcPr>
            <w:tcW w:type="dxa" w:w="6803"/>
          </w:tcPr>
          <w:p>
            <w:pPr>
              <w:jc w:val="center"/>
            </w:pPr>
            <w:r>
              <w:rPr/>
              <w:t>FTO / TiO</w:t>
            </w:r>
            <w:r>
              <w:rPr>
                <w:vertAlign w:val="subscript"/>
              </w:rPr>
              <w:t>2</w:t>
            </w:r>
            <w:r>
              <w:rPr/>
              <w:t xml:space="preserve"> / RbGeI</w:t>
            </w:r>
            <w:r>
              <w:rPr>
                <w:vertAlign w:val="subscript"/>
              </w:rPr>
              <w:t>3</w:t>
            </w:r>
            <w:r>
              <w:rPr/>
              <w:t xml:space="preserve">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200" w:after="8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b w:val="0"/>
          <w:i w:val="0"/>
          <w:sz w:val="24"/>
        </w:rPr>
        <w:t>Eight device configurations combining two ETL candidates (TiO</w:t>
      </w:r>
      <w:r>
        <w:rPr>
          <w:rFonts w:ascii="Times New Roman" w:hAnsi="Times New Roman"/>
          <w:b w:val="0"/>
          <w:i w:val="0"/>
          <w:sz w:val="24"/>
          <w:vertAlign w:val="subscript"/>
        </w:rPr>
        <w:t>2</w:t>
      </w:r>
      <w:r>
        <w:rPr>
          <w:rFonts w:ascii="Times New Roman" w:hAnsi="Times New Roman"/>
          <w:b w:val="0"/>
          <w:i w:val="0"/>
          <w:sz w:val="24"/>
        </w:rPr>
        <w:t>, PCBM) with four HTL candidates (NiO, CuI, CBTS, Spiro-OMeTAD) were simulated. The results are summarized in Table VI.</w:t>
      </w:r>
    </w:p>
    <w:p>
      <w:pPr>
        <w:spacing w:line="360" w:lineRule="auto" w:before="120" w:after="120"/>
        <w:ind w:firstLine="283"/>
        <w:jc w:val="both"/>
      </w:pPr>
      <w:r>
        <w:rPr>
          <w:rFonts w:ascii="Times New Roman" w:hAnsi="Times New Roman"/>
          <w:b w:val="0"/>
          <w:i w:val="0"/>
          <w:sz w:val="24"/>
        </w:rPr>
        <w:t>The D4 architecture (TiO</w:t>
      </w:r>
      <w:r>
        <w:rPr>
          <w:rFonts w:ascii="Times New Roman" w:hAnsi="Times New Roman"/>
          <w:b w:val="0"/>
          <w:i w:val="0"/>
          <w:sz w:val="24"/>
          <w:vertAlign w:val="subscript"/>
        </w:rPr>
        <w:t>2</w:t>
      </w:r>
      <w:r>
        <w:rPr>
          <w:rFonts w:ascii="Times New Roman" w:hAnsi="Times New Roman"/>
          <w:b w:val="0"/>
          <w:i w:val="0"/>
          <w:sz w:val="24"/>
        </w:rPr>
        <w:t>/CuI) was selected because the TiO</w:t>
      </w:r>
      <w:r>
        <w:rPr>
          <w:rFonts w:ascii="Times New Roman" w:hAnsi="Times New Roman"/>
          <w:b w:val="0"/>
          <w:i w:val="0"/>
          <w:sz w:val="24"/>
          <w:vertAlign w:val="subscript"/>
        </w:rPr>
        <w:t>2</w:t>
      </w:r>
      <w:r>
        <w:rPr>
          <w:rFonts w:ascii="Times New Roman" w:hAnsi="Times New Roman"/>
          <w:b w:val="0"/>
          <w:i w:val="0"/>
          <w:sz w:val="24"/>
        </w:rPr>
        <w:t>/CuI combination offers well-matched band alignment and uses an all-inorganic transport layer stack that avoids the stability limitations of organic HTLs.</w:t>
      </w:r>
    </w:p>
    <w:p>
      <w:pPr>
        <w:keepNext/>
        <w:spacing w:before="200" w:after="8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737"/>
          </w:tcPr>
          <w:p>
            <w:pPr>
              <w:jc w:val="center"/>
            </w:pPr>
            <w:r/>
            <w:r>
              <w:rPr>
                <w:rFonts w:ascii="Times New Roman" w:hAnsi="Times New Roman" w:cs="Times New Roman"/>
                <w:b/>
                <w:i w:val="0"/>
                <w:sz w:val="18"/>
              </w:rPr>
              <w:t>Dev.</w:t>
            </w:r>
          </w:p>
        </w:tc>
        <w:tc>
          <w:tcPr>
            <w:tcW w:type="dxa" w:w="3118"/>
          </w:tcPr>
          <w:p>
            <w:pPr>
              <w:jc w:val="center"/>
            </w:pPr>
            <w:r/>
            <w:r>
              <w:rPr>
                <w:rFonts w:ascii="Times New Roman" w:hAnsi="Times New Roman" w:cs="Times New Roman"/>
                <w:b/>
                <w:i w:val="0"/>
                <w:sz w:val="18"/>
              </w:rPr>
              <w:t>Architecture</w:t>
            </w:r>
          </w:p>
        </w:tc>
        <w:tc>
          <w:tcPr>
            <w:tcW w:type="dxa" w:w="964"/>
          </w:tcPr>
          <w:p>
            <w:pPr>
              <w:jc w:val="center"/>
            </w:pPr>
            <w:r>
              <w:rPr/>
              <w:t>V</w:t>
            </w:r>
            <w:r>
              <w:rPr>
                <w:vertAlign w:val="subscript"/>
              </w:rPr>
              <w:t>oc</w:t>
            </w:r>
            <w:r>
              <w:rPr/>
              <w:t xml:space="preserve"> (V)</w:t>
            </w:r>
          </w:p>
        </w:tc>
        <w:tc>
          <w:tcPr>
            <w:tcW w:type="dxa" w:w="1417"/>
          </w:tcPr>
          <w:p>
            <w:pPr>
              <w:jc w:val="center"/>
            </w:pPr>
            <w:r>
              <w:rPr/>
              <w:t>J</w:t>
            </w:r>
            <w:r>
              <w:rPr>
                <w:vertAlign w:val="subscript"/>
              </w:rPr>
              <w:t>sc</w:t>
            </w:r>
            <w:r>
              <w:rPr/>
              <w:t xml:space="preserve"> (mA/cm²)</w:t>
            </w:r>
          </w:p>
        </w:tc>
        <w:tc>
          <w:tcPr>
            <w:tcW w:type="dxa" w:w="850"/>
          </w:tcPr>
          <w:p>
            <w:pPr>
              <w:jc w:val="center"/>
            </w:pPr>
            <w:r/>
            <w:r>
              <w:rPr>
                <w:rFonts w:ascii="Times New Roman" w:hAnsi="Times New Roman" w:cs="Times New Roman"/>
                <w:b/>
                <w:i w:val="0"/>
                <w:sz w:val="18"/>
              </w:rPr>
              <w:t>FF (%)</w:t>
            </w:r>
          </w:p>
        </w:tc>
        <w:tc>
          <w:tcPr>
            <w:tcW w:type="dxa" w:w="850"/>
          </w:tcPr>
          <w:p>
            <w:pPr>
              <w:jc w:val="center"/>
            </w:pPr>
            <w:r/>
            <w:r>
              <w:rPr>
                <w:rFonts w:ascii="Times New Roman" w:hAnsi="Times New Roman" w:cs="Times New Roman"/>
                <w:b/>
                <w:i w:val="0"/>
                <w:sz w:val="18"/>
              </w:rPr>
              <w:t>PCE (%)</w:t>
            </w:r>
          </w:p>
        </w:tc>
      </w:tr>
      <w:tr>
        <w:trPr>
          <w:cantSplit w:val="true"/>
        </w:trPr>
        <w:tc>
          <w:tcPr>
            <w:tcW w:type="dxa" w:w="737"/>
          </w:tcPr>
          <w:p>
            <w:pPr>
              <w:jc w:val="left"/>
            </w:pPr>
            <w:r/>
            <w:r>
              <w:rPr>
                <w:rFonts w:ascii="Times New Roman" w:hAnsi="Times New Roman" w:cs="Times New Roman"/>
                <w:b w:val="0"/>
                <w:i w:val="0"/>
                <w:sz w:val="18"/>
              </w:rPr>
              <w:t>D1</w:t>
            </w:r>
          </w:p>
        </w:tc>
        <w:tc>
          <w:tcPr>
            <w:tcW w:type="dxa" w:w="3118"/>
          </w:tcPr>
          <w:p>
            <w:pPr>
              <w:jc w:val="center"/>
            </w:pPr>
            <w:r>
              <w:rPr/>
              <w:t>FTO/PCBM/RbGeI</w:t>
            </w:r>
            <w:r>
              <w:rPr>
                <w:vertAlign w:val="subscript"/>
              </w:rPr>
              <w:t>3</w:t>
            </w:r>
            <w:r>
              <w:rPr/>
              <w:t>/NiO/Au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83.68</w:t>
            </w:r>
          </w:p>
        </w:tc>
        <w:tc>
          <w:tcPr>
            <w:tcW w:type="dxa" w:w="850"/>
          </w:tcPr>
          <w:p>
            <w:pPr>
              <w:jc w:val="center"/>
            </w:pPr>
            <w:r/>
            <w:r>
              <w:rPr>
                <w:rFonts w:ascii="Times New Roman" w:hAnsi="Times New Roman" w:cs="Times New Roman"/>
                <w:b w:val="0"/>
                <w:i w:val="0"/>
                <w:sz w:val="18"/>
              </w:rPr>
              <w:t>20.52</w:t>
            </w:r>
          </w:p>
        </w:tc>
      </w:tr>
      <w:tr>
        <w:trPr>
          <w:cantSplit w:val="true"/>
        </w:trPr>
        <w:tc>
          <w:tcPr>
            <w:tcW w:type="dxa" w:w="737"/>
          </w:tcPr>
          <w:p>
            <w:pPr>
              <w:jc w:val="left"/>
            </w:pPr>
            <w:r/>
            <w:r>
              <w:rPr>
                <w:rFonts w:ascii="Times New Roman" w:hAnsi="Times New Roman" w:cs="Times New Roman"/>
                <w:b w:val="0"/>
                <w:i w:val="0"/>
                <w:sz w:val="18"/>
              </w:rPr>
              <w:t>D2</w:t>
            </w:r>
          </w:p>
        </w:tc>
        <w:tc>
          <w:tcPr>
            <w:tcW w:type="dxa" w:w="3118"/>
          </w:tcPr>
          <w:p>
            <w:pPr>
              <w:jc w:val="center"/>
            </w:pPr>
            <w:r>
              <w:rPr/>
              <w:t>FTO/TiO</w:t>
            </w:r>
            <w:r>
              <w:rPr>
                <w:vertAlign w:val="subscript"/>
              </w:rPr>
              <w:t>2</w:t>
            </w:r>
            <w:r>
              <w:rPr/>
              <w:t>/RbGeI</w:t>
            </w:r>
            <w:r>
              <w:rPr>
                <w:vertAlign w:val="subscript"/>
              </w:rPr>
              <w:t>3</w:t>
            </w:r>
            <w:r>
              <w:rPr/>
              <w:t>/NiO/Au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84.48</w:t>
            </w:r>
          </w:p>
        </w:tc>
        <w:tc>
          <w:tcPr>
            <w:tcW w:type="dxa" w:w="850"/>
          </w:tcPr>
          <w:p>
            <w:pPr>
              <w:jc w:val="center"/>
            </w:pPr>
            <w:r/>
            <w:r>
              <w:rPr>
                <w:rFonts w:ascii="Times New Roman" w:hAnsi="Times New Roman" w:cs="Times New Roman"/>
                <w:b w:val="0"/>
                <w:i w:val="0"/>
                <w:sz w:val="18"/>
              </w:rPr>
              <w:t>21.08</w:t>
            </w:r>
          </w:p>
        </w:tc>
      </w:tr>
      <w:tr>
        <w:trPr>
          <w:cantSplit w:val="true"/>
        </w:trPr>
        <w:tc>
          <w:tcPr>
            <w:tcW w:type="dxa" w:w="737"/>
          </w:tcPr>
          <w:p>
            <w:pPr>
              <w:jc w:val="left"/>
            </w:pPr>
            <w:r/>
            <w:r>
              <w:rPr>
                <w:rFonts w:ascii="Times New Roman" w:hAnsi="Times New Roman" w:cs="Times New Roman"/>
                <w:b w:val="0"/>
                <w:i w:val="0"/>
                <w:sz w:val="18"/>
              </w:rPr>
              <w:t>D3</w:t>
            </w:r>
          </w:p>
        </w:tc>
        <w:tc>
          <w:tcPr>
            <w:tcW w:type="dxa" w:w="3118"/>
          </w:tcPr>
          <w:p>
            <w:pPr>
              <w:jc w:val="center"/>
            </w:pPr>
            <w:r>
              <w:rPr/>
              <w:t>FTO/PCBM/RbGeI</w:t>
            </w:r>
            <w:r>
              <w:rPr>
                <w:vertAlign w:val="subscript"/>
              </w:rPr>
              <w:t>3</w:t>
            </w:r>
            <w:r>
              <w:rPr/>
              <w:t>/CuI/Au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83.96</w:t>
            </w:r>
          </w:p>
        </w:tc>
        <w:tc>
          <w:tcPr>
            <w:tcW w:type="dxa" w:w="850"/>
          </w:tcPr>
          <w:p>
            <w:pPr>
              <w:jc w:val="center"/>
            </w:pPr>
            <w:r/>
            <w:r>
              <w:rPr>
                <w:rFonts w:ascii="Times New Roman" w:hAnsi="Times New Roman" w:cs="Times New Roman"/>
                <w:b w:val="0"/>
                <w:i w:val="0"/>
                <w:sz w:val="18"/>
              </w:rPr>
              <w:t>20.55</w:t>
            </w:r>
          </w:p>
        </w:tc>
      </w:tr>
      <w:tr>
        <w:trPr>
          <w:cantSplit w:val="true"/>
        </w:trPr>
        <w:tc>
          <w:tcPr>
            <w:tcW w:type="dxa" w:w="737"/>
          </w:tcPr>
          <w:p>
            <w:pPr>
              <w:jc w:val="left"/>
            </w:pPr>
            <w:r/>
            <w:r>
              <w:rPr>
                <w:rFonts w:ascii="Times New Roman" w:hAnsi="Times New Roman" w:cs="Times New Roman"/>
                <w:b w:val="0"/>
                <w:i w:val="0"/>
                <w:sz w:val="18"/>
              </w:rPr>
              <w:t>D4 ★</w:t>
            </w:r>
          </w:p>
        </w:tc>
        <w:tc>
          <w:tcPr>
            <w:tcW w:type="dxa" w:w="3118"/>
          </w:tcPr>
          <w:p>
            <w:pPr>
              <w:jc w:val="center"/>
            </w:pPr>
            <w:r>
              <w:rPr/>
              <w:t>FTO/TiO</w:t>
            </w:r>
            <w:r>
              <w:rPr>
                <w:vertAlign w:val="subscript"/>
              </w:rPr>
              <w:t>2</w:t>
            </w:r>
            <w:r>
              <w:rPr/>
              <w:t>/RbGeI</w:t>
            </w:r>
            <w:r>
              <w:rPr>
                <w:vertAlign w:val="subscript"/>
              </w:rPr>
              <w:t>3</w:t>
            </w:r>
            <w:r>
              <w:rPr/>
              <w:t>/CuI/Au</w:t>
            </w:r>
          </w:p>
        </w:tc>
        <w:tc>
          <w:tcPr>
            <w:tcW w:type="dxa" w:w="964"/>
          </w:tcPr>
          <w:p>
            <w:pPr>
              <w:jc w:val="center"/>
            </w:pPr>
            <w:r/>
            <w:r>
              <w:rPr>
                <w:rFonts w:ascii="Times New Roman" w:hAnsi="Times New Roman" w:cs="Times New Roman"/>
                <w:b w:val="0"/>
                <w:i w:val="0"/>
                <w:sz w:val="18"/>
              </w:rPr>
              <w:t>0.812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79.98</w:t>
            </w:r>
          </w:p>
        </w:tc>
        <w:tc>
          <w:tcPr>
            <w:tcW w:type="dxa" w:w="850"/>
          </w:tcPr>
          <w:p>
            <w:pPr>
              <w:jc w:val="center"/>
            </w:pPr>
            <w:r/>
            <w:r>
              <w:rPr>
                <w:rFonts w:ascii="Times New Roman" w:hAnsi="Times New Roman" w:cs="Times New Roman"/>
                <w:b w:val="0"/>
                <w:i w:val="0"/>
                <w:sz w:val="18"/>
              </w:rPr>
              <w:t>19.79</w:t>
            </w:r>
          </w:p>
        </w:tc>
      </w:tr>
      <w:tr>
        <w:trPr>
          <w:cantSplit w:val="true"/>
        </w:trPr>
        <w:tc>
          <w:tcPr>
            <w:tcW w:type="dxa" w:w="737"/>
          </w:tcPr>
          <w:p>
            <w:pPr>
              <w:jc w:val="left"/>
            </w:pPr>
            <w:r/>
            <w:r>
              <w:rPr>
                <w:rFonts w:ascii="Times New Roman" w:hAnsi="Times New Roman" w:cs="Times New Roman"/>
                <w:b w:val="0"/>
                <w:i w:val="0"/>
                <w:sz w:val="18"/>
              </w:rPr>
              <w:t>D5</w:t>
            </w:r>
          </w:p>
        </w:tc>
        <w:tc>
          <w:tcPr>
            <w:tcW w:type="dxa" w:w="3118"/>
          </w:tcPr>
          <w:p>
            <w:pPr>
              <w:jc w:val="center"/>
            </w:pPr>
            <w:r>
              <w:rPr/>
              <w:t>FTO/PCBM/RbGeI</w:t>
            </w:r>
            <w:r>
              <w:rPr>
                <w:vertAlign w:val="subscript"/>
              </w:rPr>
              <w:t>3</w:t>
            </w:r>
            <w:r>
              <w:rPr/>
              <w:t>/CBTS/Au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30.20</w:t>
            </w:r>
          </w:p>
        </w:tc>
        <w:tc>
          <w:tcPr>
            <w:tcW w:type="dxa" w:w="850"/>
          </w:tcPr>
          <w:p>
            <w:pPr>
              <w:jc w:val="center"/>
            </w:pPr>
            <w:r/>
            <w:r>
              <w:rPr>
                <w:rFonts w:ascii="Times New Roman" w:hAnsi="Times New Roman" w:cs="Times New Roman"/>
                <w:b w:val="0"/>
                <w:i w:val="0"/>
                <w:sz w:val="18"/>
              </w:rPr>
              <w:t>82.36</w:t>
            </w:r>
          </w:p>
        </w:tc>
        <w:tc>
          <w:tcPr>
            <w:tcW w:type="dxa" w:w="850"/>
          </w:tcPr>
          <w:p>
            <w:pPr>
              <w:jc w:val="center"/>
            </w:pPr>
            <w:r/>
            <w:r>
              <w:rPr>
                <w:rFonts w:ascii="Times New Roman" w:hAnsi="Times New Roman" w:cs="Times New Roman"/>
                <w:b w:val="0"/>
                <w:i w:val="0"/>
                <w:sz w:val="18"/>
              </w:rPr>
              <w:t>20.30</w:t>
            </w:r>
          </w:p>
        </w:tc>
      </w:tr>
      <w:tr>
        <w:trPr>
          <w:cantSplit w:val="true"/>
        </w:trPr>
        <w:tc>
          <w:tcPr>
            <w:tcW w:type="dxa" w:w="737"/>
          </w:tcPr>
          <w:p>
            <w:pPr>
              <w:jc w:val="left"/>
            </w:pPr>
            <w:r/>
            <w:r>
              <w:rPr>
                <w:rFonts w:ascii="Times New Roman" w:hAnsi="Times New Roman" w:cs="Times New Roman"/>
                <w:b w:val="0"/>
                <w:i w:val="0"/>
                <w:sz w:val="18"/>
              </w:rPr>
              <w:t>D6</w:t>
            </w:r>
          </w:p>
        </w:tc>
        <w:tc>
          <w:tcPr>
            <w:tcW w:type="dxa" w:w="3118"/>
          </w:tcPr>
          <w:p>
            <w:pPr>
              <w:jc w:val="center"/>
            </w:pPr>
            <w:r>
              <w:rPr/>
              <w:t>FTO/TiO</w:t>
            </w:r>
            <w:r>
              <w:rPr>
                <w:vertAlign w:val="subscript"/>
              </w:rPr>
              <w:t>2</w:t>
            </w:r>
            <w:r>
              <w:rPr/>
              <w:t>/RbGeI</w:t>
            </w:r>
            <w:r>
              <w:rPr>
                <w:vertAlign w:val="subscript"/>
              </w:rPr>
              <w:t>3</w:t>
            </w:r>
            <w:r>
              <w:rPr/>
              <w:t>/CBTS/Au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30.55</w:t>
            </w:r>
          </w:p>
        </w:tc>
        <w:tc>
          <w:tcPr>
            <w:tcW w:type="dxa" w:w="850"/>
          </w:tcPr>
          <w:p>
            <w:pPr>
              <w:jc w:val="center"/>
            </w:pPr>
            <w:r/>
            <w:r>
              <w:rPr>
                <w:rFonts w:ascii="Times New Roman" w:hAnsi="Times New Roman" w:cs="Times New Roman"/>
                <w:b w:val="0"/>
                <w:i w:val="0"/>
                <w:sz w:val="18"/>
              </w:rPr>
              <w:t>82.13</w:t>
            </w:r>
          </w:p>
        </w:tc>
        <w:tc>
          <w:tcPr>
            <w:tcW w:type="dxa" w:w="850"/>
          </w:tcPr>
          <w:p>
            <w:pPr>
              <w:jc w:val="center"/>
            </w:pPr>
            <w:r/>
            <w:r>
              <w:rPr>
                <w:rFonts w:ascii="Times New Roman" w:hAnsi="Times New Roman" w:cs="Times New Roman"/>
                <w:b w:val="0"/>
                <w:i w:val="0"/>
                <w:sz w:val="18"/>
              </w:rPr>
              <w:t>20.68</w:t>
            </w:r>
          </w:p>
        </w:tc>
      </w:tr>
      <w:tr>
        <w:trPr>
          <w:cantSplit w:val="true"/>
        </w:trPr>
        <w:tc>
          <w:tcPr>
            <w:tcW w:type="dxa" w:w="737"/>
          </w:tcPr>
          <w:p>
            <w:pPr>
              <w:jc w:val="left"/>
            </w:pPr>
            <w:r/>
            <w:r>
              <w:rPr>
                <w:rFonts w:ascii="Times New Roman" w:hAnsi="Times New Roman" w:cs="Times New Roman"/>
                <w:b w:val="0"/>
                <w:i w:val="0"/>
                <w:sz w:val="18"/>
              </w:rPr>
              <w:t>D7</w:t>
            </w:r>
          </w:p>
        </w:tc>
        <w:tc>
          <w:tcPr>
            <w:tcW w:type="dxa" w:w="3118"/>
          </w:tcPr>
          <w:p>
            <w:pPr>
              <w:jc w:val="center"/>
            </w:pPr>
            <w:r>
              <w:rPr/>
              <w:t>FTO/PCBM/RbGeI</w:t>
            </w:r>
            <w:r>
              <w:rPr>
                <w:vertAlign w:val="subscript"/>
              </w:rPr>
              <w:t>3</w:t>
            </w:r>
            <w:r>
              <w:rPr/>
              <w:t>/Spiro/Au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30.07</w:t>
            </w:r>
          </w:p>
        </w:tc>
        <w:tc>
          <w:tcPr>
            <w:tcW w:type="dxa" w:w="850"/>
          </w:tcPr>
          <w:p>
            <w:pPr>
              <w:jc w:val="center"/>
            </w:pPr>
            <w:r/>
            <w:r>
              <w:rPr>
                <w:rFonts w:ascii="Times New Roman" w:hAnsi="Times New Roman" w:cs="Times New Roman"/>
                <w:b w:val="0"/>
                <w:i w:val="0"/>
                <w:sz w:val="18"/>
              </w:rPr>
              <w:t>85.01</w:t>
            </w:r>
          </w:p>
        </w:tc>
        <w:tc>
          <w:tcPr>
            <w:tcW w:type="dxa" w:w="850"/>
          </w:tcPr>
          <w:p>
            <w:pPr>
              <w:jc w:val="center"/>
            </w:pPr>
            <w:r/>
            <w:r>
              <w:rPr>
                <w:rFonts w:ascii="Times New Roman" w:hAnsi="Times New Roman" w:cs="Times New Roman"/>
                <w:b w:val="0"/>
                <w:i w:val="0"/>
                <w:sz w:val="18"/>
              </w:rPr>
              <w:t>20.77</w:t>
            </w:r>
          </w:p>
        </w:tc>
      </w:tr>
      <w:tr>
        <w:trPr>
          <w:cantSplit w:val="true"/>
        </w:trPr>
        <w:tc>
          <w:tcPr>
            <w:tcW w:type="dxa" w:w="737"/>
          </w:tcPr>
          <w:p>
            <w:pPr>
              <w:jc w:val="left"/>
            </w:pPr>
            <w:r/>
            <w:r>
              <w:rPr>
                <w:rFonts w:ascii="Times New Roman" w:hAnsi="Times New Roman" w:cs="Times New Roman"/>
                <w:b w:val="0"/>
                <w:i w:val="0"/>
                <w:sz w:val="18"/>
              </w:rPr>
              <w:t>D8</w:t>
            </w:r>
          </w:p>
        </w:tc>
        <w:tc>
          <w:tcPr>
            <w:tcW w:type="dxa" w:w="3118"/>
          </w:tcPr>
          <w:p>
            <w:pPr>
              <w:jc w:val="center"/>
            </w:pPr>
            <w:r>
              <w:rPr/>
              <w:t>FTO/TiO</w:t>
            </w:r>
            <w:r>
              <w:rPr>
                <w:vertAlign w:val="subscript"/>
              </w:rPr>
              <w:t>2</w:t>
            </w:r>
            <w:r>
              <w:rPr/>
              <w:t>/RbGeI</w:t>
            </w:r>
            <w:r>
              <w:rPr>
                <w:vertAlign w:val="subscript"/>
              </w:rPr>
              <w:t>3</w:t>
            </w:r>
            <w:r>
              <w:rPr/>
              <w:t>/Spiro/Au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83.95</w:t>
            </w:r>
          </w:p>
        </w:tc>
        <w:tc>
          <w:tcPr>
            <w:tcW w:type="dxa" w:w="850"/>
          </w:tcPr>
          <w:p>
            <w:pPr>
              <w:jc w:val="center"/>
            </w:pPr>
            <w:r/>
            <w:r>
              <w:rPr>
                <w:rFonts w:ascii="Times New Roman" w:hAnsi="Times New Roman" w:cs="Times New Roman"/>
                <w:b w:val="0"/>
                <w:i w:val="0"/>
                <w:sz w:val="18"/>
              </w:rPr>
              <w:t>21.00</w:t>
            </w:r>
          </w:p>
        </w:tc>
      </w:tr>
    </w:tbl>
    <w:p>
      <w:pPr>
        <w:spacing w:line="360" w:lineRule="auto" w:before="120" w:after="120"/>
        <w:ind w:firstLine="283"/>
        <w:jc w:val="both"/>
      </w:pPr>
      <w:r>
        <w:rPr>
          <w:rFonts w:ascii="Times New Roman" w:hAnsi="Times New Roman"/>
          <w:b w:val="0"/>
          <w:i w:val="0"/>
          <w:sz w:val="24"/>
        </w:rPr>
        <w:t>Although D4 does not exhibit the highest FF among the eight configurations (D7 with Spiro-OMeTAD achieves FF = 85.01%) and does not exhibit the highest PCE (D2 achieves 21.08%), the TiO</w:t>
      </w:r>
      <w:r>
        <w:rPr>
          <w:rFonts w:ascii="Times New Roman" w:hAnsi="Times New Roman"/>
          <w:b w:val="0"/>
          <w:i w:val="0"/>
          <w:sz w:val="24"/>
          <w:vertAlign w:val="subscript"/>
        </w:rPr>
        <w:t>2</w:t>
      </w:r>
      <w:r>
        <w:rPr>
          <w:rFonts w:ascii="Times New Roman" w:hAnsi="Times New Roman"/>
          <w:b w:val="0"/>
          <w:i w:val="0"/>
          <w:sz w:val="24"/>
        </w:rPr>
        <w:t>/CuI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200" w:after="8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b w:val="0"/>
          <w:i w:val="0"/>
          <w:sz w:val="24"/>
        </w:rPr>
        <w:t>Absorber thickness determines how much incident light is captured and how many carriers are generated. Thicker layers absorb more photons and raise J</w:t>
      </w:r>
      <w:r>
        <w:rPr>
          <w:rFonts w:ascii="Times New Roman" w:hAnsi="Times New Roman"/>
          <w:b w:val="0"/>
          <w:i w:val="0"/>
          <w:sz w:val="24"/>
          <w:vertAlign w:val="subscript"/>
        </w:rPr>
        <w:t>s</w:t>
      </w:r>
      <w:r>
        <w:rPr>
          <w:rFonts w:ascii="Times New Roman" w:hAnsi="Times New Roman"/>
          <w:b w:val="0"/>
          <w:i w:val="0"/>
          <w:sz w:val="24"/>
        </w:rPr>
        <w:t>c, but beyond a point recombination and series resistance offset the gain.</w:t>
      </w:r>
    </w:p>
    <w:p>
      <w:pPr>
        <w:spacing w:line="360" w:lineRule="auto" w:before="120" w:after="120"/>
        <w:ind w:firstLine="283"/>
        <w:jc w:val="both"/>
      </w:pPr>
      <w:r>
        <w:rPr>
          <w:rFonts w:ascii="Times New Roman" w:hAnsi="Times New Roman"/>
          <w:b w:val="0"/>
          <w:i w:val="0"/>
          <w:sz w:val="24"/>
        </w:rPr>
        <w:t>PCE increases with absorber thickness up to 0.7 µm (20.70%), beyond which it decreases slightly due to increased recombination. J</w:t>
      </w:r>
      <w:r>
        <w:rPr>
          <w:rFonts w:ascii="Times New Roman" w:hAnsi="Times New Roman"/>
          <w:b w:val="0"/>
          <w:i w:val="0"/>
          <w:sz w:val="24"/>
          <w:vertAlign w:val="subscript"/>
        </w:rPr>
        <w:t>sc</w:t>
      </w:r>
      <w:r>
        <w:rPr>
          <w:rFonts w:ascii="Times New Roman" w:hAnsi="Times New Roman"/>
          <w:b w:val="0"/>
          <w:i w:val="0"/>
          <w:sz w:val="24"/>
        </w:rPr>
        <w:t xml:space="preserve"> increases monotonically (28.14 to 34.11 mA/cm²) while V</w:t>
      </w:r>
      <w:r>
        <w:rPr>
          <w:rFonts w:ascii="Times New Roman" w:hAnsi="Times New Roman"/>
          <w:b w:val="0"/>
          <w:i w:val="0"/>
          <w:sz w:val="24"/>
          <w:vertAlign w:val="subscript"/>
        </w:rPr>
        <w:t>oc</w:t>
      </w:r>
      <w:r>
        <w:rPr>
          <w:rFonts w:ascii="Times New Roman" w:hAnsi="Times New Roman"/>
          <w:b w:val="0"/>
          <w:i w:val="0"/>
          <w:sz w:val="24"/>
        </w:rPr>
        <w:t xml:space="preserve"> decreases gradually (0.823 to 0.767 V). The absorber is kept at 0.7 µm, where the PCE peak sits.</w:t>
      </w:r>
    </w:p>
    <w:p>
      <w:pPr>
        <w:keepNext/>
        <w:keepLines/>
        <w:spacing w:before="200" w:after="80"/>
        <w:jc w:val="center"/>
      </w:pPr>
      <w:r>
        <w:drawing>
          <wp:inline xmlns:a="http://schemas.openxmlformats.org/drawingml/2006/main" xmlns:pic="http://schemas.openxmlformats.org/drawingml/2006/picture">
            <wp:extent cx="4680000" cy="3087205"/>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3.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thickness. PCE peaks at 0.7 µm, beyond which recombination losses reduce efficiency.</w:t>
      </w:r>
    </w:p>
    <w:p>
      <w:pPr>
        <w:pStyle w:val="Heading2"/>
        <w:keepNext/>
        <w:spacing w:before="200" w:after="8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b w:val="0"/>
          <w:i w:val="0"/>
          <w:sz w:val="24"/>
        </w:rPr>
        <w:t>Bulk defects act as Shockley–Read–Hall (SRH) recombination centers, shortening carrier lifetime and reducing collection efficiency. The RbGeI</w:t>
      </w:r>
      <w:r>
        <w:rPr>
          <w:rFonts w:ascii="Times New Roman" w:hAnsi="Times New Roman"/>
          <w:b w:val="0"/>
          <w:i w:val="0"/>
          <w:sz w:val="24"/>
          <w:vertAlign w:val="subscript"/>
        </w:rPr>
        <w:t>3</w:t>
      </w:r>
      <w:r>
        <w:rPr>
          <w:rFonts w:ascii="Times New Roman" w:hAnsi="Times New Roman"/>
          <w:b w:val="0"/>
          <w:i w:val="0"/>
          <w:sz w:val="24"/>
        </w:rPr>
        <w:t xml:space="preserve"> defect density was varied from 10¹² to 10¹⁸ cm⁻³ while all other parameters were held constant.</w:t>
      </w:r>
    </w:p>
    <w:p>
      <w:pPr>
        <w:spacing w:line="360" w:lineRule="auto" w:before="120" w:after="120"/>
        <w:ind w:firstLine="283"/>
        <w:jc w:val="both"/>
      </w:pPr>
      <w:r>
        <w:rPr>
          <w:rFonts w:ascii="Times New Roman" w:hAnsi="Times New Roman"/>
          <w:b w:val="0"/>
          <w:i w:val="0"/>
          <w:sz w:val="24"/>
        </w:rPr>
        <w:t>Above 10¹⁴ cm⁻³, PCE drops from 20.40% to 7.58% as the defect density increases to 10¹⁸ cm⁻³, driven by Voc reduction (0.848 to 0.550 V), while below 10¹⁴ cm⁻³ the device is insensitive. The sweep therefore settles at 10¹⁴ cm⁻³.</w:t>
      </w:r>
      <w:r>
        <w:rPr>
          <w:rFonts w:ascii="Times New Roman" w:hAnsi="Times New Roman"/>
          <w:b w:val="0"/>
          <w:i w:val="0"/>
          <w:sz w:val="24"/>
          <w:vertAlign w:val="subscript"/>
        </w:rPr>
      </w:r>
      <w:r>
        <w:rPr>
          <w:rFonts w:ascii="Times New Roman" w:hAnsi="Times New Roman"/>
          <w:b w:val="0"/>
          <w:i w:val="0"/>
          <w:sz w:val="24"/>
        </w:rPr>
      </w:r>
    </w:p>
    <w:p>
      <w:pPr>
        <w:keepNext/>
        <w:keepLines/>
        <w:spacing w:before="200" w:after="8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4.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defect density. Performance degrades sharply above 10¹⁴ cm⁻³.</w:t>
      </w:r>
    </w:p>
    <w:p>
      <w:pPr>
        <w:pStyle w:val="Heading2"/>
        <w:keepNext/>
        <w:spacing w:before="200" w:after="8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b w:val="0"/>
          <w:i w:val="0"/>
          <w:sz w:val="24"/>
        </w:rPr>
        <w:t>The dielectric constant was varied from 15 to 23.1. PCE decreased marginally from 19.92% at ε</w:t>
      </w:r>
      <w:r>
        <w:rPr>
          <w:rFonts w:ascii="Times New Roman" w:hAnsi="Times New Roman"/>
          <w:b w:val="0"/>
          <w:i w:val="0"/>
          <w:sz w:val="24"/>
          <w:vertAlign w:val="subscript"/>
        </w:rPr>
        <w:t>r</w:t>
      </w:r>
      <w:r>
        <w:rPr>
          <w:rFonts w:ascii="Times New Roman" w:hAnsi="Times New Roman"/>
          <w:b w:val="0"/>
          <w:i w:val="0"/>
          <w:sz w:val="24"/>
        </w:rPr>
        <w:t xml:space="preserve"> = 15 to 19.79% at ε</w:t>
      </w:r>
      <w:r>
        <w:rPr>
          <w:rFonts w:ascii="Times New Roman" w:hAnsi="Times New Roman"/>
          <w:b w:val="0"/>
          <w:i w:val="0"/>
          <w:sz w:val="24"/>
          <w:vertAlign w:val="subscript"/>
        </w:rPr>
        <w:t>r</w:t>
      </w:r>
      <w:r>
        <w:rPr>
          <w:rFonts w:ascii="Times New Roman" w:hAnsi="Times New Roman"/>
          <w:b w:val="0"/>
          <w:i w:val="0"/>
          <w:sz w:val="24"/>
        </w:rPr>
        <w:t xml:space="preserve"> = 23.1, driven by a small reduction in V</w:t>
      </w:r>
      <w:r>
        <w:rPr>
          <w:rFonts w:ascii="Times New Roman" w:hAnsi="Times New Roman"/>
          <w:b w:val="0"/>
          <w:i w:val="0"/>
          <w:sz w:val="24"/>
          <w:vertAlign w:val="subscript"/>
        </w:rPr>
        <w:t>oc</w:t>
      </w:r>
      <w:r>
        <w:rPr>
          <w:rFonts w:ascii="Times New Roman" w:hAnsi="Times New Roman"/>
          <w:b w:val="0"/>
          <w:i w:val="0"/>
          <w:sz w:val="24"/>
        </w:rPr>
        <w:t xml:space="preserve"> (0.819 to 0.812 V), while Jsc and FF remained practically unchanged, so the low value of 15 is kept.</w:t>
      </w:r>
      <w:r>
        <w:rPr>
          <w:rFonts w:ascii="Times New Roman" w:hAnsi="Times New Roman"/>
          <w:b w:val="0"/>
          <w:i w:val="0"/>
          <w:sz w:val="24"/>
          <w:vertAlign w:val="subscript"/>
        </w:rPr>
      </w:r>
      <w:r>
        <w:rPr>
          <w:rFonts w:ascii="Times New Roman" w:hAnsi="Times New Roman"/>
          <w:b w:val="0"/>
          <w:i w:val="0"/>
          <w:sz w:val="24"/>
        </w:rPr>
      </w:r>
    </w:p>
    <w:p>
      <w:pPr>
        <w:keepNext/>
        <w:keepLines/>
        <w:jc w:val="center"/>
      </w:pPr>
      <w:r/>
      <w:r>
        <w:drawing>
          <wp:inline xmlns:a="http://schemas.openxmlformats.org/drawingml/2006/main" xmlns:pic="http://schemas.openxmlformats.org/drawingml/2006/picture">
            <wp:extent cx="4457700" cy="2940562"/>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457700" cy="2940562"/>
                    </a:xfrm>
                    <a:prstGeom prst="rect"/>
                  </pic:spPr>
                </pic:pic>
              </a:graphicData>
            </a:graphic>
          </wp:inline>
        </w:drawing>
      </w:r>
    </w:p>
    <w:p>
      <w:pPr>
        <w:jc w:val="center"/>
      </w:pPr>
      <w:r>
        <w:rPr>
          <w:sz w:val="20"/>
        </w:rPr>
        <w:t>Fig. 5.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 xml:space="preserve"> absorber dielectric constant. The performance is essentially insensitive to ε</w:t>
      </w:r>
      <w:r>
        <w:rPr>
          <w:sz w:val="20"/>
          <w:vertAlign w:val="subscript"/>
        </w:rPr>
        <w:t>r</w:t>
      </w:r>
      <w:r>
        <w:rPr>
          <w:sz w:val="20"/>
        </w:rPr>
        <w:t xml:space="preserve"> across the investigated range; ε</w:t>
      </w:r>
      <w:r>
        <w:rPr>
          <w:sz w:val="20"/>
          <w:vertAlign w:val="subscript"/>
        </w:rPr>
        <w:t>r</w:t>
      </w:r>
      <w:r>
        <w:rPr>
          <w:sz w:val="20"/>
        </w:rPr>
        <w:t xml:space="preserve"> = 15 is retained.</w:t>
      </w:r>
    </w:p>
    <w:p>
      <w:pPr>
        <w:pStyle w:val="Heading2"/>
        <w:keepNext/>
        <w:spacing w:before="200" w:after="8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Electron affinity governs the energy-band alignment between adjacent layers and therefore controls charge-carrier extraction. It was varied from 3.9 to 4.2 eV with all other parameters held constant.</w:t>
      </w:r>
    </w:p>
    <w:p>
      <w:pPr>
        <w:spacing w:line="360" w:lineRule="auto" w:before="120" w:after="120"/>
        <w:ind w:firstLine="283"/>
        <w:jc w:val="both"/>
      </w:pPr>
      <w:r>
        <w:rPr>
          <w:rFonts w:ascii="Times New Roman" w:hAnsi="Times New Roman"/>
          <w:b w:val="0"/>
          <w:i w:val="0"/>
          <w:sz w:val="24"/>
        </w:rPr>
        <w:t>The highest PCE of 19.79% is achieved at χ = 3.9 eV. V</w:t>
      </w:r>
      <w:r>
        <w:rPr>
          <w:rFonts w:ascii="Times New Roman" w:hAnsi="Times New Roman"/>
          <w:b w:val="0"/>
          <w:i w:val="0"/>
          <w:sz w:val="24"/>
          <w:vertAlign w:val="subscript"/>
        </w:rPr>
        <w:t>oc</w:t>
      </w:r>
      <w:r>
        <w:rPr>
          <w:rFonts w:ascii="Times New Roman" w:hAnsi="Times New Roman"/>
          <w:b w:val="0"/>
          <w:i w:val="0"/>
          <w:sz w:val="24"/>
        </w:rPr>
        <w:t xml:space="preserve"> drops from 0.812 to 0.710 V as χ increases to 4.2 eV, while J</w:t>
      </w:r>
      <w:r>
        <w:rPr>
          <w:rFonts w:ascii="Times New Roman" w:hAnsi="Times New Roman"/>
          <w:b w:val="0"/>
          <w:i w:val="0"/>
          <w:sz w:val="24"/>
          <w:vertAlign w:val="subscript"/>
        </w:rPr>
        <w:t>sc</w:t>
      </w:r>
      <w:r>
        <w:rPr>
          <w:rFonts w:ascii="Times New Roman" w:hAnsi="Times New Roman"/>
          <w:b w:val="0"/>
          <w:i w:val="0"/>
          <w:sz w:val="24"/>
        </w:rPr>
        <w:t xml:space="preserve"> remains constant. χ = 3.9 eV is retained, since raising it costs more in V</w:t>
      </w:r>
      <w:r>
        <w:rPr>
          <w:rFonts w:ascii="Times New Roman" w:hAnsi="Times New Roman"/>
          <w:b w:val="0"/>
          <w:i w:val="0"/>
          <w:sz w:val="24"/>
          <w:vertAlign w:val="subscript"/>
        </w:rPr>
        <w:t>oc</w:t>
      </w:r>
      <w:r>
        <w:rPr>
          <w:rFonts w:ascii="Times New Roman" w:hAnsi="Times New Roman"/>
          <w:b w:val="0"/>
          <w:i w:val="0"/>
          <w:sz w:val="24"/>
        </w:rPr>
        <w:t xml:space="preserve"> than the FF gain recovers.</w:t>
      </w:r>
    </w:p>
    <w:p>
      <w:pPr>
        <w:keepNext/>
        <w:keepLines/>
        <w:spacing w:before="200" w:after="80"/>
        <w:jc w:val="center"/>
      </w:pPr>
      <w:r>
        <w:drawing>
          <wp:inline xmlns:a="http://schemas.openxmlformats.org/drawingml/2006/main" xmlns:pic="http://schemas.openxmlformats.org/drawingml/2006/picture">
            <wp:extent cx="4680000" cy="3087205"/>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6.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electron affinity. PCE is highest at χ = 3.9 eV due to optimal band alignment with TiO</w:t>
      </w:r>
      <w:r>
        <w:rPr>
          <w:rFonts w:ascii="Times New Roman" w:hAnsi="Times New Roman"/>
          <w:b w:val="0"/>
          <w:i/>
          <w:sz w:val="20"/>
          <w:vertAlign w:val="subscript"/>
        </w:rPr>
        <w:t>2</w:t>
      </w:r>
      <w:r>
        <w:rPr>
          <w:rFonts w:ascii="Times New Roman" w:hAnsi="Times New Roman"/>
          <w:b w:val="0"/>
          <w:i/>
          <w:sz w:val="20"/>
        </w:rPr>
        <w:t>.</w:t>
      </w:r>
    </w:p>
    <w:p>
      <w:pPr>
        <w:pStyle w:val="Heading2"/>
        <w:keepNext/>
        <w:spacing w:before="200" w:after="80" w:line="360" w:lineRule="auto"/>
      </w:pPr>
      <w:r>
        <w:rPr>
          <w:rFonts w:ascii="Times New Roman" w:hAnsi="Times New Roman"/>
          <w:b/>
          <w:i/>
          <w:sz w:val="24"/>
        </w:rPr>
        <w:t>F. Effect of TiO</w:t>
      </w:r>
      <w:r>
        <w:rPr>
          <w:rFonts w:ascii="Times New Roman" w:hAnsi="Times New Roman"/>
          <w:b/>
          <w:i/>
          <w:sz w:val="24"/>
          <w:vertAlign w:val="subscript"/>
        </w:rPr>
        <w:t>2</w:t>
      </w:r>
      <w:r>
        <w:rPr>
          <w:rFonts w:ascii="Times New Roman" w:hAnsi="Times New Roman"/>
          <w:b/>
          <w:i/>
          <w:sz w:val="24"/>
        </w:rPr>
        <w:t>/RbGeI</w:t>
      </w:r>
      <w:r>
        <w:rPr>
          <w:rFonts w:ascii="Times New Roman" w:hAnsi="Times New Roman"/>
          <w:b/>
          <w:i/>
          <w:sz w:val="24"/>
          <w:vertAlign w:val="subscript"/>
        </w:rPr>
        <w:t>3</w:t>
      </w:r>
      <w:r>
        <w:rPr>
          <w:rFonts w:ascii="Times New Roman" w:hAnsi="Times New Roman"/>
          <w:b/>
          <w:i/>
          <w:sz w:val="24"/>
        </w:rPr>
        <w:t xml:space="preserve"> interfacial defect density</w:t>
      </w:r>
    </w:p>
    <w:p>
      <w:pPr>
        <w:spacing w:line="360" w:lineRule="auto" w:before="120" w:after="120"/>
        <w:ind w:firstLine="283"/>
        <w:jc w:val="both"/>
      </w:pPr>
      <w:r>
        <w:rPr>
          <w:rFonts w:ascii="Times New Roman" w:hAnsi="Times New Roman"/>
          <w:b w:val="0"/>
          <w:i w:val="0"/>
          <w:sz w:val="24"/>
        </w:rPr>
        <w:t>The defect density at the absorber/ETL interface is an important factor affecting charge-carrier transport and recombination in perovskite solar cells. To investigate its impact,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interfacial defect density was varied from 10¹² cm⁻² to 10¹⁸ cm⁻² while keeping all other parameters constant. The corresponding photovoltaic parameters are presented in Figure 7. Device performance falls sharply with increasing interfacial defect density: PCE drops from 21.04% at 10¹² cm⁻² to 8.40% at 10¹⁸ cm⁻², V</w:t>
      </w:r>
      <w:r>
        <w:rPr>
          <w:rFonts w:ascii="Times New Roman" w:hAnsi="Times New Roman"/>
          <w:b w:val="0"/>
          <w:i w:val="0"/>
          <w:sz w:val="24"/>
          <w:vertAlign w:val="subscript"/>
        </w:rPr>
        <w:t>oc</w:t>
      </w:r>
      <w:r>
        <w:rPr>
          <w:rFonts w:ascii="Times New Roman" w:hAnsi="Times New Roman"/>
          <w:b w:val="0"/>
          <w:i w:val="0"/>
          <w:sz w:val="24"/>
        </w:rPr>
        <w:t xml:space="preserve"> drops from 0.827 V to 0.439 V, J</w:t>
      </w:r>
      <w:r>
        <w:rPr>
          <w:rFonts w:ascii="Times New Roman" w:hAnsi="Times New Roman"/>
          <w:b w:val="0"/>
          <w:i w:val="0"/>
          <w:sz w:val="24"/>
          <w:vertAlign w:val="subscript"/>
        </w:rPr>
        <w:t>sc</w:t>
      </w:r>
      <w:r>
        <w:rPr>
          <w:rFonts w:ascii="Times New Roman" w:hAnsi="Times New Roman"/>
          <w:b w:val="0"/>
          <w:i w:val="0"/>
          <w:sz w:val="24"/>
        </w:rPr>
        <w:t xml:space="preserve"> decreases from 30.46 to 28.09 mA/cm², and FF reduces from 83.52% to 68.11%.</w:t>
      </w:r>
    </w:p>
    <w:p>
      <w:pPr>
        <w:spacing w:line="360" w:lineRule="auto" w:before="120" w:after="120"/>
        <w:ind w:firstLine="283"/>
        <w:jc w:val="both"/>
      </w:pPr>
      <w:r>
        <w:rPr>
          <w:rFonts w:ascii="Times New Roman" w:hAnsi="Times New Roman"/>
          <w:b w:val="0"/>
          <w:i w:val="0"/>
          <w:sz w:val="24"/>
        </w:rPr>
        <w:t>The degradation is SRH recombination at the heterojunction: more defect states capture photogenerated carriers before they reach the electrodes, and V</w:t>
      </w:r>
      <w:r>
        <w:rPr>
          <w:rFonts w:ascii="Times New Roman" w:hAnsi="Times New Roman"/>
          <w:b w:val="0"/>
          <w:i w:val="0"/>
          <w:sz w:val="24"/>
          <w:vertAlign w:val="subscript"/>
        </w:rPr>
        <w:t>oc</w:t>
      </w:r>
      <w:r>
        <w:rPr>
          <w:rFonts w:ascii="Times New Roman" w:hAnsi="Times New Roman"/>
          <w:b w:val="0"/>
          <w:i w:val="0"/>
          <w:sz w:val="24"/>
        </w:rPr>
        <w:t>, J</w:t>
      </w:r>
      <w:r>
        <w:rPr>
          <w:rFonts w:ascii="Times New Roman" w:hAnsi="Times New Roman"/>
          <w:b w:val="0"/>
          <w:i w:val="0"/>
          <w:sz w:val="24"/>
          <w:vertAlign w:val="subscript"/>
        </w:rPr>
        <w:t>sc</w:t>
      </w:r>
      <w:r>
        <w:rPr>
          <w:rFonts w:ascii="Times New Roman" w:hAnsi="Times New Roman"/>
          <w:b w:val="0"/>
          <w:i w:val="0"/>
          <w:sz w:val="24"/>
        </w:rPr>
        <w:t>, and FF fall together. Although 10¹² cm⁻² yields the best performance, the final device targets 10¹⁴ cm⁻², a realistic fabrication goal, since achieving interface defect densities below 10¹⁴ cm⁻² consistently in RbGeI</w:t>
      </w:r>
      <w:r>
        <w:rPr>
          <w:rFonts w:ascii="Times New Roman" w:hAnsi="Times New Roman"/>
          <w:b w:val="0"/>
          <w:i w:val="0"/>
          <w:sz w:val="24"/>
          <w:vertAlign w:val="subscript"/>
        </w:rPr>
        <w:t>3</w:t>
      </w:r>
      <w:r>
        <w:rPr>
          <w:rFonts w:ascii="Times New Roman" w:hAnsi="Times New Roman"/>
          <w:b w:val="0"/>
          <w:i w:val="0"/>
          <w:sz w:val="24"/>
        </w:rPr>
        <w:t xml:space="preserve">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w:t>
      </w:r>
    </w:p>
    <w:p>
      <w:pPr>
        <w:keepNext/>
        <w:keepLines/>
        <w:spacing w:before="200" w:after="80"/>
        <w:jc w:val="center"/>
      </w:pPr>
      <w:r>
        <w:drawing>
          <wp:inline xmlns:a="http://schemas.openxmlformats.org/drawingml/2006/main" xmlns:pic="http://schemas.openxmlformats.org/drawingml/2006/picture">
            <wp:extent cx="4680000" cy="3087205"/>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7.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 xml:space="preserve"> interfacial defect density. Performance degrades sharply above 10¹⁴ cm⁻². The RbGeI</w:t>
      </w:r>
      <w:r>
        <w:rPr>
          <w:rFonts w:ascii="Times New Roman" w:hAnsi="Times New Roman"/>
          <w:b w:val="0"/>
          <w:i/>
          <w:sz w:val="20"/>
          <w:vertAlign w:val="subscript"/>
        </w:rPr>
        <w:t>3</w:t>
      </w:r>
      <w:r>
        <w:rPr>
          <w:rFonts w:ascii="Times New Roman" w:hAnsi="Times New Roman"/>
          <w:b w:val="0"/>
          <w:i/>
          <w:sz w:val="20"/>
        </w:rPr>
        <w:t>/CuI interface (Section V.G) was also evaluated and found to be significantly more defect-tolerant: PCE decreased only from 19.79% to 18.19% as defect density increased from 10¹² to 10¹⁸ cm⁻², confirming that the 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 xml:space="preserve"> interface is the performance-limiting heterojunction in this device.</w:t>
      </w:r>
    </w:p>
    <w:p>
      <w:pPr>
        <w:pStyle w:val="Heading2"/>
        <w:keepNext/>
        <w:spacing w:before="200" w:after="80" w:line="360" w:lineRule="auto"/>
      </w:pPr>
      <w:r>
        <w:rPr>
          <w:rFonts w:ascii="Times New Roman" w:hAnsi="Times New Roman"/>
          <w:b/>
          <w:i/>
          <w:sz w:val="24"/>
        </w:rPr>
        <w:t>G. Effect of RbGeI</w:t>
      </w:r>
      <w:r>
        <w:rPr>
          <w:rFonts w:ascii="Times New Roman" w:hAnsi="Times New Roman"/>
          <w:b/>
          <w:i/>
          <w:sz w:val="24"/>
          <w:vertAlign w:val="subscript"/>
        </w:rPr>
        <w:t>3</w:t>
      </w:r>
      <w:r>
        <w:rPr>
          <w:rFonts w:ascii="Times New Roman" w:hAnsi="Times New Roman"/>
          <w:b/>
          <w:i/>
          <w:sz w:val="24"/>
        </w:rPr>
        <w:t>/CuI interfacial defect density</w:t>
      </w:r>
    </w:p>
    <w:p>
      <w:pPr>
        <w:spacing w:line="360" w:lineRule="auto" w:before="120" w:after="120"/>
        <w:ind w:firstLine="283"/>
        <w:jc w:val="both"/>
      </w:pPr>
      <w:r>
        <w:rPr>
          <w:rFonts w:ascii="Times New Roman" w:hAnsi="Times New Roman"/>
          <w:b w:val="0"/>
          <w:i w:val="0"/>
          <w:sz w:val="24"/>
        </w:rPr>
        <w:t>The defect density at the RbGeI</w:t>
      </w:r>
      <w:r>
        <w:rPr>
          <w:rFonts w:ascii="Times New Roman" w:hAnsi="Times New Roman"/>
          <w:b w:val="0"/>
          <w:i w:val="0"/>
          <w:sz w:val="24"/>
          <w:vertAlign w:val="subscript"/>
        </w:rPr>
        <w:t>3</w:t>
      </w:r>
      <w:r>
        <w:rPr>
          <w:rFonts w:ascii="Times New Roman" w:hAnsi="Times New Roman"/>
          <w:b w:val="0"/>
          <w:i w:val="0"/>
          <w:sz w:val="24"/>
        </w:rPr>
        <w:t>/CuI heterojunction was varied from 10¹² to 10¹⁸ cm⁻² while all other parameters were held constant. In contrast to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interface, the RbGeI3/CuI interface is far more defect-tolerant</w:t>
      </w:r>
      <w:r>
        <w:rPr>
          <w:rFonts w:ascii="Times New Roman" w:hAnsi="Times New Roman"/>
          <w:b w:val="0"/>
          <w:i w:val="0"/>
          <w:sz w:val="24"/>
          <w:vertAlign w:val="subscript"/>
        </w:rPr>
      </w:r>
      <w:r>
        <w:rPr>
          <w:rFonts w:ascii="Times New Roman" w:hAnsi="Times New Roman"/>
          <w:b w:val="0"/>
          <w:i w:val="0"/>
          <w:sz w:val="24"/>
        </w:rPr>
        <w:t>: PCE decreased only from 19.79% to 18.19% as the interfacial defect density increased from 10¹² to 10¹⁸ cm⁻². This confirms that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interface is the performance-limiting heterojunction in this device. The final device uses 10¹⁴ cm⁻² here as well, matching the value set at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interface (Section V.F).</w:t>
      </w:r>
    </w:p>
    <w:p>
      <w:pPr>
        <w:keepNext/>
        <w:keepLines/>
        <w:jc w:val="center"/>
      </w:pPr>
      <w:r/>
      <w:r>
        <w:drawing>
          <wp:inline xmlns:a="http://schemas.openxmlformats.org/drawingml/2006/main" xmlns:pic="http://schemas.openxmlformats.org/drawingml/2006/picture">
            <wp:extent cx="4457700" cy="2940562"/>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57700" cy="2940562"/>
                    </a:xfrm>
                    <a:prstGeom prst="rect"/>
                  </pic:spPr>
                </pic:pic>
              </a:graphicData>
            </a:graphic>
          </wp:inline>
        </w:drawing>
      </w:r>
    </w:p>
    <w:p>
      <w:pPr>
        <w:jc w:val="center"/>
      </w:pPr>
      <w:r>
        <w:rPr>
          <w:sz w:val="20"/>
        </w:rPr>
        <w:t>Fig. 8.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/CuI interfacial defect density. The interface is markedly more defect-tolerant than the TiO</w:t>
      </w:r>
      <w:r>
        <w:rPr>
          <w:sz w:val="20"/>
          <w:vertAlign w:val="subscript"/>
        </w:rPr>
        <w:t>2</w:t>
      </w:r>
      <w:r>
        <w:rPr>
          <w:sz w:val="20"/>
        </w:rPr>
        <w:t>/RbGeI</w:t>
      </w:r>
      <w:r>
        <w:rPr>
          <w:sz w:val="20"/>
          <w:vertAlign w:val="subscript"/>
        </w:rPr>
        <w:t>3</w:t>
      </w:r>
      <w:r>
        <w:rPr>
          <w:sz w:val="20"/>
        </w:rPr>
        <w:t xml:space="preserve"> interface; 10¹⁴ cm⁻² is retained.</w:t>
      </w:r>
    </w:p>
    <w:p>
      <w:pPr>
        <w:pStyle w:val="Heading2"/>
        <w:keepNext/>
        <w:spacing w:before="200" w:after="8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b w:val="0"/>
          <w:i w:val="0"/>
          <w:sz w:val="24"/>
        </w:rPr>
        <w:t>The absorber bandgap determines which wavelengths of sunlight are absorbed. It was varied from 1.3 to 1.7 eV with all other parameters held constant. V</w:t>
      </w:r>
      <w:r>
        <w:rPr>
          <w:rFonts w:ascii="Times New Roman" w:hAnsi="Times New Roman"/>
          <w:b w:val="0"/>
          <w:i w:val="0"/>
          <w:sz w:val="24"/>
          <w:vertAlign w:val="subscript"/>
        </w:rPr>
        <w:t>o</w:t>
      </w:r>
      <w:r>
        <w:rPr>
          <w:rFonts w:ascii="Times New Roman" w:hAnsi="Times New Roman"/>
          <w:b w:val="0"/>
          <w:i w:val="0"/>
          <w:sz w:val="24"/>
        </w:rPr>
        <w:t>c rose from 0.840 V at 1.3 eV to 1.002 V at 1.7 eV, as expected from increased quasi-Fermi-level splitting, while J</w:t>
      </w:r>
      <w:r>
        <w:rPr>
          <w:rFonts w:ascii="Times New Roman" w:hAnsi="Times New Roman"/>
          <w:b w:val="0"/>
          <w:i w:val="0"/>
          <w:sz w:val="24"/>
          <w:vertAlign w:val="subscript"/>
        </w:rPr>
        <w:t>s</w:t>
      </w:r>
      <w:r>
        <w:rPr>
          <w:rFonts w:ascii="Times New Roman" w:hAnsi="Times New Roman"/>
          <w:b w:val="0"/>
          <w:i w:val="0"/>
          <w:sz w:val="24"/>
        </w:rPr>
        <w:t>c dropped from 33.59 to 20.30 mA/cm² because the wider gap excludes more of the solar spectrum.</w:t>
      </w:r>
    </w:p>
    <w:p>
      <w:pPr>
        <w:spacing w:line="360" w:lineRule="auto" w:before="120" w:after="120"/>
        <w:ind w:firstLine="283"/>
        <w:jc w:val="both"/>
      </w:pPr>
      <w:r>
        <w:rPr>
          <w:rFonts w:ascii="Times New Roman" w:hAnsi="Times New Roman" w:cs="Times New Roman"/>
          <w:b w:val="0"/>
          <w:i w:val="0"/>
          <w:sz w:val="24"/>
        </w:rPr>
        <w:t>That sits close to the Shockley–Queisser optimum for a single junction (≈1.34 eV) [36], so 1.4 eV is kept. The corresponding cutoff wavelength is λc = 1240 / 1.4 ≈ 886 nm, consistent with the absorption edge observed in the quantum-efficiency spectrum of Section V.M.</w:t>
      </w:r>
    </w:p>
    <w:p>
      <w:pPr>
        <w:keepNext/>
        <w:keepLines/>
        <w:spacing w:before="200" w:after="8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9.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bandgap. PCE peaks at 1.4 eV, close to the Shockley–Queisser optimum.</w:t>
      </w:r>
    </w:p>
    <w:p>
      <w:pPr>
        <w:pStyle w:val="Heading2"/>
        <w:keepNext/>
        <w:spacing w:before="200" w:after="80" w:line="360" w:lineRule="auto"/>
      </w:pPr>
      <w:r>
        <w:rPr>
          <w:rFonts w:ascii="Times New Roman" w:hAnsi="Times New Roman"/>
          <w:b/>
          <w:i/>
          <w:sz w:val="24"/>
        </w:rPr>
        <w:t>I. Effect of TiO</w:t>
      </w:r>
      <w:r>
        <w:rPr>
          <w:rFonts w:ascii="Times New Roman" w:hAnsi="Times New Roman"/>
          <w:b/>
          <w:i/>
          <w:sz w:val="24"/>
          <w:vertAlign w:val="subscript"/>
        </w:rPr>
        <w:t>2</w:t>
      </w:r>
      <w:r>
        <w:rPr>
          <w:rFonts w:ascii="Times New Roman" w:hAnsi="Times New Roman"/>
          <w:b/>
          <w:i/>
          <w:sz w:val="24"/>
        </w:rPr>
        <w:t xml:space="preserve"> ETL thickness</w:t>
      </w:r>
    </w:p>
    <w:p>
      <w:pPr>
        <w:spacing w:line="360" w:lineRule="auto" w:before="120" w:after="120"/>
        <w:ind w:firstLine="283"/>
        <w:jc w:val="both"/>
      </w:pPr>
      <w:r>
        <w:rPr>
          <w:rFonts w:ascii="Times New Roman" w:hAnsi="Times New Roman"/>
          <w:b w:val="0"/>
          <w:i w:val="0"/>
          <w:sz w:val="24"/>
        </w:rPr>
        <w:t>TiO</w:t>
      </w:r>
      <w:r>
        <w:rPr>
          <w:rFonts w:ascii="Times New Roman" w:hAnsi="Times New Roman"/>
          <w:b w:val="0"/>
          <w:i w:val="0"/>
          <w:sz w:val="24"/>
          <w:vertAlign w:val="subscript"/>
        </w:rPr>
        <w:t>2</w:t>
      </w:r>
      <w:r>
        <w:rPr>
          <w:rFonts w:ascii="Times New Roman" w:hAnsi="Times New Roman"/>
          <w:b w:val="0"/>
          <w:i w:val="0"/>
          <w:sz w:val="24"/>
        </w:rPr>
        <w:t xml:space="preserve"> thickness affects electron extraction, carrier transport, and optical transmission. It was varied from 0.01 to 0.09 µm with all other parameters held constant. PCE was highest at 10 nm (21.12%), declining to a local minimum of 18.72% at 0.04 µm before partially recovering to 19.97% at 0.09 µm.</w:t>
      </w:r>
    </w:p>
    <w:p>
      <w:pPr>
        <w:keepNext/>
        <w:keepLines/>
        <w:spacing w:before="200" w:after="80"/>
        <w:jc w:val="center"/>
      </w:pPr>
      <w:r>
        <w:drawing>
          <wp:inline xmlns:a="http://schemas.openxmlformats.org/drawingml/2006/main" xmlns:pic="http://schemas.openxmlformats.org/drawingml/2006/picture">
            <wp:extent cx="4680000" cy="3087205"/>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10.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TiO</w:t>
      </w:r>
      <w:r>
        <w:rPr>
          <w:rFonts w:ascii="Times New Roman" w:hAnsi="Times New Roman"/>
          <w:b w:val="0"/>
          <w:i/>
          <w:sz w:val="20"/>
          <w:vertAlign w:val="subscript"/>
        </w:rPr>
        <w:t>2</w:t>
      </w:r>
      <w:r>
        <w:rPr>
          <w:rFonts w:ascii="Times New Roman" w:hAnsi="Times New Roman"/>
          <w:b w:val="0"/>
          <w:i/>
          <w:sz w:val="20"/>
        </w:rPr>
        <w:t xml:space="preserve"> ETL thickness. PCE is highest at the thinnest ETL (10 nm), reflecting the shorter electron transport path.</w:t>
      </w:r>
    </w:p>
    <w:p>
      <w:pPr>
        <w:pStyle w:val="Heading2"/>
        <w:keepNext/>
        <w:spacing w:before="200" w:after="8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b w:val="0"/>
          <w:i w:val="0"/>
          <w:sz w:val="24"/>
        </w:rPr>
        <w:t>The CuI HTL thickness was swept from 0.1 to 1.9 µm. The effect on device performance was negligible: PCE varied by less than 0.002 percentage points, and V</w:t>
      </w:r>
      <w:r>
        <w:rPr>
          <w:rFonts w:ascii="Times New Roman" w:hAnsi="Times New Roman"/>
          <w:b w:val="0"/>
          <w:i w:val="0"/>
          <w:sz w:val="24"/>
          <w:vertAlign w:val="subscript"/>
        </w:rPr>
        <w:t>oc</w:t>
      </w:r>
      <w:r>
        <w:rPr>
          <w:rFonts w:ascii="Times New Roman" w:hAnsi="Times New Roman"/>
          <w:b w:val="0"/>
          <w:i w:val="0"/>
          <w:sz w:val="24"/>
        </w:rPr>
        <w:t>, J</w:t>
      </w:r>
      <w:r>
        <w:rPr>
          <w:rFonts w:ascii="Times New Roman" w:hAnsi="Times New Roman"/>
          <w:b w:val="0"/>
          <w:i w:val="0"/>
          <w:sz w:val="24"/>
          <w:vertAlign w:val="subscript"/>
        </w:rPr>
        <w:t>sc</w:t>
      </w:r>
      <w:r>
        <w:rPr>
          <w:rFonts w:ascii="Times New Roman" w:hAnsi="Times New Roman"/>
          <w:b w:val="0"/>
          <w:i w:val="0"/>
          <w:sz w:val="24"/>
        </w:rPr>
        <w:t>, and FF were essentially constant. A thickness of 100 nm was selected to minimize material usage.</w:t>
      </w:r>
    </w:p>
    <w:p>
      <w:pPr>
        <w:keepNext/>
        <w:keepLines/>
        <w:jc w:val="center"/>
      </w:pPr>
      <w:r/>
      <w:r>
        <w:drawing>
          <wp:inline xmlns:a="http://schemas.openxmlformats.org/drawingml/2006/main" xmlns:pic="http://schemas.openxmlformats.org/drawingml/2006/picture">
            <wp:extent cx="4457700" cy="2940562"/>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57700" cy="2940562"/>
                    </a:xfrm>
                    <a:prstGeom prst="rect"/>
                  </pic:spPr>
                </pic:pic>
              </a:graphicData>
            </a:graphic>
          </wp:inline>
        </w:drawing>
      </w:r>
    </w:p>
    <w:p>
      <w:pPr>
        <w:jc w:val="center"/>
      </w:pPr>
      <w:r>
        <w:rPr>
          <w:sz w:val="20"/>
        </w:rPr>
        <w:t>Fig. 11. Variation of PCE, V</w:t>
      </w:r>
      <w:r>
        <w:rPr>
          <w:sz w:val="20"/>
          <w:vertAlign w:val="subscript"/>
        </w:rPr>
        <w:t>oc</w:t>
      </w:r>
      <w:r>
        <w:rPr>
          <w:sz w:val="20"/>
        </w:rPr>
        <w:t>, J</w:t>
      </w:r>
      <w:r>
        <w:rPr>
          <w:sz w:val="20"/>
          <w:vertAlign w:val="subscript"/>
        </w:rPr>
        <w:t>sc</w:t>
      </w:r>
      <w:r>
        <w:rPr>
          <w:sz w:val="20"/>
        </w:rPr>
        <w:t>, and FF with CuI HTL thickness. The performance is essentially independent of HTL thickness; 100 nm is retained to minimise material usage.</w:t>
      </w:r>
    </w:p>
    <w:p>
      <w:pPr>
        <w:pStyle w:val="Heading2"/>
        <w:keepNext/>
        <w:spacing w:before="200" w:after="80" w:line="360" w:lineRule="auto"/>
      </w:pPr>
      <w:r>
        <w:rPr>
          <w:rFonts w:ascii="Times New Roman" w:hAnsi="Times New Roman"/>
          <w:b/>
          <w:i/>
          <w:sz w:val="24"/>
        </w:rPr>
        <w:t>K. Effect of conduction-band effective density of states N</w:t>
      </w:r>
      <w:r>
        <w:rPr>
          <w:rFonts w:ascii="Times New Roman" w:hAnsi="Times New Roman"/>
          <w:b/>
          <w:i/>
          <w:sz w:val="24"/>
          <w:vertAlign w:val="subscript"/>
        </w:rPr>
        <w:t>C</w:t>
      </w:r>
    </w:p>
    <w:p>
      <w:pPr>
        <w:spacing w:line="360" w:lineRule="auto" w:before="120" w:after="120"/>
        <w:ind w:firstLine="283"/>
        <w:jc w:val="both"/>
      </w:pPr>
      <w:r>
        <w:rPr>
          <w:rFonts w:ascii="Times New Roman" w:hAnsi="Times New Roman"/>
          <w:b w:val="0"/>
          <w:i w:val="0"/>
          <w:sz w:val="24"/>
        </w:rPr>
        <w:t>N</w:t>
      </w:r>
      <w:r>
        <w:rPr>
          <w:rFonts w:ascii="Times New Roman" w:hAnsi="Times New Roman"/>
          <w:b w:val="0"/>
          <w:i w:val="0"/>
          <w:sz w:val="24"/>
          <w:vertAlign w:val="subscript"/>
        </w:rPr>
        <w:t>C</w:t>
      </w:r>
      <w:r>
        <w:rPr>
          <w:rFonts w:ascii="Times New Roman" w:hAnsi="Times New Roman"/>
          <w:b w:val="0"/>
          <w:i w:val="0"/>
          <w:sz w:val="24"/>
        </w:rPr>
        <w:t xml:space="preserve"> was varied from 1×10¹⁷ to 1×10²⁰ cm⁻³. PCE decreased monotonically from 20.65% to 18.15%, driven by a drop in V</w:t>
      </w:r>
      <w:r>
        <w:rPr>
          <w:rFonts w:ascii="Times New Roman" w:hAnsi="Times New Roman"/>
          <w:b w:val="0"/>
          <w:i w:val="0"/>
          <w:sz w:val="24"/>
          <w:vertAlign w:val="subscript"/>
        </w:rPr>
        <w:t>oc</w:t>
      </w:r>
      <w:r>
        <w:rPr>
          <w:rFonts w:ascii="Times New Roman" w:hAnsi="Times New Roman"/>
          <w:b w:val="0"/>
          <w:i w:val="0"/>
          <w:sz w:val="24"/>
        </w:rPr>
        <w:t xml:space="preserve"> (0.859 to 0.764 V), while J</w:t>
      </w:r>
      <w:r>
        <w:rPr>
          <w:rFonts w:ascii="Times New Roman" w:hAnsi="Times New Roman"/>
          <w:b w:val="0"/>
          <w:i w:val="0"/>
          <w:sz w:val="24"/>
          <w:vertAlign w:val="subscript"/>
        </w:rPr>
        <w:t>sc</w:t>
      </w:r>
      <w:r>
        <w:rPr>
          <w:rFonts w:ascii="Times New Roman" w:hAnsi="Times New Roman"/>
          <w:b w:val="0"/>
          <w:i w:val="0"/>
          <w:sz w:val="24"/>
        </w:rPr>
        <w:t xml:space="preserve"> remained constant at ~30.46 mA/cm². The lowest N</w:t>
      </w:r>
      <w:r>
        <w:rPr>
          <w:rFonts w:ascii="Times New Roman" w:hAnsi="Times New Roman"/>
          <w:b w:val="0"/>
          <w:i w:val="0"/>
          <w:sz w:val="24"/>
          <w:vertAlign w:val="subscript"/>
        </w:rPr>
        <w:t>C</w:t>
      </w:r>
      <w:r>
        <w:rPr>
          <w:rFonts w:ascii="Times New Roman" w:hAnsi="Times New Roman"/>
          <w:b w:val="0"/>
          <w:i w:val="0"/>
          <w:sz w:val="24"/>
        </w:rPr>
        <w:t xml:space="preserve"> in the sweep, 1×10¹⁷ cm⁻³, is used in the final device.</w:t>
      </w:r>
    </w:p>
    <w:p>
      <w:pPr>
        <w:keepNext/>
        <w:keepLines/>
        <w:jc w:val="center"/>
      </w:pPr>
      <w:r/>
      <w:r>
        <w:drawing>
          <wp:inline xmlns:a="http://schemas.openxmlformats.org/drawingml/2006/main" xmlns:pic="http://schemas.openxmlformats.org/drawingml/2006/picture">
            <wp:extent cx="4457700" cy="2940562"/>
            <wp:docPr id="21" name="Picture 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457700" cy="2940562"/>
                    </a:xfrm>
                    <a:prstGeom prst="rect"/>
                  </pic:spPr>
                </pic:pic>
              </a:graphicData>
            </a:graphic>
          </wp:inline>
        </w:drawing>
      </w:r>
    </w:p>
    <w:p>
      <w:pPr>
        <w:jc w:val="center"/>
      </w:pPr>
      <w:r>
        <w:rPr>
          <w:sz w:val="20"/>
        </w:rPr>
        <w:t>Fig. 12. Variation of PCE, V</w:t>
      </w:r>
      <w:r>
        <w:rPr>
          <w:sz w:val="20"/>
          <w:vertAlign w:val="subscript"/>
        </w:rPr>
        <w:t>oc</w:t>
      </w:r>
      <w:r>
        <w:rPr>
          <w:sz w:val="20"/>
        </w:rPr>
        <w:t>, J</w:t>
      </w:r>
      <w:r>
        <w:rPr>
          <w:sz w:val="20"/>
          <w:vertAlign w:val="subscript"/>
        </w:rPr>
        <w:t>sc</w:t>
      </w:r>
      <w:r>
        <w:rPr>
          <w:sz w:val="20"/>
        </w:rPr>
        <w:t>, and FF with conduction-band effective density of states N</w:t>
      </w:r>
      <w:r>
        <w:rPr>
          <w:sz w:val="20"/>
          <w:vertAlign w:val="subscript"/>
        </w:rPr>
        <w:t>C</w:t>
      </w:r>
      <w:r>
        <w:rPr>
          <w:sz w:val="20"/>
        </w:rPr>
        <w:t>. Lower N</w:t>
      </w:r>
      <w:r>
        <w:rPr>
          <w:sz w:val="20"/>
          <w:vertAlign w:val="subscript"/>
        </w:rPr>
        <w:t>C</w:t>
      </w:r>
      <w:r>
        <w:rPr>
          <w:sz w:val="20"/>
        </w:rPr>
        <w:t xml:space="preserve"> is preferred; the best value of 10¹⁷ cm⁻³ is retained.</w:t>
      </w:r>
    </w:p>
    <w:p>
      <w:pPr>
        <w:pStyle w:val="Heading2"/>
        <w:keepNext/>
        <w:spacing w:before="200" w:after="80" w:line="360" w:lineRule="auto"/>
      </w:pPr>
      <w:r>
        <w:rPr>
          <w:rFonts w:ascii="Times New Roman" w:hAnsi="Times New Roman"/>
          <w:b/>
          <w:i/>
          <w:sz w:val="24"/>
        </w:rPr>
        <w:t>L. Effect of valence-band effective density of states N</w:t>
      </w:r>
      <w:r>
        <w:rPr>
          <w:rFonts w:ascii="Times New Roman" w:hAnsi="Times New Roman"/>
          <w:b/>
          <w:i/>
          <w:sz w:val="24"/>
          <w:vertAlign w:val="subscript"/>
        </w:rPr>
        <w:t>V</w:t>
      </w:r>
    </w:p>
    <w:p>
      <w:pPr>
        <w:spacing w:line="360" w:lineRule="auto" w:before="120" w:after="120"/>
        <w:ind w:firstLine="283"/>
        <w:jc w:val="both"/>
      </w:pPr>
      <w:r>
        <w:rPr>
          <w:rFonts w:ascii="Times New Roman" w:hAnsi="Times New Roman"/>
          <w:b w:val="0"/>
          <w:i w:val="0"/>
          <w:sz w:val="24"/>
        </w:rPr>
        <w:t>N</w:t>
      </w:r>
      <w:r>
        <w:rPr>
          <w:rFonts w:ascii="Times New Roman" w:hAnsi="Times New Roman"/>
          <w:b w:val="0"/>
          <w:i w:val="0"/>
          <w:sz w:val="24"/>
          <w:vertAlign w:val="subscript"/>
        </w:rPr>
        <w:t>V</w:t>
      </w:r>
      <w:r>
        <w:rPr>
          <w:rFonts w:ascii="Times New Roman" w:hAnsi="Times New Roman"/>
          <w:b w:val="0"/>
          <w:i w:val="0"/>
          <w:sz w:val="24"/>
        </w:rPr>
        <w:t xml:space="preserve"> was varied from 1×10¹⁷ to 1×10²⁰ cm⁻³. PCE decreased from 23.54% to 18.86% as V</w:t>
      </w:r>
      <w:r>
        <w:rPr>
          <w:rFonts w:ascii="Times New Roman" w:hAnsi="Times New Roman"/>
          <w:b w:val="0"/>
          <w:i w:val="0"/>
          <w:sz w:val="24"/>
          <w:vertAlign w:val="subscript"/>
        </w:rPr>
        <w:t>oc</w:t>
      </w:r>
      <w:r>
        <w:rPr>
          <w:rFonts w:ascii="Times New Roman" w:hAnsi="Times New Roman"/>
          <w:b w:val="0"/>
          <w:i w:val="0"/>
          <w:sz w:val="24"/>
        </w:rPr>
        <w:t xml:space="preserve"> dropped from 0.945 to 0.780 V, with J</w:t>
      </w:r>
      <w:r>
        <w:rPr>
          <w:rFonts w:ascii="Times New Roman" w:hAnsi="Times New Roman"/>
          <w:b w:val="0"/>
          <w:i w:val="0"/>
          <w:sz w:val="24"/>
          <w:vertAlign w:val="subscript"/>
        </w:rPr>
        <w:t>sc</w:t>
      </w:r>
      <w:r>
        <w:rPr>
          <w:rFonts w:ascii="Times New Roman" w:hAnsi="Times New Roman"/>
          <w:b w:val="0"/>
          <w:i w:val="0"/>
          <w:sz w:val="24"/>
        </w:rPr>
        <w:t xml:space="preserve"> unchanged. The effect of N</w:t>
      </w:r>
      <w:r>
        <w:rPr>
          <w:rFonts w:ascii="Times New Roman" w:hAnsi="Times New Roman"/>
          <w:b w:val="0"/>
          <w:i w:val="0"/>
          <w:sz w:val="24"/>
          <w:vertAlign w:val="subscript"/>
        </w:rPr>
        <w:t>V</w:t>
      </w:r>
      <w:r>
        <w:rPr>
          <w:rFonts w:ascii="Times New Roman" w:hAnsi="Times New Roman"/>
          <w:b w:val="0"/>
          <w:i w:val="0"/>
          <w:sz w:val="24"/>
        </w:rPr>
        <w:t xml:space="preserve"> was more pronounced than that of N</w:t>
      </w:r>
      <w:r>
        <w:rPr>
          <w:rFonts w:ascii="Times New Roman" w:hAnsi="Times New Roman"/>
          <w:b w:val="0"/>
          <w:i w:val="0"/>
          <w:sz w:val="24"/>
          <w:vertAlign w:val="subscript"/>
        </w:rPr>
        <w:t>C</w:t>
      </w:r>
      <w:r>
        <w:rPr>
          <w:rFonts w:ascii="Times New Roman" w:hAnsi="Times New Roman"/>
          <w:b w:val="0"/>
          <w:i w:val="0"/>
          <w:sz w:val="24"/>
        </w:rPr>
        <w:t>. N</w:t>
      </w:r>
      <w:r>
        <w:rPr>
          <w:rFonts w:ascii="Times New Roman" w:hAnsi="Times New Roman"/>
          <w:b w:val="0"/>
          <w:i w:val="0"/>
          <w:sz w:val="24"/>
          <w:vertAlign w:val="subscript"/>
        </w:rPr>
        <w:t>V</w:t>
      </w:r>
      <w:r>
        <w:rPr>
          <w:rFonts w:ascii="Times New Roman" w:hAnsi="Times New Roman"/>
          <w:b w:val="0"/>
          <w:i w:val="0"/>
          <w:sz w:val="24"/>
        </w:rPr>
        <w:t xml:space="preserve"> = 1×10¹⁷ cm⁻³ closes the optimization at its best-performing value.</w:t>
      </w:r>
    </w:p>
    <w:p>
      <w:pPr>
        <w:keepNext/>
        <w:keepLines/>
        <w:jc w:val="center"/>
      </w:pPr>
      <w:r/>
      <w:r>
        <w:drawing>
          <wp:inline xmlns:a="http://schemas.openxmlformats.org/drawingml/2006/main" xmlns:pic="http://schemas.openxmlformats.org/drawingml/2006/picture">
            <wp:extent cx="4457700" cy="2940562"/>
            <wp:docPr id="22" name="Picture 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57700" cy="2940562"/>
                    </a:xfrm>
                    <a:prstGeom prst="rect"/>
                  </pic:spPr>
                </pic:pic>
              </a:graphicData>
            </a:graphic>
          </wp:inline>
        </w:drawing>
      </w:r>
    </w:p>
    <w:p>
      <w:pPr>
        <w:jc w:val="center"/>
      </w:pPr>
      <w:r>
        <w:rPr>
          <w:sz w:val="20"/>
        </w:rPr>
        <w:t>Fig. 13. Variation of PCE, V</w:t>
      </w:r>
      <w:r>
        <w:rPr>
          <w:sz w:val="20"/>
          <w:vertAlign w:val="subscript"/>
        </w:rPr>
        <w:t>oc</w:t>
      </w:r>
      <w:r>
        <w:rPr>
          <w:sz w:val="20"/>
        </w:rPr>
        <w:t>, J</w:t>
      </w:r>
      <w:r>
        <w:rPr>
          <w:sz w:val="20"/>
          <w:vertAlign w:val="subscript"/>
        </w:rPr>
        <w:t>sc</w:t>
      </w:r>
      <w:r>
        <w:rPr>
          <w:sz w:val="20"/>
        </w:rPr>
        <w:t>, and FF with valence-band effective density of states N</w:t>
      </w:r>
      <w:r>
        <w:rPr>
          <w:sz w:val="20"/>
          <w:vertAlign w:val="subscript"/>
        </w:rPr>
        <w:t>V</w:t>
      </w:r>
      <w:r>
        <w:rPr>
          <w:sz w:val="20"/>
        </w:rPr>
        <w:t>. The effect is more pronounced than for N</w:t>
      </w:r>
      <w:r>
        <w:rPr>
          <w:sz w:val="20"/>
          <w:vertAlign w:val="subscript"/>
        </w:rPr>
        <w:t>C</w:t>
      </w:r>
      <w:r>
        <w:rPr>
          <w:sz w:val="20"/>
        </w:rPr>
        <w:t>; the best value of 10¹⁷ cm⁻³ is retained.</w:t>
      </w:r>
    </w:p>
    <w:p>
      <w:pPr>
        <w:pStyle w:val="Heading2"/>
        <w:keepNext/>
        <w:spacing w:before="200" w:after="8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The quantum efficiency spectrum of the optimized device (Figure 14) shows the ratio of collected carriers to incident photons across wavelength. QE rises from 34.52% at 300 nm to 49.18% at 350 nm and reaches approximately 100% at 400 nm. The lower ultraviolet QE reflects surface recombination: high-energy photons are absorbed near the front interface, where some carriers recombine before collection [21,37].</w:t>
      </w:r>
    </w:p>
    <w:p>
      <w:pPr>
        <w:spacing w:line="360" w:lineRule="auto" w:before="120" w:after="120"/>
        <w:ind w:firstLine="283"/>
        <w:jc w:val="both"/>
      </w:pPr>
      <w:r>
        <w:rPr>
          <w:rFonts w:ascii="Times New Roman" w:hAnsi="Times New Roman" w:cs="Times New Roman"/>
          <w:b w:val="0"/>
          <w:i w:val="0"/>
          <w:sz w:val="24"/>
        </w:rPr>
        <w:t>QE remains near 100% between 400 and 650 nm, indicating excellent visible-range absorption. Beyond 650 nm, QE declines to 76% at 850 nm. A sharp cutoff near 900 nm corresponds to the absorber bandgap of 1.4 eV (λc ≈ 886 nm).</w:t>
      </w:r>
    </w:p>
    <w:p>
      <w:pPr>
        <w:keepNext/>
        <w:keepLines/>
        <w:spacing w:before="200" w:after="8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14. Variation of quantum efficiency (QE) with incident wavelength of the optimized solar cell. The cutoff at ≈886 nm corresponds to the absorber bandgap of 1.4 eV.</w:t>
      </w:r>
    </w:p>
    <w:p>
      <w:pPr>
        <w:pStyle w:val="Heading2"/>
        <w:keepNext/>
        <w:spacing w:before="200" w:after="8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b w:val="0"/>
          <w:i w:val="0"/>
          <w:sz w:val="24"/>
        </w:rPr>
        <w:t>The equilibrium band diagram (Figure 15) shows the energy alignment across the device. The CuI/RbGeI</w:t>
      </w:r>
      <w:r>
        <w:rPr>
          <w:rFonts w:ascii="Times New Roman" w:hAnsi="Times New Roman"/>
          <w:b w:val="0"/>
          <w:i w:val="0"/>
          <w:sz w:val="24"/>
          <w:vertAlign w:val="subscript"/>
        </w:rPr>
        <w:t>3</w:t>
      </w:r>
      <w:r>
        <w:rPr>
          <w:rFonts w:ascii="Times New Roman" w:hAnsi="Times New Roman"/>
          <w:b w:val="0"/>
          <w:i w:val="0"/>
          <w:sz w:val="24"/>
        </w:rPr>
        <w:t xml:space="preserve"> interface exhibits a conduction-band offset ΔE</w:t>
      </w:r>
      <w:r>
        <w:rPr>
          <w:rFonts w:ascii="Times New Roman" w:hAnsi="Times New Roman"/>
          <w:b w:val="0"/>
          <w:i w:val="0"/>
          <w:sz w:val="24"/>
          <w:vertAlign w:val="subscript"/>
        </w:rPr>
        <w:t>c</w:t>
      </w:r>
      <w:r>
        <w:rPr>
          <w:rFonts w:ascii="Times New Roman" w:hAnsi="Times New Roman"/>
          <w:b w:val="0"/>
          <w:i w:val="0"/>
          <w:sz w:val="24"/>
        </w:rPr>
        <w:t xml:space="preserve"> ≈ 1.8 eV, which blocks electron leakage to the back contact. At the RbGeI</w:t>
      </w:r>
      <w:r>
        <w:rPr>
          <w:rFonts w:ascii="Times New Roman" w:hAnsi="Times New Roman"/>
          <w:b w:val="0"/>
          <w:i w:val="0"/>
          <w:sz w:val="24"/>
          <w:vertAlign w:val="subscript"/>
        </w:rPr>
        <w:t>3</w:t>
      </w:r>
      <w:r>
        <w:rPr>
          <w:rFonts w:ascii="Times New Roman" w:hAnsi="Times New Roman"/>
          <w:b w:val="0"/>
          <w:i w:val="0"/>
          <w:sz w:val="24"/>
        </w:rPr>
        <w:t>/TiO</w:t>
      </w:r>
      <w:r>
        <w:rPr>
          <w:rFonts w:ascii="Times New Roman" w:hAnsi="Times New Roman"/>
          <w:b w:val="0"/>
          <w:i w:val="0"/>
          <w:sz w:val="24"/>
          <w:vertAlign w:val="subscript"/>
        </w:rPr>
        <w:t>2</w:t>
      </w:r>
      <w:r>
        <w:rPr>
          <w:rFonts w:ascii="Times New Roman" w:hAnsi="Times New Roman"/>
          <w:b w:val="0"/>
          <w:i w:val="0"/>
          <w:sz w:val="24"/>
        </w:rPr>
        <w:t xml:space="preserve"> interface, a small offset of 0.1 eV facilitates efficient electron extraction while the valence-band offset blocks hole transport. Both interfaces are electronically well passivated.</w:t>
      </w:r>
    </w:p>
    <w:p>
      <w:pPr>
        <w:spacing w:line="360" w:lineRule="auto" w:before="120" w:after="120"/>
        <w:ind w:firstLine="283"/>
        <w:jc w:val="both"/>
      </w:pPr>
      <w:r>
        <w:rPr>
          <w:rFonts w:ascii="Times New Roman" w:hAnsi="Times New Roman"/>
          <w:b w:val="0"/>
          <w:i w:val="0"/>
          <w:sz w:val="24"/>
        </w:rPr>
        <w:t>The CuI/RbGeI</w:t>
      </w:r>
      <w:r>
        <w:rPr>
          <w:rFonts w:ascii="Times New Roman" w:hAnsi="Times New Roman"/>
          <w:b w:val="0"/>
          <w:i w:val="0"/>
          <w:sz w:val="24"/>
          <w:vertAlign w:val="subscript"/>
        </w:rPr>
        <w:t>3</w:t>
      </w:r>
      <w:r>
        <w:rPr>
          <w:rFonts w:ascii="Times New Roman" w:hAnsi="Times New Roman"/>
          <w:b w:val="0"/>
          <w:i w:val="0"/>
          <w:sz w:val="24"/>
        </w:rPr>
        <w:t xml:space="preserve"> interface exhibits a pronounced conduction-band discontinuity. Based on the electron-affinity values of CuI (χ = 2.1 eV) and RbGeI</w:t>
      </w:r>
      <w:r>
        <w:rPr>
          <w:rFonts w:ascii="Times New Roman" w:hAnsi="Times New Roman"/>
          <w:b w:val="0"/>
          <w:i w:val="0"/>
          <w:sz w:val="24"/>
          <w:vertAlign w:val="subscript"/>
        </w:rPr>
        <w:t>3</w:t>
      </w:r>
      <w:r>
        <w:rPr>
          <w:rFonts w:ascii="Times New Roman" w:hAnsi="Times New Roman"/>
          <w:b w:val="0"/>
          <w:i w:val="0"/>
          <w:sz w:val="24"/>
        </w:rPr>
        <w:t xml:space="preserve"> (χ = 3.9 eV), the conduction-band offset is ΔE</w:t>
      </w:r>
      <w:r>
        <w:rPr>
          <w:rFonts w:ascii="Times New Roman" w:hAnsi="Times New Roman"/>
          <w:b w:val="0"/>
          <w:i w:val="0"/>
          <w:sz w:val="24"/>
          <w:vertAlign w:val="subscript"/>
        </w:rPr>
        <w:t>c</w:t>
      </w:r>
      <w:r>
        <w:rPr>
          <w:rFonts w:ascii="Times New Roman" w:hAnsi="Times New Roman"/>
          <w:b w:val="0"/>
          <w:i w:val="0"/>
          <w:sz w:val="24"/>
        </w:rPr>
        <w:t xml:space="preserve"> ≈ |2.1 − 3.9| = 1.8 eV, which acts as an effective electron-blocking barrier. The corresponding valence-band offset, computed using E</w:t>
      </w:r>
      <w:r>
        <w:rPr>
          <w:rFonts w:ascii="Times New Roman" w:hAnsi="Times New Roman"/>
          <w:b w:val="0"/>
          <w:i w:val="0"/>
          <w:sz w:val="24"/>
          <w:vertAlign w:val="subscript"/>
        </w:rPr>
        <w:t>v</w:t>
      </w:r>
      <w:r>
        <w:rPr>
          <w:rFonts w:ascii="Times New Roman" w:hAnsi="Times New Roman"/>
          <w:b w:val="0"/>
          <w:i w:val="0"/>
          <w:sz w:val="24"/>
        </w:rPr>
        <w:t xml:space="preserve"> = −(E</w:t>
      </w:r>
      <w:r>
        <w:rPr>
          <w:rFonts w:ascii="Times New Roman" w:hAnsi="Times New Roman"/>
          <w:b w:val="0"/>
          <w:i w:val="0"/>
          <w:sz w:val="24"/>
          <w:vertAlign w:val="subscript"/>
        </w:rPr>
        <w:t>g</w:t>
      </w:r>
      <w:r>
        <w:rPr>
          <w:rFonts w:ascii="Times New Roman" w:hAnsi="Times New Roman"/>
          <w:b w:val="0"/>
          <w:i w:val="0"/>
          <w:sz w:val="24"/>
        </w:rPr>
        <w:t xml:space="preserve"> + χ), is ΔE</w:t>
      </w:r>
      <w:r>
        <w:rPr>
          <w:rFonts w:ascii="Times New Roman" w:hAnsi="Times New Roman"/>
          <w:b w:val="0"/>
          <w:i w:val="0"/>
          <w:sz w:val="24"/>
          <w:vertAlign w:val="subscript"/>
        </w:rPr>
        <w:t>v</w:t>
      </w:r>
      <w:r>
        <w:rPr>
          <w:rFonts w:ascii="Times New Roman" w:hAnsi="Times New Roman"/>
          <w:b w:val="0"/>
          <w:i w:val="0"/>
          <w:sz w:val="24"/>
        </w:rPr>
        <w:t xml:space="preserve"> ≈ |(−5.30) − (−5.20)| ≈ 0.10 eV, indicating that the valence bands of CuI and RbGeI</w:t>
      </w:r>
      <w:r>
        <w:rPr>
          <w:rFonts w:ascii="Times New Roman" w:hAnsi="Times New Roman"/>
          <w:b w:val="0"/>
          <w:i w:val="0"/>
          <w:sz w:val="24"/>
          <w:vertAlign w:val="subscript"/>
        </w:rPr>
        <w:t>3</w:t>
      </w:r>
      <w:r>
        <w:rPr>
          <w:rFonts w:ascii="Times New Roman" w:hAnsi="Times New Roman"/>
          <w:b w:val="0"/>
          <w:i w:val="0"/>
          <w:sz w:val="24"/>
        </w:rPr>
        <w:t xml:space="preserve"> are nearly aligned. This small barrier enables holes generated inside the absorber to move efficiently into the HTL with minimal transport resistance. Within the 700 nm RbGeI</w:t>
      </w:r>
      <w:r>
        <w:rPr>
          <w:rFonts w:ascii="Times New Roman" w:hAnsi="Times New Roman"/>
          <w:b w:val="0"/>
          <w:i w:val="0"/>
          <w:sz w:val="24"/>
          <w:vertAlign w:val="subscript"/>
        </w:rPr>
        <w:t>3</w:t>
      </w:r>
      <w:r>
        <w:rPr>
          <w:rFonts w:ascii="Times New Roman" w:hAnsi="Times New Roman"/>
          <w:b w:val="0"/>
          <w:i w:val="0"/>
          <w:sz w:val="24"/>
        </w:rPr>
        <w:t xml:space="preserve"> absorber layer, both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remain nearly constant, indicating a relatively uniform electrostatic potential throughout the bulk absorber. The energy difference between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b w:val="0"/>
          <w:i w:val="0"/>
          <w:sz w:val="24"/>
        </w:rPr>
        <w:t>A second band discontinuity appears at the RbGeI</w:t>
      </w:r>
      <w:r>
        <w:rPr>
          <w:rFonts w:ascii="Times New Roman" w:hAnsi="Times New Roman"/>
          <w:b w:val="0"/>
          <w:i w:val="0"/>
          <w:sz w:val="24"/>
          <w:vertAlign w:val="subscript"/>
        </w:rPr>
        <w:t>3</w:t>
      </w:r>
      <w:r>
        <w:rPr>
          <w:rFonts w:ascii="Times New Roman" w:hAnsi="Times New Roman"/>
          <w:b w:val="0"/>
          <w:i w:val="0"/>
          <w:sz w:val="24"/>
        </w:rPr>
        <w:t>/TiO</w:t>
      </w:r>
      <w:r>
        <w:rPr>
          <w:rFonts w:ascii="Times New Roman" w:hAnsi="Times New Roman"/>
          <w:b w:val="0"/>
          <w:i w:val="0"/>
          <w:sz w:val="24"/>
          <w:vertAlign w:val="subscript"/>
        </w:rPr>
        <w:t>2</w:t>
      </w:r>
      <w:r>
        <w:rPr>
          <w:rFonts w:ascii="Times New Roman" w:hAnsi="Times New Roman"/>
          <w:b w:val="0"/>
          <w:i w:val="0"/>
          <w:sz w:val="24"/>
        </w:rPr>
        <w:t xml:space="preserve"> interface located approximately 800 nm from the back contact. Because the electron affinities of RbGeI</w:t>
      </w:r>
      <w:r>
        <w:rPr>
          <w:rFonts w:ascii="Times New Roman" w:hAnsi="Times New Roman"/>
          <w:b w:val="0"/>
          <w:i w:val="0"/>
          <w:sz w:val="24"/>
          <w:vertAlign w:val="subscript"/>
        </w:rPr>
        <w:t>3</w:t>
      </w:r>
      <w:r>
        <w:rPr>
          <w:rFonts w:ascii="Times New Roman" w:hAnsi="Times New Roman"/>
          <w:b w:val="0"/>
          <w:i w:val="0"/>
          <w:sz w:val="24"/>
        </w:rPr>
        <w:t xml:space="preserve"> and TiO</w:t>
      </w:r>
      <w:r>
        <w:rPr>
          <w:rFonts w:ascii="Times New Roman" w:hAnsi="Times New Roman"/>
          <w:b w:val="0"/>
          <w:i w:val="0"/>
          <w:sz w:val="24"/>
          <w:vertAlign w:val="subscript"/>
        </w:rPr>
        <w:t>2</w:t>
      </w:r>
      <w:r>
        <w:rPr>
          <w:rFonts w:ascii="Times New Roman" w:hAnsi="Times New Roman"/>
          <w:b w:val="0"/>
          <w:i w:val="0"/>
          <w:sz w:val="24"/>
        </w:rPr>
        <w:t xml:space="preserve"> are 3.9 eV and 4.0 eV respectively, the conduction-band offset is only about 0.10 eV, forming a slight spike at the interface that is generally considered beneficial because it promotes electron extraction while suppressing interfacial recombination. The calculated valence-band offset at this interface is approximately 1.90 eV (using E</w:t>
      </w:r>
      <w:r>
        <w:rPr>
          <w:rFonts w:ascii="Times New Roman" w:hAnsi="Times New Roman"/>
          <w:b w:val="0"/>
          <w:i w:val="0"/>
          <w:sz w:val="24"/>
          <w:vertAlign w:val="subscript"/>
        </w:rPr>
        <w:t>v</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 −5.30 eV and E</w:t>
      </w:r>
      <w:r>
        <w:rPr>
          <w:rFonts w:ascii="Times New Roman" w:hAnsi="Times New Roman"/>
          <w:b w:val="0"/>
          <w:i w:val="0"/>
          <w:sz w:val="24"/>
          <w:vertAlign w:val="subscript"/>
        </w:rPr>
        <w:t>v</w:t>
      </w:r>
      <w:r>
        <w:rPr>
          <w:rFonts w:ascii="Times New Roman" w:hAnsi="Times New Roman"/>
          <w:b w:val="0"/>
          <w:i w:val="0"/>
          <w:sz w:val="24"/>
        </w:rPr>
        <w:t>(TiO</w:t>
      </w:r>
      <w:r>
        <w:rPr>
          <w:rFonts w:ascii="Times New Roman" w:hAnsi="Times New Roman"/>
          <w:b w:val="0"/>
          <w:i w:val="0"/>
          <w:sz w:val="24"/>
          <w:vertAlign w:val="subscript"/>
        </w:rPr>
        <w:t>2</w:t>
      </w:r>
      <w:r>
        <w:rPr>
          <w:rFonts w:ascii="Times New Roman" w:hAnsi="Times New Roman"/>
          <w:b w:val="0"/>
          <w:i w:val="0"/>
          <w:sz w:val="24"/>
        </w:rPr>
        <w:t>) = −(4.0+3.2) = −7.2 eV, giving ΔE</w:t>
      </w:r>
      <w:r>
        <w:rPr>
          <w:rFonts w:ascii="Times New Roman" w:hAnsi="Times New Roman"/>
          <w:b w:val="0"/>
          <w:i w:val="0"/>
          <w:sz w:val="24"/>
          <w:vertAlign w:val="subscript"/>
        </w:rPr>
        <w:t>v</w:t>
      </w:r>
      <w:r>
        <w:rPr>
          <w:rFonts w:ascii="Times New Roman" w:hAnsi="Times New Roman"/>
          <w:b w:val="0"/>
          <w:i w:val="0"/>
          <w:sz w:val="24"/>
        </w:rPr>
        <w:t xml:space="preserve"> = |−5.30 − (−7.2)| = 1.90 eV), creating a substantial energetic barrier that effectively blocks holes from entering the TiO</w:t>
      </w:r>
      <w:r>
        <w:rPr>
          <w:rFonts w:ascii="Times New Roman" w:hAnsi="Times New Roman"/>
          <w:b w:val="0"/>
          <w:i w:val="0"/>
          <w:sz w:val="24"/>
          <w:vertAlign w:val="subscript"/>
        </w:rPr>
        <w:t>2</w:t>
      </w:r>
      <w:r>
        <w:rPr>
          <w:rFonts w:ascii="Times New Roman" w:hAnsi="Times New Roman"/>
          <w:b w:val="0"/>
          <w:i w:val="0"/>
          <w:sz w:val="24"/>
        </w:rPr>
        <w:t xml:space="preserve"> layer. The simulated quasi-Fermi levels further confirm efficient charge separation inside the device: the electron quasi-Fermi level F</w:t>
      </w:r>
      <w:r>
        <w:rPr>
          <w:rFonts w:ascii="Times New Roman" w:hAnsi="Times New Roman"/>
          <w:b w:val="0"/>
          <w:i w:val="0"/>
          <w:sz w:val="24"/>
          <w:vertAlign w:val="subscript"/>
        </w:rPr>
        <w:t>n</w:t>
      </w:r>
      <w:r>
        <w:rPr>
          <w:rFonts w:ascii="Times New Roman" w:hAnsi="Times New Roman"/>
          <w:b w:val="0"/>
          <w:i w:val="0"/>
          <w:sz w:val="24"/>
        </w:rPr>
        <w:t xml:space="preserve"> remains close to the conduction band throughout the absorber and ETL, whereas the hole quasi-Fermi level F</w:t>
      </w:r>
      <w:r>
        <w:rPr>
          <w:rFonts w:ascii="Times New Roman" w:hAnsi="Times New Roman"/>
          <w:b w:val="0"/>
          <w:i w:val="0"/>
          <w:sz w:val="24"/>
          <w:vertAlign w:val="subscript"/>
        </w:rPr>
        <w:t>p</w:t>
      </w:r>
      <w:r>
        <w:rPr>
          <w:rFonts w:ascii="Times New Roman" w:hAnsi="Times New Roman"/>
          <w:b w:val="0"/>
          <w:i w:val="0"/>
          <w:sz w:val="24"/>
        </w:rPr>
        <w:t xml:space="preserve"> closely follows the valence band. The separation between F</w:t>
      </w:r>
      <w:r>
        <w:rPr>
          <w:rFonts w:ascii="Times New Roman" w:hAnsi="Times New Roman"/>
          <w:b w:val="0"/>
          <w:i w:val="0"/>
          <w:sz w:val="24"/>
          <w:vertAlign w:val="subscript"/>
        </w:rPr>
        <w:t>n</w:t>
      </w:r>
      <w:r>
        <w:rPr>
          <w:rFonts w:ascii="Times New Roman" w:hAnsi="Times New Roman"/>
          <w:b w:val="0"/>
          <w:i w:val="0"/>
          <w:sz w:val="24"/>
        </w:rPr>
        <w:t xml:space="preserve"> and F</w:t>
      </w:r>
      <w:r>
        <w:rPr>
          <w:rFonts w:ascii="Times New Roman" w:hAnsi="Times New Roman"/>
          <w:b w:val="0"/>
          <w:i w:val="0"/>
          <w:sz w:val="24"/>
          <w:vertAlign w:val="subscript"/>
        </w:rPr>
        <w:t>p</w:t>
      </w:r>
      <w:r>
        <w:rPr>
          <w:rFonts w:ascii="Times New Roman" w:hAnsi="Times New Roman"/>
          <w:b w:val="0"/>
          <w:i w:val="0"/>
          <w:sz w:val="24"/>
        </w:rPr>
        <w:t xml:space="preserve"> across the absorber indicates strong photovoltage generation and reduced carrier recombination. Slight band bending near both heterojunctions reflects the built-in electric field established after contact formation, which drives photogenerated electrons toward the TiO</w:t>
      </w:r>
      <w:r>
        <w:rPr>
          <w:rFonts w:ascii="Times New Roman" w:hAnsi="Times New Roman"/>
          <w:b w:val="0"/>
          <w:i w:val="0"/>
          <w:sz w:val="24"/>
          <w:vertAlign w:val="subscript"/>
        </w:rPr>
        <w:t>2</w:t>
      </w:r>
      <w:r>
        <w:rPr>
          <w:rFonts w:ascii="Times New Roman" w:hAnsi="Times New Roman"/>
          <w:b w:val="0"/>
          <w:i w:val="0"/>
          <w:sz w:val="24"/>
        </w:rPr>
        <w:t>/FTO electrode and holes toward the CuI HTL.</w:t>
      </w:r>
    </w:p>
    <w:p>
      <w:pPr>
        <w:keepNext/>
        <w:keepLines/>
        <w:spacing w:before="200" w:after="80"/>
        <w:jc w:val="center"/>
      </w:pPr>
      <w:r>
        <w:drawing>
          <wp:inline xmlns:a="http://schemas.openxmlformats.org/drawingml/2006/main" xmlns:pic="http://schemas.openxmlformats.org/drawingml/2006/picture">
            <wp:extent cx="5040000" cy="3056034"/>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b w:val="0"/>
          <w:i/>
          <w:sz w:val="20"/>
        </w:rPr>
        <w:t>Fig. 15. Equilibrium energy band diagram of the optimized CuI/RbGeI</w:t>
      </w:r>
      <w:r>
        <w:rPr>
          <w:rFonts w:ascii="Times New Roman" w:hAnsi="Times New Roman"/>
          <w:b w:val="0"/>
          <w:i/>
          <w:sz w:val="20"/>
          <w:vertAlign w:val="subscript"/>
        </w:rPr>
        <w:t>3</w:t>
      </w:r>
      <w:r>
        <w:rPr>
          <w:rFonts w:ascii="Times New Roman" w:hAnsi="Times New Roman"/>
          <w:b w:val="0"/>
          <w:i/>
          <w:sz w:val="20"/>
        </w:rPr>
        <w:t>/TiO</w:t>
      </w:r>
      <w:r>
        <w:rPr>
          <w:rFonts w:ascii="Times New Roman" w:hAnsi="Times New Roman"/>
          <w:b w:val="0"/>
          <w:i/>
          <w:sz w:val="20"/>
          <w:vertAlign w:val="subscript"/>
        </w:rPr>
        <w:t>2</w:t>
      </w:r>
      <w:r>
        <w:rPr>
          <w:rFonts w:ascii="Times New Roman" w:hAnsi="Times New Roman"/>
          <w:b w:val="0"/>
          <w:i/>
          <w:sz w:val="20"/>
        </w:rPr>
        <w:t>/FTO solar cell, showing the conduction-band edge (E</w:t>
      </w:r>
      <w:r>
        <w:rPr>
          <w:rFonts w:ascii="Times New Roman" w:hAnsi="Times New Roman"/>
          <w:b w:val="0"/>
          <w:i/>
          <w:sz w:val="20"/>
          <w:vertAlign w:val="subscript"/>
        </w:rPr>
        <w:t>c</w:t>
      </w:r>
      <w:r>
        <w:rPr>
          <w:rFonts w:ascii="Times New Roman" w:hAnsi="Times New Roman"/>
          <w:b w:val="0"/>
          <w:i/>
          <w:sz w:val="20"/>
        </w:rPr>
        <w:t>, blue) and valence-band edge (E</w:t>
      </w:r>
      <w:r>
        <w:rPr>
          <w:rFonts w:ascii="Times New Roman" w:hAnsi="Times New Roman"/>
          <w:b w:val="0"/>
          <w:i/>
          <w:sz w:val="20"/>
          <w:vertAlign w:val="subscript"/>
        </w:rPr>
        <w:t>v</w:t>
      </w:r>
      <w:r>
        <w:rPr>
          <w:rFonts w:ascii="Times New Roman" w:hAnsi="Times New Roman"/>
          <w:b w:val="0"/>
          <w:i/>
          <w:sz w:val="20"/>
        </w:rPr>
        <w:t>, red) across all four layers. The 1.8 eV conduction-band offset at CuI/RbGeI</w:t>
      </w:r>
      <w:r>
        <w:rPr>
          <w:rFonts w:ascii="Times New Roman" w:hAnsi="Times New Roman"/>
          <w:b w:val="0"/>
          <w:i/>
          <w:sz w:val="20"/>
          <w:vertAlign w:val="subscript"/>
        </w:rPr>
        <w:t>3</w:t>
      </w:r>
      <w:r>
        <w:rPr>
          <w:rFonts w:ascii="Times New Roman" w:hAnsi="Times New Roman"/>
          <w:b w:val="0"/>
          <w:i/>
          <w:sz w:val="20"/>
        </w:rPr>
        <w:t xml:space="preserve"> blocks electron back-transfer, while the 0.10 eV conduction-band spike at RbGeI</w:t>
      </w:r>
      <w:r>
        <w:rPr>
          <w:rFonts w:ascii="Times New Roman" w:hAnsi="Times New Roman"/>
          <w:b w:val="0"/>
          <w:i/>
          <w:sz w:val="20"/>
          <w:vertAlign w:val="subscript"/>
        </w:rPr>
        <w:t>3</w:t>
      </w:r>
      <w:r>
        <w:rPr>
          <w:rFonts w:ascii="Times New Roman" w:hAnsi="Times New Roman"/>
          <w:b w:val="0"/>
          <w:i/>
          <w:sz w:val="20"/>
        </w:rPr>
        <w:t>/TiO</w:t>
      </w:r>
      <w:r>
        <w:rPr>
          <w:rFonts w:ascii="Times New Roman" w:hAnsi="Times New Roman"/>
          <w:b w:val="0"/>
          <w:i/>
          <w:sz w:val="20"/>
          <w:vertAlign w:val="subscript"/>
        </w:rPr>
        <w:t>2</w:t>
      </w:r>
      <w:r>
        <w:rPr>
          <w:rFonts w:ascii="Times New Roman" w:hAnsi="Times New Roman"/>
          <w:b w:val="0"/>
          <w:i/>
          <w:sz w:val="20"/>
        </w:rPr>
        <w:t xml:space="preserve"> supports efficient electron extraction.</w:t>
      </w:r>
    </w:p>
    <w:p>
      <w:pPr>
        <w:pStyle w:val="Heading2"/>
      </w:pPr>
      <w:r>
        <w:t>O. Current density–voltage characteristics</w:t>
      </w:r>
    </w:p>
    <w:p>
      <w:r>
        <w:rPr/>
        <w:t>The current density–voltage (J–V) characteristic of the consolidated optimized device under AM 1.5G illumination is shown in Figure 16. The curve is sharply rectangular, with an open-circuit voltage of V</w:t>
      </w:r>
      <w:r>
        <w:rPr>
          <w:vertAlign w:val="subscript"/>
        </w:rPr>
        <w:t>oc</w:t>
      </w:r>
      <w:r>
        <w:rPr/>
        <w:t xml:space="preserve"> = 1.1127 V, a short-circuit current density of J</w:t>
      </w:r>
      <w:r>
        <w:rPr>
          <w:vertAlign w:val="subscript"/>
        </w:rPr>
        <w:t>sc</w:t>
      </w:r>
      <w:r>
        <w:rPr/>
        <w:t xml:space="preserve"> = 30.3156 mA/cm², and a fill factor of 79.13%, yielding a PCE of 26.69%. The maximum-power point occurs near V = 0.96 V with J ≈ 27.9 mA/cm², where the instantaneous power density reaches 26.8 mW/cm². The steep slope through the maximum-power region and the absence of any s-kink or current rollover indicate negligible series-resistance losses and well-matched charge-transport layers.</w:t>
      </w:r>
    </w:p>
    <w:p>
      <w:pPr>
        <w:keepNext/>
        <w:keepLines/>
        <w:jc w:val="center"/>
      </w:pPr>
      <w:r/>
      <w:r>
        <w:drawing>
          <wp:inline xmlns:a="http://schemas.openxmlformats.org/drawingml/2006/main" xmlns:pic="http://schemas.openxmlformats.org/drawingml/2006/picture">
            <wp:extent cx="4457700" cy="2971800"/>
            <wp:docPr id="23" name="Picture 23"/>
            <wp:cNvGraphicFramePr>
              <a:graphicFrameLocks noChangeAspect="1"/>
            </wp:cNvGraphicFramePr>
            <a:graphic>
              <a:graphicData uri="http://schemas.openxmlformats.org/drawingml/2006/picture">
                <pic:pic>
                  <pic:nvPicPr>
                    <pic:cNvPr id="0" name="fig_jv_final.png"/>
                    <pic:cNvPicPr/>
                  </pic:nvPicPr>
                  <pic:blipFill>
                    <a:blip r:embed="rId37"/>
                    <a:stretch>
                      <a:fillRect/>
                    </a:stretch>
                  </pic:blipFill>
                  <pic:spPr>
                    <a:xfrm>
                      <a:off x="0" y="0"/>
                      <a:ext cx="4457700" cy="2971800"/>
                    </a:xfrm>
                    <a:prstGeom prst="rect"/>
                  </pic:spPr>
                </pic:pic>
              </a:graphicData>
            </a:graphic>
          </wp:inline>
        </w:drawing>
      </w:r>
    </w:p>
    <w:p>
      <w:pPr>
        <w:jc w:val="center"/>
      </w:pPr>
      <w:r>
        <w:rPr>
          <w:sz w:val="20"/>
        </w:rPr>
        <w:t>Fig. 16. Current density–voltage (J–V) curve of the optimized FTO/TiO</w:t>
      </w:r>
      <w:r>
        <w:rPr>
          <w:sz w:val="20"/>
          <w:vertAlign w:val="subscript"/>
        </w:rPr>
        <w:t>2</w:t>
      </w:r>
      <w:r>
        <w:rPr>
          <w:sz w:val="20"/>
        </w:rPr>
        <w:t>/RbGeI</w:t>
      </w:r>
      <w:r>
        <w:rPr>
          <w:sz w:val="20"/>
          <w:vertAlign w:val="subscript"/>
        </w:rPr>
        <w:t>3</w:t>
      </w:r>
      <w:r>
        <w:rPr>
          <w:sz w:val="20"/>
        </w:rPr>
        <w:t>/CuI/Au device under AM 1.5G illumination. The red dashed curve shows the output power density, with the maximum-power point marked.</w:t>
      </w:r>
    </w:p>
    <w:p>
      <w:pPr>
        <w:pStyle w:val="Heading2"/>
        <w:keepNext/>
        <w:spacing w:before="200" w:after="80" w:line="360" w:lineRule="auto"/>
      </w:pPr>
      <w:r>
        <w:rPr>
          <w:rFonts w:ascii="Times New Roman" w:hAnsi="Times New Roman" w:cs="Times New Roman"/>
          <w:b/>
          <w:i/>
          <w:sz w:val="24"/>
        </w:rPr>
        <w:t>P. Summary of optimized device parameters and final performance</w:t>
      </w:r>
    </w:p>
    <w:p>
      <w:pPr>
        <w:spacing w:line="360" w:lineRule="auto" w:before="120" w:after="120"/>
        <w:ind w:firstLine="283"/>
        <w:jc w:val="both"/>
      </w:pPr>
      <w:r>
        <w:rPr>
          <w:rFonts w:ascii="Times New Roman" w:hAnsi="Times New Roman"/>
          <w:b w:val="0"/>
          <w:i w:val="0"/>
          <w:sz w:val="24"/>
        </w:rPr>
        <w:t>After completing the optimization of all eleven selected device parameters, the final optimized values were incorporated into the proposed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solar cell. Table XIII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w:t>
      </w:r>
      <w:r>
        <w:rPr>
          <w:rFonts w:ascii="Times New Roman" w:hAnsi="Times New Roman"/>
          <w:b w:val="0"/>
          <w:i w:val="0"/>
          <w:sz w:val="24"/>
          <w:vertAlign w:val="subscript"/>
        </w:rPr>
        <w:t>oc</w:t>
      </w:r>
      <w:r>
        <w:rPr>
          <w:rFonts w:ascii="Times New Roman" w:hAnsi="Times New Roman"/>
          <w:b w:val="0"/>
          <w:i w:val="0"/>
          <w:sz w:val="24"/>
        </w:rPr>
        <w:t xml:space="preserve"> = 1.1127 V, J</w:t>
      </w:r>
      <w:r>
        <w:rPr>
          <w:rFonts w:ascii="Times New Roman" w:hAnsi="Times New Roman"/>
          <w:b w:val="0"/>
          <w:i w:val="0"/>
          <w:sz w:val="24"/>
          <w:vertAlign w:val="subscript"/>
        </w:rPr>
        <w:t>sc</w:t>
      </w:r>
      <w:r>
        <w:rPr>
          <w:rFonts w:ascii="Times New Roman" w:hAnsi="Times New Roman"/>
          <w:b w:val="0"/>
          <w:i w:val="0"/>
          <w:sz w:val="24"/>
        </w:rPr>
        <w:t xml:space="preserve"> = 30.3156 mA/cm², FF = 79.13%, and PCE = 26.69%. Note that the consolidated final-device values are obtained from this single SCAPS-1D simulation run and are not a simple arithmetic combination of the per-step optima reported in Figs. 3–13. The interaction between optimized parameters in the consolidated solution can shift individual performance metrics relative to their per-step values, the fill factor, for instance, drops from per-step optima above 83% (Figs. 7 and 10) to 79.13% in the consolidated device because the combined effect of the optimized bandgap, defect densities, DOS values, and ETL/HTL thicknesses produces a different J–V curve shape than any single-parameter optimum.</w:t>
      </w:r>
    </w:p>
    <w:p>
      <w:pPr>
        <w:keepNext/>
        <w:spacing w:before="200" w:after="80"/>
        <w:jc w:val="center"/>
      </w:pPr>
      <w:r>
        <w:rPr>
          <w:rFonts w:ascii="Times New Roman" w:hAnsi="Times New Roman"/>
          <w:b/>
          <w:i w:val="0"/>
          <w:sz w:val="20"/>
        </w:rPr>
        <w:t>Table XIII. Optimized material parameters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perovskite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tcPr>
          <w:p>
            <w:pPr>
              <w:jc w:val="center"/>
            </w:pPr>
            <w:r/>
            <w:r>
              <w:rPr>
                <w:rFonts w:ascii="Times New Roman" w:hAnsi="Times New Roman" w:cs="Times New Roman"/>
                <w:b/>
                <w:i w:val="0"/>
                <w:sz w:val="18"/>
              </w:rPr>
              <w:t>Parameter</w:t>
            </w:r>
          </w:p>
        </w:tc>
        <w:tc>
          <w:tcPr>
            <w:tcW w:type="dxa" w:w="1361"/>
          </w:tcPr>
          <w:p>
            <w:pPr>
              <w:jc w:val="center"/>
            </w:pPr>
            <w:r>
              <w:rPr/>
              <w:t>TiO</w:t>
            </w:r>
            <w:r>
              <w:rPr>
                <w:vertAlign w:val="subscript"/>
              </w:rPr>
              <w:t>2</w:t>
            </w:r>
          </w:p>
        </w:tc>
        <w:tc>
          <w:tcPr>
            <w:tcW w:type="dxa" w:w="1361"/>
          </w:tcPr>
          <w:p>
            <w:pPr>
              <w:jc w:val="center"/>
            </w:pPr>
            <w:r/>
            <w:r>
              <w:rPr>
                <w:rFonts w:ascii="Times New Roman" w:hAnsi="Times New Roman" w:cs="Times New Roman"/>
                <w:b/>
                <w:i w:val="0"/>
                <w:sz w:val="18"/>
              </w:rPr>
              <w:t>FTO</w:t>
            </w:r>
          </w:p>
        </w:tc>
        <w:tc>
          <w:tcPr>
            <w:tcW w:type="dxa" w:w="1361"/>
          </w:tcPr>
          <w:p>
            <w:pPr>
              <w:jc w:val="center"/>
            </w:pPr>
            <w:r>
              <w:rPr/>
              <w:t>RbGeI</w:t>
            </w:r>
            <w:r>
              <w:rPr>
                <w:vertAlign w:val="subscript"/>
              </w:rPr>
              <w:t>3</w:t>
            </w:r>
          </w:p>
        </w:tc>
        <w:tc>
          <w:tcPr>
            <w:tcW w:type="dxa" w:w="1361"/>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700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Pr/>
              <w:t>Bandgap E</w:t>
            </w:r>
            <w:r>
              <w:rPr>
                <w:vertAlign w:val="subscript"/>
              </w:rPr>
              <w:t>g</w:t>
            </w:r>
            <w:r>
              <w:rPr/>
              <w:t xml:space="preserve">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Pr/>
              <w:t>Dielectric permittivity ε</w:t>
            </w:r>
            <w:r>
              <w:rPr>
                <w:vertAlign w:val="subscript"/>
              </w:rPr>
              <w:t>r</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15</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Pr/>
              <w:t>CB effective DOS N</w:t>
            </w:r>
            <w:r>
              <w:rPr>
                <w:vertAlign w:val="subscript"/>
              </w:rPr>
              <w:t>C</w:t>
            </w:r>
            <w:r>
              <w:rPr/>
              <w:t xml:space="preserve">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Pr/>
              <w:t>VB effective DOS N</w:t>
            </w:r>
            <w:r>
              <w:rPr>
                <w:vertAlign w:val="subscript"/>
              </w:rPr>
              <w:t>V</w:t>
            </w:r>
            <w:r>
              <w:rPr/>
              <w:t xml:space="preserve">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Pr/>
              <w:t>Electron mobility μ</w:t>
            </w:r>
            <w:r>
              <w:rPr>
                <w:vertAlign w:val="subscript"/>
              </w:rPr>
              <w:t>e</w:t>
            </w:r>
            <w:r>
              <w:rPr/>
              <w:t xml:space="preserve">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Pr/>
              <w:t>Hole mobility μ</w:t>
            </w:r>
            <w:r>
              <w:rPr>
                <w:vertAlign w:val="subscript"/>
              </w:rPr>
              <w:t>p</w:t>
            </w:r>
            <w:r>
              <w:rPr/>
              <w:t xml:space="preserve">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Pr/>
              <w:t>Donor density N</w:t>
            </w:r>
            <w:r>
              <w:rPr>
                <w:vertAlign w:val="subscript"/>
              </w:rPr>
              <w:t>D</w:t>
            </w:r>
            <w:r>
              <w:rPr/>
              <w:t xml:space="preserve">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Pr/>
              <w:t>Acceptor density N</w:t>
            </w:r>
            <w:r>
              <w:rPr>
                <w:vertAlign w:val="subscript"/>
              </w:rPr>
              <w:t>a</w:t>
            </w:r>
            <w:r>
              <w:rPr/>
              <w:t xml:space="preserve">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Pr/>
              <w:t>Bulk defect density N</w:t>
            </w:r>
            <w:r>
              <w:rPr>
                <w:vertAlign w:val="subscript"/>
              </w:rPr>
              <w:t>t</w:t>
            </w:r>
            <w:r>
              <w:rPr/>
              <w:t xml:space="preserve">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b w:val="0"/>
          <w:i/>
          <w:sz w:val="20"/>
        </w:rPr>
        <w:t>Note: The optimized interface defect density was 1 × 10¹⁴ cm⁻² for both the 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 xml:space="preserve"> and RbGeI</w:t>
      </w:r>
      <w:r>
        <w:rPr>
          <w:rFonts w:ascii="Times New Roman" w:hAnsi="Times New Roman"/>
          <w:b w:val="0"/>
          <w:i/>
          <w:sz w:val="20"/>
          <w:vertAlign w:val="subscript"/>
        </w:rPr>
        <w:t>3</w:t>
      </w:r>
      <w:r>
        <w:rPr>
          <w:rFonts w:ascii="Times New Roman" w:hAnsi="Times New Roman"/>
          <w:b w:val="0"/>
          <w:i/>
          <w:sz w:val="20"/>
        </w:rPr>
        <w:t>/CuI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(1.1127 × 30.3156 × 0.7913) / 100 = 26.69%, which matches the SCAPS-1D output to within rounding, confirming the internal arithmetical consistency of the final reported device.</w:t>
      </w:r>
    </w:p>
    <w:p>
      <w:pPr>
        <w:pStyle w:val="Heading2"/>
      </w:pPr>
      <w:r>
        <w:t>Q.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w:t>
      </w:r>
      <w:r>
        <w:rPr>
          <w:rFonts w:ascii="Times New Roman" w:hAnsi="Times New Roman"/>
          <w:sz w:val="22"/>
          <w:vertAlign w:val="subscript"/>
        </w:rPr>
        <w:t>C</w:t>
      </w:r>
      <w:r>
        <w:rPr>
          <w:rFonts w:ascii="Times New Roman" w:hAnsi="Times New Roman"/>
          <w:sz w:val="22"/>
        </w:rPr>
        <w:t xml:space="preserve"> and N</w:t>
      </w:r>
      <w:r>
        <w:rPr>
          <w:rFonts w:ascii="Times New Roman" w:hAnsi="Times New Roman"/>
          <w:sz w:val="22"/>
          <w:vertAlign w:val="subscript"/>
        </w:rPr>
        <w:t>V</w:t>
      </w:r>
      <w:r>
        <w:rPr>
          <w:rFonts w:ascii="Times New Roman" w:hAnsi="Times New Roman"/>
          <w:sz w:val="22"/>
        </w:rPr>
        <w:t xml:space="preserve"> (1×10¹⁷–1×10¹⁹ cm⁻³ each), and dielectric constant (15–23).</w:t>
      </w:r>
    </w:p>
    <w:p>
      <w:pPr>
        <w:keepNext/>
        <w:keepLines/>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17. Uncertainty quantification results (N = 200). Histograms of PCE, V</w:t>
      </w:r>
      <w:r>
        <w:rPr>
          <w:rFonts w:ascii="Times New Roman" w:hAnsi="Times New Roman"/>
          <w:i/>
          <w:sz w:val="20"/>
          <w:vertAlign w:val="subscript"/>
        </w:rPr>
        <w:t>oc</w:t>
      </w:r>
      <w:r>
        <w:rPr>
          <w:rFonts w:ascii="Times New Roman" w:hAnsi="Times New Roman"/>
          <w:i/>
          <w:sz w:val="20"/>
        </w:rPr>
        <w:t>, J</w:t>
      </w:r>
      <w:r>
        <w:rPr>
          <w:rFonts w:ascii="Times New Roman" w:hAnsi="Times New Roman"/>
          <w:i/>
          <w:sz w:val="20"/>
          <w:vertAlign w:val="subscript"/>
        </w:rPr>
        <w:t>sc</w:t>
      </w:r>
      <w:r>
        <w:rPr>
          <w:rFonts w:ascii="Times New Roman" w:hAnsi="Times New Roman"/>
          <w:i/>
          <w:sz w:val="20"/>
        </w:rPr>
        <w:t>, and FF.</w:t>
      </w:r>
    </w:p>
    <w:p>
      <w:pPr>
        <w:jc w:val="both"/>
      </w:pPr>
      <w:r>
        <w:rPr>
          <w:rFonts w:ascii="Times New Roman" w:hAnsi="Times New Roman"/>
          <w:sz w:val="22"/>
        </w:rPr>
        <w:t>Mean PCE = 25.92 ± 1.78 % (median 26.02 %), with 5th/95th percentiles 22.68 % / 28.90 %. Mean V</w:t>
      </w:r>
      <w:r>
        <w:rPr>
          <w:rFonts w:ascii="Times New Roman" w:hAnsi="Times New Roman"/>
          <w:sz w:val="22"/>
          <w:vertAlign w:val="subscript"/>
        </w:rPr>
        <w:t>oc</w:t>
      </w:r>
      <w:r>
        <w:rPr>
          <w:rFonts w:ascii="Times New Roman" w:hAnsi="Times New Roman"/>
          <w:sz w:val="22"/>
        </w:rPr>
        <w:t xml:space="preserve"> = 1.087 ± 0.020 V. The UQ gives a 5th-to-95th percentile window of 22.68–28.90 %.</w:t>
      </w:r>
    </w:p>
    <w:p>
      <w:pPr>
        <w:pStyle w:val="Heading2"/>
      </w:pPr>
      <w:r>
        <w:t>R. Illumination dependence</w:t>
      </w:r>
    </w:p>
    <w:p>
      <w:r>
        <w:rPr/>
        <w:t>The performance of the optimized device was evaluated under illumination intensities ranging from 0.1 to 1.5 suns (Figure 18). J</w:t>
      </w:r>
      <w:r>
        <w:rPr>
          <w:vertAlign w:val="subscript"/>
        </w:rPr>
        <w:t>sc</w:t>
      </w:r>
      <w:r>
        <w:rPr/>
        <w:t xml:space="preserve"> scales almost linearly with intensity, as expected from the linear dependence of the photogenerated carrier density on the photon flux, whereas V</w:t>
      </w:r>
      <w:r>
        <w:rPr>
          <w:vertAlign w:val="subscript"/>
        </w:rPr>
        <w:t>oc</w:t>
      </w:r>
      <w:r>
        <w:rPr/>
        <w:t xml:space="preserve"> increases logarithmically with intensity. The logarithmic slope of V</w:t>
      </w:r>
      <w:r>
        <w:rPr>
          <w:vertAlign w:val="subscript"/>
        </w:rPr>
        <w:t>oc</w:t>
      </w:r>
      <w:r>
        <w:rPr/>
        <w:t xml:space="preserve"> versus illumination intensity corresponds to an ideality factor of n ≈ 1.17, indicating that Shockley–Read–Hall recombination through deep defects is not dominant under operating conditions. The device therefore operates efficiently across the full 0.1–1.5 sun range tested.</w:t>
      </w:r>
    </w:p>
    <w:p>
      <w:pPr>
        <w:keepNext/>
        <w:keepLines/>
        <w:jc w:val="center"/>
      </w:pPr>
      <w:r/>
      <w:r>
        <w:drawing>
          <wp:inline xmlns:a="http://schemas.openxmlformats.org/drawingml/2006/main" xmlns:pic="http://schemas.openxmlformats.org/drawingml/2006/picture">
            <wp:extent cx="4457700" cy="3109133"/>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457700" cy="3109133"/>
                    </a:xfrm>
                    <a:prstGeom prst="rect"/>
                  </pic:spPr>
                </pic:pic>
              </a:graphicData>
            </a:graphic>
          </wp:inline>
        </w:drawing>
      </w:r>
    </w:p>
    <w:p>
      <w:pPr>
        <w:jc w:val="center"/>
      </w:pPr>
      <w:r>
        <w:rPr>
          <w:sz w:val="20"/>
        </w:rPr>
        <w:t>Fig. 18. Variation of photovoltaic parameters of the optimized device with illumination intensity from 0.1 to 1.5 suns.</w:t>
      </w:r>
    </w:p>
    <w:p>
      <w:pPr>
        <w:pStyle w:val="Heading2"/>
      </w:pPr>
      <w:r>
        <w:t>S. Dark J–V characteristics</w:t>
      </w:r>
    </w:p>
    <w:p>
      <w:r>
        <w:rPr/>
        <w:t>The dark J–V characteristic of the optimized device (Figure 19) exhibits strong rectifying behavior. At ±1 V the forward current density exceeds the reverse value by a factor of 1.8×10¹⁰, giving a rectification ratio of the same order. The reverse leakage current density remains below 10⁻¹⁰ A/cm² at −1 V. Fitting the exponential forward region yields an ideality factor of n ≈ 1.1 and a very low reverse saturation current density of approximately J</w:t>
      </w:r>
      <w:r>
        <w:rPr>
          <w:vertAlign w:val="subscript"/>
        </w:rPr>
        <w:t>0</w:t>
      </w:r>
      <w:r>
        <w:rPr/>
        <w:t xml:space="preserve"> ≈ 10⁻¹² A/cm², confirming the high quality of the optimized bulk and interface layers and the absence of measurable shunt paths.</w:t>
      </w:r>
    </w:p>
    <w:p>
      <w:pPr>
        <w:keepNext/>
        <w:keepLines/>
        <w:jc w:val="center"/>
      </w:pPr>
      <w:r/>
      <w:r>
        <w:drawing>
          <wp:inline xmlns:a="http://schemas.openxmlformats.org/drawingml/2006/main" xmlns:pic="http://schemas.openxmlformats.org/drawingml/2006/picture">
            <wp:extent cx="4457700" cy="1853159"/>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457700" cy="1853159"/>
                    </a:xfrm>
                    <a:prstGeom prst="rect"/>
                  </pic:spPr>
                </pic:pic>
              </a:graphicData>
            </a:graphic>
          </wp:inline>
        </w:drawing>
      </w:r>
    </w:p>
    <w:p>
      <w:pPr>
        <w:jc w:val="center"/>
      </w:pPr>
      <w:r>
        <w:rPr>
          <w:sz w:val="20"/>
        </w:rPr>
        <w:t>Fig. 19. Dark J–V characteristic of the optimized device. The forward branch is exponential over nearly three decades; the reverse branch remains below 10⁻¹⁰ A/cm².</w:t>
      </w:r>
    </w:p>
    <w:p>
      <w:pPr>
        <w:pStyle w:val="Heading2"/>
      </w:pPr>
      <w:r>
        <w:t>T. Temperature Dependence</w:t>
      </w:r>
    </w:p>
    <w:p>
      <w:pPr>
        <w:jc w:val="both"/>
      </w:pPr>
      <w:r>
        <w:rPr>
          <w:rFonts w:ascii="Times New Roman" w:hAnsi="Times New Roman"/>
          <w:sz w:val="22"/>
        </w:rPr>
        <w:t>Temperature dependence from 280 K to 400 K (20 K increments) under AM 1.5G.</w:t>
      </w:r>
    </w:p>
    <w:p>
      <w:pPr>
        <w:keepNext/>
        <w:keepLines/>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20. Temperature dependence of photovoltaic parameters from 280 K to 400 K.</w:t>
      </w:r>
    </w:p>
    <w:p>
      <w:pPr>
        <w:jc w:val="both"/>
      </w:pPr>
      <w:r>
        <w:rPr>
          <w:rFonts w:ascii="Times New Roman" w:hAnsi="Times New Roman"/>
          <w:sz w:val="22"/>
        </w:rPr>
        <w:t>dV</w:t>
      </w:r>
      <w:r>
        <w:rPr>
          <w:rFonts w:ascii="Times New Roman" w:hAnsi="Times New Roman"/>
          <w:sz w:val="22"/>
          <w:vertAlign w:val="subscript"/>
        </w:rPr>
        <w:t>oc</w:t>
      </w:r>
      <w:r>
        <w:rPr>
          <w:rFonts w:ascii="Times New Roman" w:hAnsi="Times New Roman"/>
          <w:sz w:val="22"/>
        </w:rPr>
        <w:t>/dT = −1.10 mV/K, dPCE/dT = −0.0304 %/K. J</w:t>
      </w:r>
      <w:r>
        <w:rPr>
          <w:rFonts w:ascii="Times New Roman" w:hAnsi="Times New Roman"/>
          <w:sz w:val="22"/>
          <w:vertAlign w:val="subscript"/>
        </w:rPr>
        <w:t>sc</w:t>
      </w:r>
      <w:r>
        <w:rPr>
          <w:rFonts w:ascii="Times New Roman" w:hAnsi="Times New Roman"/>
          <w:sz w:val="22"/>
        </w:rPr>
        <w:t xml:space="preserve"> increases marginally. FF peaks at 340 K (80.27 %). Device retains &gt;85 % of RT PCE at 400 K.</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b w:val="0"/>
          <w:i w:val="0"/>
          <w:sz w:val="24"/>
        </w:rPr>
        <w:t>Table XIV compares the optimized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device with recently reported RbGeI</w:t>
      </w:r>
      <w:r>
        <w:rPr>
          <w:rFonts w:ascii="Times New Roman" w:hAnsi="Times New Roman"/>
          <w:b w:val="0"/>
          <w:i w:val="0"/>
          <w:sz w:val="24"/>
          <w:vertAlign w:val="subscript"/>
        </w:rPr>
        <w:t>3</w:t>
      </w:r>
      <w:r>
        <w:rPr>
          <w:rFonts w:ascii="Times New Roman" w:hAnsi="Times New Roman"/>
          <w:b w:val="0"/>
          <w:i w:val="0"/>
          <w:sz w:val="24"/>
        </w:rPr>
        <w:t>-based and related lead-free Ge/Sn-based perovskite solar cells. The proposed device delivers the highest PCE (26.69%) and the highest V</w:t>
      </w:r>
      <w:r>
        <w:rPr>
          <w:rFonts w:ascii="Times New Roman" w:hAnsi="Times New Roman"/>
          <w:b w:val="0"/>
          <w:i w:val="0"/>
          <w:sz w:val="24"/>
          <w:vertAlign w:val="subscript"/>
        </w:rPr>
        <w:t>oc</w:t>
      </w:r>
      <w:r>
        <w:rPr>
          <w:rFonts w:ascii="Times New Roman" w:hAnsi="Times New Roman"/>
          <w:b w:val="0"/>
          <w:i w:val="0"/>
          <w:sz w:val="24"/>
        </w:rPr>
        <w:t xml:space="preserve"> (1.1127 V) among the simulation studies, exceeding the previous best RbGeI</w:t>
      </w:r>
      <w:r>
        <w:rPr>
          <w:rFonts w:ascii="Times New Roman" w:hAnsi="Times New Roman"/>
          <w:b w:val="0"/>
          <w:i w:val="0"/>
          <w:sz w:val="24"/>
          <w:vertAlign w:val="subscript"/>
        </w:rPr>
        <w:t>3</w:t>
      </w:r>
      <w:r>
        <w:rPr>
          <w:rFonts w:ascii="Times New Roman" w:hAnsi="Times New Roman"/>
          <w:b w:val="0"/>
          <w:i w:val="0"/>
          <w:sz w:val="24"/>
        </w:rPr>
        <w:t xml:space="preserve"> result of 24.62% reported by Loumachi et al. [22] by 2.07 percentage points and the 18.44% reported by Raj et al. [25] by 8.25 percentage points. It also outperforms the simulation baseline of 10.11% reported by Pindolia et al. [14] by more than 16 percentage points. The performance is competitive with the best tin-based lead-free devices (including the 26.40% CsSnI</w:t>
      </w:r>
      <w:r>
        <w:rPr>
          <w:rFonts w:ascii="Times New Roman" w:hAnsi="Times New Roman"/>
          <w:b w:val="0"/>
          <w:i w:val="0"/>
          <w:sz w:val="24"/>
          <w:vertAlign w:val="subscript"/>
        </w:rPr>
        <w:t>3</w:t>
      </w:r>
      <w:r>
        <w:rPr>
          <w:rFonts w:ascii="Times New Roman" w:hAnsi="Times New Roman"/>
          <w:b w:val="0"/>
          <w:i w:val="0"/>
          <w:sz w:val="24"/>
        </w:rPr>
        <w:t xml:space="preserve"> device of Park et al. [38] and the 25.86% MASnI</w:t>
      </w:r>
      <w:r>
        <w:rPr>
          <w:rFonts w:ascii="Times New Roman" w:hAnsi="Times New Roman"/>
          <w:b w:val="0"/>
          <w:i w:val="0"/>
          <w:sz w:val="24"/>
          <w:vertAlign w:val="subscript"/>
        </w:rPr>
        <w:t>3</w:t>
      </w:r>
      <w:r>
        <w:rPr>
          <w:rFonts w:ascii="Times New Roman" w:hAnsi="Times New Roman"/>
          <w:b w:val="0"/>
          <w:i w:val="0"/>
          <w:sz w:val="24"/>
        </w:rPr>
        <w:t xml:space="preserve"> device of Islam et al. [39]), while avoiding the Sn²⁺ → Sn⁴⁺ oxidation that limits the long-term stability of tin-based absorbers. The proposed PCE also exceeds that of CZTS-HTL lead-free devices reported by Piñón Reyes et al. [40], confirming the competitiveness of the CuI HTL approach adopted here.</w:t>
      </w:r>
    </w:p>
    <w:p>
      <w:pPr>
        <w:spacing w:line="360" w:lineRule="auto" w:before="120" w:after="120"/>
        <w:ind w:firstLine="283"/>
        <w:jc w:val="both"/>
      </w:pPr>
      <w:r>
        <w:rPr>
          <w:rFonts w:ascii="Times New Roman" w:hAnsi="Times New Roman"/>
          <w:b w:val="0"/>
          <w:i w:val="0"/>
          <w:sz w:val="24"/>
        </w:rPr>
        <w:t>All comparator values listed in Table XIV were verified against the primary source literature. Two structural details in the Loumachi et al. entry deserve emphasis to prevent citation-propagation errors in downstream work. The ETL is C</w:t>
      </w:r>
      <w:r>
        <w:rPr>
          <w:rFonts w:ascii="Times New Roman" w:hAnsi="Times New Roman"/>
          <w:b w:val="0"/>
          <w:i w:val="0"/>
          <w:sz w:val="24"/>
          <w:vertAlign w:val="subscript"/>
        </w:rPr>
        <w:t>60</w:t>
      </w:r>
      <w:r>
        <w:rPr>
          <w:rFonts w:ascii="Times New Roman" w:hAnsi="Times New Roman"/>
          <w:b w:val="0"/>
          <w:i w:val="0"/>
          <w:sz w:val="24"/>
        </w:rPr>
        <w:t xml:space="preserve"> (buckminsterfullerene, frequently written “C60” in the literature), not “C6”. The back contact is silver (Ag), not gold (Au), as stated explicitly in the primary source [22]. The device string is therefore ITO/C</w:t>
      </w:r>
      <w:r>
        <w:rPr>
          <w:rFonts w:ascii="Times New Roman" w:hAnsi="Times New Roman"/>
          <w:b w:val="0"/>
          <w:i w:val="0"/>
          <w:sz w:val="24"/>
          <w:vertAlign w:val="subscript"/>
        </w:rPr>
        <w:t>60</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/CBTS/Ag. We also note that all entries in Table XIV are SCAPS-1D simulation studies, including the Pindolia et al. entry, which is a SCAPS-1D simulation paper (not an experimental study, despite occasional mischaracterization in the secondary literature).</w:t>
      </w:r>
    </w:p>
    <w:p>
      <w:pPr>
        <w:keepNext/>
        <w:spacing w:before="200" w:after="80"/>
        <w:jc w:val="center"/>
      </w:pPr>
      <w:r>
        <w:rPr>
          <w:rFonts w:ascii="Times New Roman" w:hAnsi="Times New Roman" w:cs="Times New Roman"/>
          <w:b/>
          <w:i w:val="0"/>
          <w:sz w:val="20"/>
        </w:rPr>
        <w:t>Table XIV. Comparison of the proposed device with recently reported lead-free perovskite solar cells. All comparator values verified against primary sources. All entries are SCAPS-1D simulation studies.</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rPr>
          <w:tblHeader w:val="true"/>
          <w:cantSplit w:val="true"/>
        </w:trPr>
        <w:tc>
          <w:tcPr>
            <w:tcW w:type="dxa" w:w="3118"/>
          </w:tcPr>
          <w:p>
            <w:pPr>
              <w:jc w:val="center"/>
            </w:pPr>
            <w:r/>
            <w:r>
              <w:rPr>
                <w:rFonts w:ascii="Times New Roman" w:hAnsi="Times New Roman" w:cs="Times New Roman"/>
                <w:b/>
                <w:i w:val="0"/>
                <w:sz w:val="18"/>
              </w:rPr>
              <w:t>Device Structure</w:t>
            </w:r>
          </w:p>
        </w:tc>
        <w:tc>
          <w:tcPr>
            <w:tcW w:type="dxa" w:w="964"/>
          </w:tcPr>
          <w:p>
            <w:pPr>
              <w:jc w:val="center"/>
            </w:pPr>
            <w:r>
              <w:rPr/>
              <w:t>V</w:t>
            </w:r>
            <w:r>
              <w:rPr>
                <w:vertAlign w:val="subscript"/>
              </w:rPr>
              <w:t>oc</w:t>
            </w:r>
            <w:r>
              <w:rPr/>
              <w:t xml:space="preserve"> (V)</w:t>
            </w:r>
          </w:p>
        </w:tc>
        <w:tc>
          <w:tcPr>
            <w:tcW w:type="dxa" w:w="1134"/>
          </w:tcPr>
          <w:p>
            <w:pPr>
              <w:jc w:val="center"/>
            </w:pPr>
            <w:r>
              <w:rPr/>
              <w:t>J</w:t>
            </w:r>
            <w:r>
              <w:rPr>
                <w:vertAlign w:val="subscript"/>
              </w:rPr>
              <w:t>sc</w:t>
            </w:r>
            <w:r>
              <w:rPr/>
              <w:t xml:space="preserve"> (mA/cm²)</w:t>
            </w:r>
          </w:p>
        </w:tc>
        <w:tc>
          <w:tcPr>
            <w:tcW w:type="dxa" w:w="794"/>
          </w:tcPr>
          <w:p>
            <w:pPr>
              <w:jc w:val="center"/>
            </w:pPr>
            <w:r/>
            <w:r>
              <w:rPr>
                <w:rFonts w:ascii="Times New Roman" w:hAnsi="Times New Roman" w:cs="Times New Roman"/>
                <w:b/>
                <w:i w:val="0"/>
                <w:sz w:val="18"/>
              </w:rPr>
              <w:t>FF (%)</w:t>
            </w:r>
          </w:p>
        </w:tc>
        <w:tc>
          <w:tcPr>
            <w:tcW w:type="dxa" w:w="794"/>
          </w:tcPr>
          <w:p>
            <w:pPr>
              <w:jc w:val="center"/>
            </w:pPr>
            <w:r/>
            <w:r>
              <w:rPr>
                <w:rFonts w:ascii="Times New Roman" w:hAnsi="Times New Roman" w:cs="Times New Roman"/>
                <w:b/>
                <w:i w:val="0"/>
                <w:sz w:val="18"/>
              </w:rPr>
              <w:t>PCE (%)</w:t>
            </w:r>
          </w:p>
        </w:tc>
        <w:tc>
          <w:tcPr>
            <w:tcW w:type="dxa" w:w="1134"/>
          </w:tcPr>
          <w:p>
            <w:pPr>
              <w:jc w:val="center"/>
            </w:pPr>
            <w:r/>
            <w:r>
              <w:rPr>
                <w:rFonts w:ascii="Times New Roman" w:hAnsi="Times New Roman" w:cs="Times New Roman"/>
                <w:b/>
                <w:i w:val="0"/>
                <w:sz w:val="18"/>
              </w:rPr>
              <w:t>Year [Ref.]</w:t>
            </w:r>
          </w:p>
        </w:tc>
        <w:tc>
          <w:tcPr>
            <w:tcW w:type="dxa" w:w="850"/>
          </w:tcPr>
          <w:p>
            <w:pPr>
              <w:jc w:val="center"/>
            </w:pPr>
            <w:r/>
            <w:r>
              <w:rPr>
                <w:rFonts w:ascii="Times New Roman" w:hAnsi="Times New Roman" w:cs="Times New Roman"/>
                <w:b/>
                <w:i w:val="0"/>
                <w:sz w:val="18"/>
              </w:rPr>
              <w:t>Method</w:t>
            </w:r>
          </w:p>
        </w:tc>
      </w:tr>
      <w:tr>
        <w:trPr>
          <w:cantSplit w:val="true"/>
        </w:trPr>
        <w:tc>
          <w:tcPr>
            <w:tcW w:type="dxa" w:w="3118"/>
          </w:tcPr>
          <w:p>
            <w:pPr>
              <w:jc w:val="left"/>
            </w:pPr>
            <w:r>
              <w:rPr/>
              <w:t>FTO/TiO</w:t>
            </w:r>
            <w:r>
              <w:rPr>
                <w:vertAlign w:val="subscript"/>
              </w:rPr>
              <w:t>2</w:t>
            </w:r>
            <w:r>
              <w:rPr/>
              <w:t>/RbGeI</w:t>
            </w:r>
            <w:r>
              <w:rPr>
                <w:vertAlign w:val="subscript"/>
              </w:rPr>
              <w:t>3</w:t>
            </w:r>
            <w:r>
              <w:rPr/>
              <w:t>/NiO/Ag</w:t>
            </w:r>
          </w:p>
        </w:tc>
        <w:tc>
          <w:tcPr>
            <w:tcW w:type="dxa" w:w="964"/>
          </w:tcPr>
          <w:p>
            <w:pPr>
              <w:jc w:val="center"/>
            </w:pPr>
            <w:r/>
            <w:r>
              <w:rPr>
                <w:rFonts w:ascii="Times New Roman" w:hAnsi="Times New Roman" w:cs="Times New Roman"/>
                <w:b w:val="0"/>
                <w:i w:val="0"/>
                <w:sz w:val="18"/>
              </w:rPr>
              <w:t>0.5311</w:t>
            </w:r>
          </w:p>
        </w:tc>
        <w:tc>
          <w:tcPr>
            <w:tcW w:type="dxa" w:w="1134"/>
          </w:tcPr>
          <w:p>
            <w:pPr>
              <w:jc w:val="center"/>
            </w:pPr>
            <w:r/>
            <w:r>
              <w:rPr>
                <w:rFonts w:ascii="Times New Roman" w:hAnsi="Times New Roman" w:cs="Times New Roman"/>
                <w:b w:val="0"/>
                <w:i w:val="0"/>
                <w:sz w:val="18"/>
              </w:rPr>
              <w:t>28.89</w:t>
            </w:r>
          </w:p>
        </w:tc>
        <w:tc>
          <w:tcPr>
            <w:tcW w:type="dxa" w:w="794"/>
          </w:tcPr>
          <w:p>
            <w:pPr>
              <w:jc w:val="center"/>
            </w:pPr>
            <w:r/>
            <w:r>
              <w:rPr>
                <w:rFonts w:ascii="Times New Roman" w:hAnsi="Times New Roman" w:cs="Times New Roman"/>
                <w:b w:val="0"/>
                <w:i w:val="0"/>
                <w:sz w:val="18"/>
              </w:rPr>
              <w:t>63.68</w:t>
            </w:r>
          </w:p>
        </w:tc>
        <w:tc>
          <w:tcPr>
            <w:tcW w:type="dxa" w:w="794"/>
          </w:tcPr>
          <w:p>
            <w:pPr>
              <w:jc w:val="center"/>
            </w:pPr>
            <w:r/>
            <w:r>
              <w:rPr>
                <w:rFonts w:ascii="Times New Roman" w:hAnsi="Times New Roman" w:cs="Times New Roman"/>
                <w:b w:val="0"/>
                <w:i w:val="0"/>
                <w:sz w:val="18"/>
              </w:rPr>
              <w:t>10.11</w:t>
            </w:r>
          </w:p>
        </w:tc>
        <w:tc>
          <w:tcPr>
            <w:tcW w:type="dxa" w:w="1134"/>
          </w:tcPr>
          <w:p>
            <w:pPr>
              <w:jc w:val="center"/>
            </w:pPr>
            <w:r/>
            <w:r>
              <w:rPr>
                <w:rFonts w:ascii="Times New Roman" w:hAnsi="Times New Roman" w:cs="Times New Roman"/>
                <w:b w:val="0"/>
                <w:i w:val="0"/>
                <w:sz w:val="18"/>
              </w:rPr>
              <w:t>2022 [14]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/CsGeI</w:t>
            </w:r>
            <w:r>
              <w:rPr>
                <w:vertAlign w:val="subscript"/>
              </w:rPr>
              <w:t>3</w:t>
            </w:r>
            <w:r>
              <w:rPr/>
              <w:t>/CuI/Au</w:t>
            </w:r>
          </w:p>
        </w:tc>
        <w:tc>
          <w:tcPr>
            <w:tcW w:type="dxa" w:w="964"/>
          </w:tcPr>
          <w:p>
            <w:pPr>
              <w:jc w:val="center"/>
            </w:pPr>
            <w:r/>
            <w:r>
              <w:rPr>
                <w:rFonts w:ascii="Times New Roman" w:hAnsi="Times New Roman" w:cs="Times New Roman"/>
                <w:b w:val="0"/>
                <w:i w:val="0"/>
                <w:sz w:val="18"/>
              </w:rPr>
              <w:t>0.667</w:t>
            </w:r>
          </w:p>
        </w:tc>
        <w:tc>
          <w:tcPr>
            <w:tcW w:type="dxa" w:w="1134"/>
          </w:tcPr>
          <w:p>
            <w:pPr>
              <w:jc w:val="center"/>
            </w:pPr>
            <w:r/>
            <w:r>
              <w:rPr>
                <w:rFonts w:ascii="Times New Roman" w:hAnsi="Times New Roman" w:cs="Times New Roman"/>
                <w:b w:val="0"/>
                <w:i w:val="0"/>
                <w:sz w:val="18"/>
              </w:rPr>
              <w:t>22.06</w:t>
            </w:r>
          </w:p>
        </w:tc>
        <w:tc>
          <w:tcPr>
            <w:tcW w:type="dxa" w:w="794"/>
          </w:tcPr>
          <w:p>
            <w:pPr>
              <w:jc w:val="center"/>
            </w:pPr>
            <w:r/>
            <w:r>
              <w:rPr>
                <w:rFonts w:ascii="Times New Roman" w:hAnsi="Times New Roman" w:cs="Times New Roman"/>
                <w:b w:val="0"/>
                <w:i w:val="0"/>
                <w:sz w:val="18"/>
              </w:rPr>
              <w:t>73.49</w:t>
            </w:r>
          </w:p>
        </w:tc>
        <w:tc>
          <w:tcPr>
            <w:tcW w:type="dxa" w:w="794"/>
          </w:tcPr>
          <w:p>
            <w:pPr>
              <w:jc w:val="center"/>
            </w:pPr>
            <w:r/>
            <w:r>
              <w:rPr>
                <w:rFonts w:ascii="Times New Roman" w:hAnsi="Times New Roman" w:cs="Times New Roman"/>
                <w:b w:val="0"/>
                <w:i w:val="0"/>
                <w:sz w:val="18"/>
              </w:rPr>
              <w:t>10.80</w:t>
            </w:r>
          </w:p>
        </w:tc>
        <w:tc>
          <w:tcPr>
            <w:tcW w:type="dxa" w:w="1134"/>
          </w:tcPr>
          <w:p>
            <w:pPr>
              <w:jc w:val="center"/>
            </w:pPr>
            <w:r/>
            <w:r>
              <w:rPr>
                <w:rFonts w:ascii="Times New Roman" w:hAnsi="Times New Roman" w:cs="Times New Roman"/>
                <w:b w:val="0"/>
                <w:i w:val="0"/>
                <w:sz w:val="18"/>
              </w:rPr>
              <w:t>2022 [24]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ITO/C</w:t>
            </w:r>
            <w:r>
              <w:rPr>
                <w:vertAlign w:val="subscript"/>
              </w:rPr>
              <w:t>60</w:t>
            </w:r>
            <w:r>
              <w:rPr/>
              <w:t>/RbGeI</w:t>
            </w:r>
            <w:r>
              <w:rPr>
                <w:vertAlign w:val="subscript"/>
              </w:rPr>
              <w:t>3</w:t>
            </w:r>
            <w:r>
              <w:rPr/>
              <w:t>/CBTS/Ag</w:t>
            </w:r>
          </w:p>
        </w:tc>
        <w:tc>
          <w:tcPr>
            <w:tcW w:type="dxa" w:w="964"/>
          </w:tcPr>
          <w:p>
            <w:pPr>
              <w:jc w:val="center"/>
            </w:pPr>
            <w:r/>
            <w:r>
              <w:rPr>
                <w:rFonts w:ascii="Times New Roman" w:hAnsi="Times New Roman" w:cs="Times New Roman"/>
                <w:b w:val="0"/>
                <w:i w:val="0"/>
                <w:sz w:val="18"/>
              </w:rPr>
              <w:t>0.99</w:t>
            </w:r>
          </w:p>
        </w:tc>
        <w:tc>
          <w:tcPr>
            <w:tcW w:type="dxa" w:w="1134"/>
          </w:tcPr>
          <w:p>
            <w:pPr>
              <w:jc w:val="center"/>
            </w:pPr>
            <w:r/>
            <w:r>
              <w:rPr>
                <w:rFonts w:ascii="Times New Roman" w:hAnsi="Times New Roman" w:cs="Times New Roman"/>
                <w:b w:val="0"/>
                <w:i w:val="0"/>
                <w:sz w:val="18"/>
              </w:rPr>
              <w:t>33.20</w:t>
            </w:r>
          </w:p>
        </w:tc>
        <w:tc>
          <w:tcPr>
            <w:tcW w:type="dxa" w:w="794"/>
          </w:tcPr>
          <w:p>
            <w:pPr>
              <w:jc w:val="center"/>
            </w:pPr>
            <w:r/>
            <w:r>
              <w:rPr>
                <w:rFonts w:ascii="Times New Roman" w:hAnsi="Times New Roman" w:cs="Times New Roman"/>
                <w:b w:val="0"/>
                <w:i w:val="0"/>
                <w:sz w:val="18"/>
              </w:rPr>
              <w:t>82.80</w:t>
            </w:r>
          </w:p>
        </w:tc>
        <w:tc>
          <w:tcPr>
            <w:tcW w:type="dxa" w:w="794"/>
          </w:tcPr>
          <w:p>
            <w:pPr>
              <w:jc w:val="center"/>
            </w:pPr>
            <w:r/>
            <w:r>
              <w:rPr>
                <w:rFonts w:ascii="Times New Roman" w:hAnsi="Times New Roman" w:cs="Times New Roman"/>
                <w:b w:val="0"/>
                <w:i w:val="0"/>
                <w:sz w:val="18"/>
              </w:rPr>
              <w:t>24.62</w:t>
            </w:r>
          </w:p>
        </w:tc>
        <w:tc>
          <w:tcPr>
            <w:tcW w:type="dxa" w:w="1134"/>
          </w:tcPr>
          <w:p>
            <w:pPr>
              <w:jc w:val="center"/>
            </w:pPr>
            <w:r/>
            <w:r>
              <w:rPr>
                <w:rFonts w:ascii="Times New Roman" w:hAnsi="Times New Roman" w:cs="Times New Roman"/>
                <w:b w:val="0"/>
                <w:i w:val="0"/>
                <w:sz w:val="18"/>
              </w:rPr>
              <w:t>2024 [22]</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/RbGeI</w:t>
            </w:r>
            <w:r>
              <w:rPr>
                <w:vertAlign w:val="subscript"/>
              </w:rPr>
              <w:t>3</w:t>
            </w:r>
            <w:r>
              <w:rPr/>
              <w:t>/PEDOT:PSS/Au</w:t>
            </w:r>
          </w:p>
        </w:tc>
        <w:tc>
          <w:tcPr>
            <w:tcW w:type="dxa" w:w="964"/>
          </w:tcPr>
          <w:p>
            <w:pPr>
              <w:jc w:val="center"/>
            </w:pPr>
            <w:r/>
            <w:r>
              <w:rPr>
                <w:rFonts w:ascii="Times New Roman" w:hAnsi="Times New Roman" w:cs="Times New Roman"/>
                <w:b w:val="0"/>
                <w:i w:val="0"/>
                <w:sz w:val="18"/>
              </w:rPr>
              <w:t>0.813</w:t>
            </w:r>
          </w:p>
        </w:tc>
        <w:tc>
          <w:tcPr>
            <w:tcW w:type="dxa" w:w="1134"/>
          </w:tcPr>
          <w:p>
            <w:pPr>
              <w:jc w:val="center"/>
            </w:pPr>
            <w:r/>
            <w:r>
              <w:rPr>
                <w:rFonts w:ascii="Times New Roman" w:hAnsi="Times New Roman" w:cs="Times New Roman"/>
                <w:b w:val="0"/>
                <w:i w:val="0"/>
                <w:sz w:val="18"/>
              </w:rPr>
              <w:t>30.84</w:t>
            </w:r>
          </w:p>
        </w:tc>
        <w:tc>
          <w:tcPr>
            <w:tcW w:type="dxa" w:w="794"/>
          </w:tcPr>
          <w:p>
            <w:pPr>
              <w:jc w:val="center"/>
            </w:pPr>
            <w:r/>
            <w:r>
              <w:rPr>
                <w:rFonts w:ascii="Times New Roman" w:hAnsi="Times New Roman" w:cs="Times New Roman"/>
                <w:b w:val="0"/>
                <w:i w:val="0"/>
                <w:sz w:val="18"/>
              </w:rPr>
              <w:t>74.19</w:t>
            </w:r>
          </w:p>
        </w:tc>
        <w:tc>
          <w:tcPr>
            <w:tcW w:type="dxa" w:w="794"/>
          </w:tcPr>
          <w:p>
            <w:pPr>
              <w:jc w:val="center"/>
            </w:pPr>
            <w:r/>
            <w:r>
              <w:rPr>
                <w:rFonts w:ascii="Times New Roman" w:hAnsi="Times New Roman" w:cs="Times New Roman"/>
                <w:b w:val="0"/>
                <w:i w:val="0"/>
                <w:sz w:val="18"/>
              </w:rPr>
              <w:t>18.44</w:t>
            </w:r>
          </w:p>
        </w:tc>
        <w:tc>
          <w:tcPr>
            <w:tcW w:type="dxa" w:w="1134"/>
          </w:tcPr>
          <w:p>
            <w:pPr>
              <w:jc w:val="center"/>
            </w:pPr>
            <w:r/>
            <w:r>
              <w:rPr>
                <w:rFonts w:ascii="Times New Roman" w:hAnsi="Times New Roman" w:cs="Times New Roman"/>
                <w:b w:val="0"/>
                <w:i w:val="0"/>
                <w:sz w:val="18"/>
              </w:rPr>
              <w:t>2025 [25]</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/MASnI</w:t>
            </w:r>
            <w:r>
              <w:rPr>
                <w:vertAlign w:val="subscript"/>
              </w:rPr>
              <w:t>3</w:t>
            </w:r>
            <w:r>
              <w:rPr/>
              <w:t>/CBTS/Au</w:t>
            </w:r>
          </w:p>
        </w:tc>
        <w:tc>
          <w:tcPr>
            <w:tcW w:type="dxa" w:w="964"/>
          </w:tcPr>
          <w:p>
            <w:pPr>
              <w:jc w:val="center"/>
            </w:pPr>
            <w:r/>
            <w:r>
              <w:rPr>
                <w:rFonts w:ascii="Times New Roman" w:hAnsi="Times New Roman" w:cs="Times New Roman"/>
                <w:b w:val="0"/>
                <w:i w:val="0"/>
                <w:sz w:val="18"/>
              </w:rPr>
              <w:t>1.030</w:t>
            </w:r>
          </w:p>
        </w:tc>
        <w:tc>
          <w:tcPr>
            <w:tcW w:type="dxa" w:w="1134"/>
          </w:tcPr>
          <w:p>
            <w:pPr>
              <w:jc w:val="center"/>
            </w:pPr>
            <w:r/>
            <w:r>
              <w:rPr>
                <w:rFonts w:ascii="Times New Roman" w:hAnsi="Times New Roman" w:cs="Times New Roman"/>
                <w:b w:val="0"/>
                <w:i w:val="0"/>
                <w:sz w:val="18"/>
              </w:rPr>
              <w:t>30.24</w:t>
            </w:r>
          </w:p>
        </w:tc>
        <w:tc>
          <w:tcPr>
            <w:tcW w:type="dxa" w:w="794"/>
          </w:tcPr>
          <w:p>
            <w:pPr>
              <w:jc w:val="center"/>
            </w:pPr>
            <w:r/>
            <w:r>
              <w:rPr>
                <w:rFonts w:ascii="Times New Roman" w:hAnsi="Times New Roman" w:cs="Times New Roman"/>
                <w:b w:val="0"/>
                <w:i w:val="0"/>
                <w:sz w:val="18"/>
              </w:rPr>
              <w:t>83.41</w:t>
            </w:r>
          </w:p>
        </w:tc>
        <w:tc>
          <w:tcPr>
            <w:tcW w:type="dxa" w:w="794"/>
          </w:tcPr>
          <w:p>
            <w:pPr>
              <w:jc w:val="center"/>
            </w:pPr>
            <w:r/>
            <w:r>
              <w:rPr>
                <w:rFonts w:ascii="Times New Roman" w:hAnsi="Times New Roman" w:cs="Times New Roman"/>
                <w:b w:val="0"/>
                <w:i w:val="0"/>
                <w:sz w:val="18"/>
              </w:rPr>
              <w:t>25.86</w:t>
            </w:r>
          </w:p>
        </w:tc>
        <w:tc>
          <w:tcPr>
            <w:tcW w:type="dxa" w:w="1134"/>
          </w:tcPr>
          <w:p>
            <w:pPr>
              <w:jc w:val="center"/>
            </w:pPr>
            <w:r/>
            <w:r>
              <w:rPr>
                <w:rFonts w:ascii="Times New Roman" w:hAnsi="Times New Roman" w:cs="Times New Roman"/>
                <w:b w:val="0"/>
                <w:i w:val="0"/>
                <w:sz w:val="18"/>
              </w:rPr>
              <w:t>2026 [39]</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/MASnI</w:t>
            </w:r>
            <w:r>
              <w:rPr>
                <w:vertAlign w:val="subscript"/>
              </w:rPr>
              <w:t>3</w:t>
            </w:r>
            <w:r>
              <w:rPr/>
              <w:t>/CZTS/Au</w:t>
            </w:r>
          </w:p>
        </w:tc>
        <w:tc>
          <w:tcPr>
            <w:tcW w:type="dxa" w:w="964"/>
          </w:tcPr>
          <w:p>
            <w:pPr>
              <w:jc w:val="center"/>
            </w:pPr>
            <w:r/>
            <w:r>
              <w:rPr>
                <w:rFonts w:ascii="Times New Roman" w:hAnsi="Times New Roman" w:cs="Times New Roman"/>
                <w:b w:val="0"/>
                <w:i w:val="0"/>
                <w:sz w:val="18"/>
              </w:rPr>
              <w:t>0.96</w:t>
            </w:r>
          </w:p>
        </w:tc>
        <w:tc>
          <w:tcPr>
            <w:tcW w:type="dxa" w:w="1134"/>
          </w:tcPr>
          <w:p>
            <w:pPr>
              <w:jc w:val="center"/>
            </w:pPr>
            <w:r/>
            <w:r>
              <w:rPr>
                <w:rFonts w:ascii="Times New Roman" w:hAnsi="Times New Roman" w:cs="Times New Roman"/>
                <w:b w:val="0"/>
                <w:i w:val="0"/>
                <w:sz w:val="18"/>
              </w:rPr>
              <w:t>31.66</w:t>
            </w:r>
          </w:p>
        </w:tc>
        <w:tc>
          <w:tcPr>
            <w:tcW w:type="dxa" w:w="794"/>
          </w:tcPr>
          <w:p>
            <w:pPr>
              <w:jc w:val="center"/>
            </w:pPr>
            <w:r/>
            <w:r>
              <w:rPr>
                <w:rFonts w:ascii="Times New Roman" w:hAnsi="Times New Roman" w:cs="Times New Roman"/>
                <w:b w:val="0"/>
                <w:i w:val="0"/>
                <w:sz w:val="18"/>
              </w:rPr>
              <w:t>67.00</w:t>
            </w:r>
          </w:p>
        </w:tc>
        <w:tc>
          <w:tcPr>
            <w:tcW w:type="dxa" w:w="794"/>
          </w:tcPr>
          <w:p>
            <w:pPr>
              <w:jc w:val="center"/>
            </w:pPr>
            <w:r/>
            <w:r>
              <w:rPr>
                <w:rFonts w:ascii="Times New Roman" w:hAnsi="Times New Roman" w:cs="Times New Roman"/>
                <w:b w:val="0"/>
                <w:i w:val="0"/>
                <w:sz w:val="18"/>
              </w:rPr>
              <w:t>20.28</w:t>
            </w:r>
          </w:p>
        </w:tc>
        <w:tc>
          <w:tcPr>
            <w:tcW w:type="dxa" w:w="1134"/>
          </w:tcPr>
          <w:p>
            <w:pPr>
              <w:jc w:val="center"/>
            </w:pPr>
            <w:r/>
            <w:r>
              <w:rPr>
                <w:rFonts w:ascii="Times New Roman" w:hAnsi="Times New Roman" w:cs="Times New Roman"/>
                <w:b w:val="0"/>
                <w:i w:val="0"/>
                <w:sz w:val="18"/>
              </w:rPr>
              <w:t>2025 [40]</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/CsSnI</w:t>
            </w:r>
            <w:r>
              <w:rPr>
                <w:vertAlign w:val="subscript"/>
              </w:rPr>
              <w:t>3</w:t>
            </w:r>
            <w:r>
              <w:rPr/>
              <w:t>/P3HT/Au</w:t>
            </w:r>
          </w:p>
        </w:tc>
        <w:tc>
          <w:tcPr>
            <w:tcW w:type="dxa" w:w="964"/>
          </w:tcPr>
          <w:p>
            <w:pPr>
              <w:jc w:val="center"/>
            </w:pPr>
            <w:r/>
            <w:r>
              <w:rPr>
                <w:rFonts w:ascii="Times New Roman" w:hAnsi="Times New Roman" w:cs="Times New Roman"/>
                <w:b w:val="0"/>
                <w:i w:val="0"/>
                <w:sz w:val="18"/>
              </w:rPr>
              <w:t>0.972</w:t>
            </w:r>
          </w:p>
        </w:tc>
        <w:tc>
          <w:tcPr>
            <w:tcW w:type="dxa" w:w="1134"/>
          </w:tcPr>
          <w:p>
            <w:pPr>
              <w:jc w:val="center"/>
            </w:pPr>
            <w:r/>
            <w:r>
              <w:rPr>
                <w:rFonts w:ascii="Times New Roman" w:hAnsi="Times New Roman" w:cs="Times New Roman"/>
                <w:b w:val="0"/>
                <w:i w:val="0"/>
                <w:sz w:val="18"/>
              </w:rPr>
              <w:t>34.70</w:t>
            </w:r>
          </w:p>
        </w:tc>
        <w:tc>
          <w:tcPr>
            <w:tcW w:type="dxa" w:w="794"/>
          </w:tcPr>
          <w:p>
            <w:pPr>
              <w:jc w:val="center"/>
            </w:pPr>
            <w:r/>
            <w:r>
              <w:rPr>
                <w:rFonts w:ascii="Times New Roman" w:hAnsi="Times New Roman" w:cs="Times New Roman"/>
                <w:b w:val="0"/>
                <w:i w:val="0"/>
                <w:sz w:val="18"/>
              </w:rPr>
              <w:t>78.21</w:t>
            </w:r>
          </w:p>
        </w:tc>
        <w:tc>
          <w:tcPr>
            <w:tcW w:type="dxa" w:w="794"/>
          </w:tcPr>
          <w:p>
            <w:pPr>
              <w:jc w:val="center"/>
            </w:pPr>
            <w:r/>
            <w:r>
              <w:rPr>
                <w:rFonts w:ascii="Times New Roman" w:hAnsi="Times New Roman" w:cs="Times New Roman"/>
                <w:b w:val="0"/>
                <w:i w:val="0"/>
                <w:sz w:val="18"/>
              </w:rPr>
              <w:t>26.40</w:t>
            </w:r>
          </w:p>
        </w:tc>
        <w:tc>
          <w:tcPr>
            <w:tcW w:type="dxa" w:w="1134"/>
          </w:tcPr>
          <w:p>
            <w:pPr>
              <w:jc w:val="center"/>
            </w:pPr>
            <w:r/>
            <w:r>
              <w:rPr>
                <w:rFonts w:ascii="Times New Roman" w:hAnsi="Times New Roman" w:cs="Times New Roman"/>
                <w:b w:val="0"/>
                <w:i w:val="0"/>
                <w:sz w:val="18"/>
              </w:rPr>
              <w:t>2024 [38]</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/RbGeI</w:t>
            </w:r>
            <w:r>
              <w:rPr>
                <w:vertAlign w:val="subscript"/>
              </w:rPr>
              <w:t>3</w:t>
            </w:r>
            <w:r>
              <w:rPr/>
              <w:t>/Spiro-OMeTAD/Au</w:t>
            </w:r>
          </w:p>
        </w:tc>
        <w:tc>
          <w:tcPr>
            <w:tcW w:type="dxa" w:w="964"/>
          </w:tcPr>
          <w:p>
            <w:pPr>
              <w:jc w:val="center"/>
            </w:pPr>
            <w:r/>
            <w:r>
              <w:rPr>
                <w:rFonts w:ascii="Times New Roman" w:hAnsi="Times New Roman" w:cs="Times New Roman"/>
                <w:b w:val="0"/>
                <w:i w:val="0"/>
                <w:sz w:val="18"/>
              </w:rPr>
              <w:t>1.1813</w:t>
            </w:r>
          </w:p>
        </w:tc>
        <w:tc>
          <w:tcPr>
            <w:tcW w:type="dxa" w:w="1134"/>
          </w:tcPr>
          <w:p>
            <w:pPr>
              <w:jc w:val="center"/>
            </w:pPr>
            <w:r/>
            <w:r>
              <w:rPr>
                <w:rFonts w:ascii="Times New Roman" w:hAnsi="Times New Roman" w:cs="Times New Roman"/>
                <w:b w:val="0"/>
                <w:i w:val="0"/>
                <w:sz w:val="18"/>
              </w:rPr>
              <w:t>26.31</w:t>
            </w:r>
          </w:p>
        </w:tc>
        <w:tc>
          <w:tcPr>
            <w:tcW w:type="dxa" w:w="794"/>
          </w:tcPr>
          <w:p>
            <w:pPr>
              <w:jc w:val="center"/>
            </w:pPr>
            <w:r/>
            <w:r>
              <w:rPr>
                <w:rFonts w:ascii="Times New Roman" w:hAnsi="Times New Roman" w:cs="Times New Roman"/>
                <w:b w:val="0"/>
                <w:i w:val="0"/>
                <w:sz w:val="18"/>
              </w:rPr>
              <w:t>85.16</w:t>
            </w:r>
          </w:p>
        </w:tc>
        <w:tc>
          <w:tcPr>
            <w:tcW w:type="dxa" w:w="794"/>
          </w:tcPr>
          <w:p>
            <w:pPr>
              <w:jc w:val="center"/>
            </w:pPr>
            <w:r/>
            <w:r>
              <w:rPr>
                <w:rFonts w:ascii="Times New Roman" w:hAnsi="Times New Roman" w:cs="Times New Roman"/>
                <w:b w:val="0"/>
                <w:i w:val="0"/>
                <w:sz w:val="18"/>
              </w:rPr>
              <w:t>26.47</w:t>
            </w:r>
          </w:p>
        </w:tc>
        <w:tc>
          <w:tcPr>
            <w:tcW w:type="dxa" w:w="1134"/>
          </w:tcPr>
          <w:p>
            <w:pPr>
              <w:jc w:val="center"/>
            </w:pPr>
            <w:r/>
            <w:r>
              <w:rPr>
                <w:rFonts w:ascii="Times New Roman" w:hAnsi="Times New Roman" w:cs="Times New Roman"/>
                <w:b w:val="0"/>
                <w:i w:val="0"/>
                <w:sz w:val="18"/>
              </w:rPr>
              <w:t>2026 [23]</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Pr/>
              <w:t>FTO/TiO</w:t>
            </w:r>
            <w:r>
              <w:rPr>
                <w:vertAlign w:val="subscript"/>
              </w:rPr>
              <w:t>2</w:t>
            </w:r>
            <w:r>
              <w:rPr/>
              <w:t>/RbGeI</w:t>
            </w:r>
            <w:r>
              <w:rPr>
                <w:vertAlign w:val="subscript"/>
              </w:rPr>
              <w:t>3</w:t>
            </w:r>
            <w:r>
              <w:rPr/>
              <w:t>/CuI/Au (this work)</w:t>
            </w:r>
          </w:p>
        </w:tc>
        <w:tc>
          <w:tcPr>
            <w:tcW w:type="dxa" w:w="964"/>
          </w:tcPr>
          <w:p>
            <w:pPr>
              <w:jc w:val="center"/>
            </w:pPr>
            <w:r/>
            <w:r>
              <w:rPr>
                <w:rFonts w:ascii="Times New Roman" w:hAnsi="Times New Roman" w:cs="Times New Roman"/>
                <w:b w:val="0"/>
                <w:i w:val="0"/>
                <w:sz w:val="18"/>
              </w:rPr>
              <w:t>1.1127</w:t>
            </w:r>
          </w:p>
        </w:tc>
        <w:tc>
          <w:tcPr>
            <w:tcW w:type="dxa" w:w="1134"/>
          </w:tcPr>
          <w:p>
            <w:pPr>
              <w:jc w:val="center"/>
            </w:pPr>
            <w:r/>
            <w:r>
              <w:rPr>
                <w:rFonts w:ascii="Times New Roman" w:hAnsi="Times New Roman" w:cs="Times New Roman"/>
                <w:b w:val="0"/>
                <w:i w:val="0"/>
                <w:sz w:val="18"/>
              </w:rPr>
              <w:t>30.32</w:t>
            </w:r>
          </w:p>
        </w:tc>
        <w:tc>
          <w:tcPr>
            <w:tcW w:type="dxa" w:w="794"/>
          </w:tcPr>
          <w:p>
            <w:pPr>
              <w:jc w:val="center"/>
            </w:pPr>
            <w:r/>
            <w:r>
              <w:rPr>
                <w:rFonts w:ascii="Times New Roman" w:hAnsi="Times New Roman" w:cs="Times New Roman"/>
                <w:b w:val="0"/>
                <w:i w:val="0"/>
                <w:sz w:val="18"/>
              </w:rPr>
              <w:t>79.13</w:t>
            </w:r>
          </w:p>
        </w:tc>
        <w:tc>
          <w:tcPr>
            <w:tcW w:type="dxa" w:w="794"/>
          </w:tcPr>
          <w:p>
            <w:pPr>
              <w:jc w:val="center"/>
            </w:pPr>
            <w:r/>
            <w:r>
              <w:rPr>
                <w:rFonts w:ascii="Times New Roman" w:hAnsi="Times New Roman" w:cs="Times New Roman"/>
                <w:b w:val="0"/>
                <w:i w:val="0"/>
                <w:sz w:val="18"/>
              </w:rPr>
              <w:t>26.69</w:t>
            </w:r>
          </w:p>
        </w:tc>
        <w:tc>
          <w:tcPr>
            <w:tcW w:type="dxa" w:w="1134"/>
          </w:tcPr>
          <w:p>
            <w:pPr>
              <w:jc w:val="center"/>
            </w:pPr>
            <w:r/>
            <w:r>
              <w:rPr>
                <w:rFonts w:ascii="Times New Roman" w:hAnsi="Times New Roman" w:cs="Times New Roman"/>
                <w:b w:val="0"/>
                <w:i w:val="0"/>
                <w:sz w:val="18"/>
              </w:rPr>
              <w:t>This work</w:t>
            </w:r>
          </w:p>
        </w:tc>
        <w:tc>
          <w:tcPr>
            <w:tcW w:type="dxa" w:w="850"/>
          </w:tcPr>
          <w:p>
            <w:pPr>
              <w:jc w:val="center"/>
            </w:p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b w:val="0"/>
          <w:i w:val="0"/>
          <w:sz w:val="24"/>
        </w:rPr>
        <w:t>The optimized device achieves the highest PCE among RbGeI</w:t>
      </w:r>
      <w:r>
        <w:rPr>
          <w:rFonts w:ascii="Times New Roman" w:hAnsi="Times New Roman"/>
          <w:b w:val="0"/>
          <w:i w:val="0"/>
          <w:sz w:val="24"/>
          <w:vertAlign w:val="subscript"/>
        </w:rPr>
        <w:t>3</w:t>
      </w:r>
      <w:r>
        <w:rPr>
          <w:rFonts w:ascii="Times New Roman" w:hAnsi="Times New Roman"/>
          <w:b w:val="0"/>
          <w:i w:val="0"/>
          <w:sz w:val="24"/>
        </w:rPr>
        <w:t xml:space="preserve"> simulation studies and is competitive with the best tin-based lead-free devices, with the advantage of an all-inorganic transport layer architecture.</w:t>
      </w:r>
    </w:p>
    <w:p>
      <w:pPr>
        <w:spacing w:line="360" w:lineRule="auto" w:before="120" w:after="120"/>
        <w:ind w:firstLine="283"/>
        <w:jc w:val="both"/>
      </w:pPr>
      <w:r>
        <w:rPr>
          <w:rFonts w:ascii="Times New Roman" w:hAnsi="Times New Roman"/>
          <w:b w:val="0"/>
          <w:i w:val="0"/>
          <w:sz w:val="24"/>
        </w:rPr>
        <w:t>Experimental RbGeI3 solar cells are still rare.</w:t>
      </w:r>
      <w:r>
        <w:rPr>
          <w:rFonts w:ascii="Times New Roman" w:hAnsi="Times New Roman"/>
          <w:b w:val="0"/>
          <w:i w:val="0"/>
          <w:sz w:val="24"/>
          <w:vertAlign w:val="subscript"/>
        </w:rPr>
      </w:r>
      <w:r>
        <w:rPr>
          <w:rFonts w:ascii="Times New Roman" w:hAnsi="Times New Roman"/>
          <w:b w:val="0"/>
          <w:i w:val="0"/>
          <w:sz w:val="24"/>
        </w:rPr>
        <w:t xml:space="preserve"> The Pindolia et al. [14] simulation baseline of 10.11% leaves ample room for the improvement demonstrated in this work.</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200" w:after="80" w:line="360" w:lineRule="auto"/>
      </w:pPr>
      <w:r>
        <w:rPr>
          <w:rFonts w:ascii="Times New Roman" w:hAnsi="Times New Roman" w:cs="Times New Roman"/>
          <w:b/>
          <w:i/>
          <w:sz w:val="24"/>
        </w:rPr>
        <w:t>A. Limitations of the present study</w:t>
      </w:r>
    </w:p>
    <w:p>
      <w:pPr>
        <w:spacing w:line="360" w:lineRule="auto" w:before="120" w:after="120"/>
        <w:ind w:firstLine="283"/>
        <w:jc w:val="both"/>
      </w:pPr>
      <w:r>
        <w:rPr/>
        <w:t>First, SCAPS-1D is a one-dimensional solver that assumes idealized conditions (uniform composition, abrupt interfaces, stable parameters), which are not strictly reproducible in experimental devices. Second, the defect densities adopted in this study (10¹⁴ cm⁻³ in the absorber and 10¹⁴ cm⁻² at both interfaces), while realistic for well-passivated films, are challenging to achieve in RbGeI3</w:t>
      </w:r>
      <w:r>
        <w:rPr>
          <w:vertAlign w:val="subscript"/>
        </w:rPr>
      </w:r>
      <w:r>
        <w:rPr/>
        <w:t xml:space="preserve"> due to Ge²⁺ oxidation. Third, the present model does not incorporate optical losses (front-surface reflection, parasitic absorption in transport layers), which would refine the predicted J</w:t>
      </w:r>
      <w:r>
        <w:rPr>
          <w:vertAlign w:val="subscript"/>
        </w:rPr>
        <w:t>sc</w:t>
      </w:r>
      <w:r>
        <w:rPr/>
        <w:t>.</w:t>
      </w:r>
    </w:p>
    <w:p>
      <w:pPr>
        <w:pStyle w:val="Heading2"/>
        <w:keepNext/>
        <w:spacing w:before="200" w:after="80" w:line="360" w:lineRule="auto"/>
      </w:pPr>
      <w:r>
        <w:t xml:space="preserve">B. Future work</w:t>
      </w:r>
    </w:p>
    <w:p>
      <w:pPr>
        <w:spacing w:line="360" w:lineRule="auto" w:before="120" w:after="120"/>
        <w:ind w:firstLine="283"/>
        <w:jc w:val="both"/>
      </w:pPr>
      <w:r>
        <w:rPr/>
        <w:t>Several directions for further investigation emerge. Experimental validation of the optimized device through fabrication and characterization is the most critical next step. Global optimization methods (e.g., Bayesian optimization, genetic algorithms) could identify parameter combinations that the one-at-a-time approach misses, and long-term stability testing under operational conditions would assess the practical viability of the RbGeI</w:t>
      </w:r>
      <w:r>
        <w:rPr>
          <w:vertAlign w:val="subscript"/>
        </w:rPr>
        <w:t>3</w:t>
      </w:r>
      <w:r>
        <w:rPr/>
        <w:t>/CuI architecture.</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b w:val="0"/>
          <w:i w:val="0"/>
          <w:sz w:val="24"/>
        </w:rPr>
        <w:t>This work has presented a numerical investigation of a lead-free RbGeI</w:t>
      </w:r>
      <w:r>
        <w:rPr>
          <w:rFonts w:ascii="Times New Roman" w:hAnsi="Times New Roman"/>
          <w:b w:val="0"/>
          <w:i w:val="0"/>
          <w:sz w:val="24"/>
          <w:vertAlign w:val="subscript"/>
        </w:rPr>
        <w:t>3</w:t>
      </w:r>
      <w:r>
        <w:rPr>
          <w:rFonts w:ascii="Times New Roman" w:hAnsi="Times New Roman"/>
          <w:b w:val="0"/>
          <w:i w:val="0"/>
          <w:sz w:val="24"/>
        </w:rPr>
        <w:t xml:space="preserve">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w:t>
      </w:r>
      <w:r>
        <w:rPr>
          <w:rFonts w:ascii="Times New Roman" w:hAnsi="Times New Roman"/>
          <w:b w:val="0"/>
          <w:i w:val="0"/>
          <w:sz w:val="24"/>
          <w:vertAlign w:val="subscript"/>
        </w:rPr>
        <w:t>3</w:t>
      </w:r>
      <w:r>
        <w:rPr>
          <w:rFonts w:ascii="Times New Roman" w:hAnsi="Times New Roman"/>
          <w:b w:val="0"/>
          <w:i w:val="0"/>
          <w:sz w:val="24"/>
        </w:rPr>
        <w:t xml:space="preserve"> is non-toxic and keeps the optoelectronic properties a solar absorber needs, which makes it a credible candidate for future photovoltaic applications.</w:t>
      </w:r>
    </w:p>
    <w:p>
      <w:pPr>
        <w:spacing w:line="360" w:lineRule="auto" w:before="120" w:after="120"/>
        <w:ind w:firstLine="283"/>
        <w:jc w:val="both"/>
      </w:pPr>
      <w:r>
        <w:rPr>
          <w:rFonts w:ascii="Times New Roman" w:hAnsi="Times New Roman"/>
          <w:b w:val="0"/>
          <w:i w:val="0"/>
          <w:sz w:val="24"/>
        </w:rPr>
        <w:t>Initially, eight different device configurations comprising various combinations of electron transport layers (TiO</w:t>
      </w:r>
      <w:r>
        <w:rPr>
          <w:rFonts w:ascii="Times New Roman" w:hAnsi="Times New Roman"/>
          <w:b w:val="0"/>
          <w:i w:val="0"/>
          <w:sz w:val="24"/>
          <w:vertAlign w:val="subscript"/>
        </w:rPr>
        <w:t>2</w:t>
      </w:r>
      <w:r>
        <w:rPr>
          <w:rFonts w:ascii="Times New Roman" w:hAnsi="Times New Roman"/>
          <w:b w:val="0"/>
          <w:i w:val="0"/>
          <w:sz w:val="24"/>
        </w:rPr>
        <w:t xml:space="preserve"> and PCBM) and hole transport layers (NiO, CuI, CBTS, and Spiro-OMeTAD) were systematically evaluated. The comparative analysis demonstrated that the device employing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delivered competitive photovoltaic characteristics and was selected as the baseline for optimization on the grounds of long-term stability, fabrication cost, and hole-mobility advantages of the inorganic CuI HTL, although its initial PCE of 19.79%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b w:val="0"/>
          <w:i w:val="0"/>
          <w:sz w:val="24"/>
        </w:rPr>
        <w:t>After sequential optimization of eleven device parameters, the consolidated device achieved a PCE of 26.69% (V</w:t>
      </w:r>
      <w:r>
        <w:rPr>
          <w:rFonts w:ascii="Times New Roman" w:hAnsi="Times New Roman"/>
          <w:b w:val="0"/>
          <w:i w:val="0"/>
          <w:sz w:val="24"/>
          <w:vertAlign w:val="subscript"/>
        </w:rPr>
        <w:t>oc</w:t>
      </w:r>
      <w:r>
        <w:rPr>
          <w:rFonts w:ascii="Times New Roman" w:hAnsi="Times New Roman"/>
          <w:b w:val="0"/>
          <w:i w:val="0"/>
          <w:sz w:val="24"/>
        </w:rPr>
        <w:t xml:space="preserve"> = 1.1127 V, J</w:t>
      </w:r>
      <w:r>
        <w:rPr>
          <w:rFonts w:ascii="Times New Roman" w:hAnsi="Times New Roman"/>
          <w:b w:val="0"/>
          <w:i w:val="0"/>
          <w:sz w:val="24"/>
          <w:vertAlign w:val="subscript"/>
        </w:rPr>
        <w:t>sc</w:t>
      </w:r>
      <w:r>
        <w:rPr>
          <w:rFonts w:ascii="Times New Roman" w:hAnsi="Times New Roman"/>
          <w:b w:val="0"/>
          <w:i w:val="0"/>
          <w:sz w:val="24"/>
        </w:rPr>
        <w:t xml:space="preserve"> = 30.32 mA/cm², FF = 79.13%). This exceeds all previously reported RbGeI</w:t>
      </w:r>
      <w:r>
        <w:rPr>
          <w:rFonts w:ascii="Times New Roman" w:hAnsi="Times New Roman"/>
          <w:b w:val="0"/>
          <w:i w:val="0"/>
          <w:sz w:val="24"/>
          <w:vertAlign w:val="subscript"/>
        </w:rPr>
        <w:t>3</w:t>
      </w:r>
      <w:r>
        <w:rPr>
          <w:rFonts w:ascii="Times New Roman" w:hAnsi="Times New Roman"/>
          <w:b w:val="0"/>
          <w:i w:val="0"/>
          <w:sz w:val="24"/>
        </w:rPr>
        <w:t xml:space="preserve"> simulation studies and confirms that RbGeI</w:t>
      </w:r>
      <w:r>
        <w:rPr>
          <w:rFonts w:ascii="Times New Roman" w:hAnsi="Times New Roman"/>
          <w:b w:val="0"/>
          <w:i w:val="0"/>
          <w:sz w:val="24"/>
          <w:vertAlign w:val="subscript"/>
        </w:rPr>
        <w:t>3</w:t>
      </w:r>
      <w:r>
        <w:rPr>
          <w:rFonts w:ascii="Times New Roman" w:hAnsi="Times New Roman"/>
          <w:b w:val="0"/>
          <w:i w:val="0"/>
          <w:sz w:val="24"/>
        </w:rPr>
        <w:t xml:space="preserve"> with a bandgap of 1.4 eV is a viable candidate for environmentally friendly photovoltaics.</w:t>
      </w:r>
    </w:p>
    <w:p>
      <w:pPr>
        <w:pStyle w:val="Heading1"/>
        <w:keepNext/>
        <w:spacing w:before="320" w:after="120" w:line="360" w:lineRule="auto"/>
      </w:pPr>
      <w:r>
        <w:rPr>
          <w:rFonts w:ascii="Times New Roman" w:hAnsi="Times New Roman" w:cs="Times New Roman"/>
          <w:b/>
          <w:i w:val="0"/>
          <w:sz w:val="28"/>
        </w:rPr>
        <w:t>References</w:t>
      </w:r>
    </w:p>
    <w:p>
      <w:pPr>
        <w:spacing w:line="336" w:lineRule="auto" w:before="40" w:after="4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336" w:lineRule="auto" w:before="40" w:after="4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336" w:lineRule="auto" w:before="40" w:after="4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336" w:lineRule="auto" w:before="40" w:after="4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336" w:lineRule="auto" w:before="40" w:after="4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336" w:lineRule="auto" w:before="40" w:after="4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336" w:lineRule="auto" w:before="40" w:after="4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336" w:lineRule="auto" w:before="40" w:after="4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doi:10.1126/science.1228604.</w:t>
      </w:r>
    </w:p>
    <w:p>
      <w:pPr>
        <w:spacing w:line="336" w:lineRule="auto" w:before="40" w:after="4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336" w:lineRule="auto" w:before="40" w:after="4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336" w:lineRule="auto" w:before="40" w:after="40"/>
        <w:ind w:left="454" w:hanging="454"/>
      </w:pPr>
      <w:r>
        <w:rPr>
          <w:rFonts w:ascii="Times New Roman" w:hAnsi="Times New Roman"/>
          <w:b w:val="0"/>
          <w:i w:val="0"/>
          <w:sz w:val="20"/>
        </w:rPr>
        <w:t>[13] S. Samaki, F. Tchangnwa Nya, G. M. Dzifack Kenfack, and A. Laref, “Materials and interfaces properties optimization for high-efficient and more stable RbGeI</w:t>
      </w:r>
      <w:r>
        <w:rPr>
          <w:rFonts w:ascii="Times New Roman" w:hAnsi="Times New Roman"/>
          <w:b w:val="0"/>
          <w:i w:val="0"/>
          <w:sz w:val="20"/>
          <w:vertAlign w:val="subscript"/>
        </w:rPr>
        <w:t>3</w:t>
      </w:r>
      <w:r>
        <w:rPr>
          <w:rFonts w:ascii="Times New Roman" w:hAnsi="Times New Roman"/>
          <w:b w:val="0"/>
          <w:i w:val="0"/>
          <w:sz w:val="20"/>
        </w:rPr>
        <w:t xml:space="preserve"> perovskite solar cells: optoelectrical modelling,” Sci. Rep. 13, 15517 (2023). doi:10.1038/s41598-023-42471-w.</w:t>
      </w:r>
    </w:p>
    <w:p>
      <w:pPr>
        <w:spacing w:line="336" w:lineRule="auto" w:before="40" w:after="40"/>
        <w:ind w:left="454" w:hanging="454"/>
      </w:pPr>
      <w:r>
        <w:rPr>
          <w:rFonts w:ascii="Times New Roman" w:hAnsi="Times New Roman"/>
          <w:b w:val="0"/>
          <w:i w:val="0"/>
          <w:sz w:val="20"/>
        </w:rPr>
        <w:t>[14] G. Pindolia, S. M. Shinde, and P. K. Jha, “Optimization of an inorganic lead-free RbGeI</w:t>
      </w:r>
      <w:r>
        <w:rPr>
          <w:rFonts w:ascii="Times New Roman" w:hAnsi="Times New Roman"/>
          <w:b w:val="0"/>
          <w:i w:val="0"/>
          <w:sz w:val="20"/>
          <w:vertAlign w:val="subscript"/>
        </w:rPr>
        <w:t>3</w:t>
      </w:r>
      <w:r>
        <w:rPr>
          <w:rFonts w:ascii="Times New Roman" w:hAnsi="Times New Roman"/>
          <w:b w:val="0"/>
          <w:i w:val="0"/>
          <w:sz w:val="20"/>
        </w:rPr>
        <w:t xml:space="preserve"> based perovskite solar cell by SCAPS-1D simulation,” Sol. Energy 236, 802–821 (2022). doi:10.1016/j.solener.2022.03.053.</w:t>
      </w:r>
    </w:p>
    <w:p>
      <w:pPr>
        <w:spacing w:line="336" w:lineRule="auto" w:before="40" w:after="4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336" w:lineRule="auto" w:before="40" w:after="4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336" w:lineRule="auto" w:before="40" w:after="40"/>
        <w:ind w:left="454" w:hanging="454"/>
      </w:pPr>
      <w:r>
        <w:rPr>
          <w:rFonts w:ascii="Times New Roman" w:hAnsi="Times New Roman"/>
          <w:b w:val="0"/>
          <w:i w:val="0"/>
          <w:sz w:val="20"/>
        </w:rPr>
        <w:t>[17] P. K. Dash, P. Banarjee, A. Nyayban, and S. Panda, “Optoelectronic properties and performance optimization for photovoltaic applications of R3m-RbGeX</w:t>
      </w:r>
      <w:r>
        <w:rPr>
          <w:rFonts w:ascii="Times New Roman" w:hAnsi="Times New Roman"/>
          <w:b w:val="0"/>
          <w:i w:val="0"/>
          <w:sz w:val="20"/>
          <w:vertAlign w:val="subscript"/>
        </w:rPr>
        <w:t>3</w:t>
      </w:r>
      <w:r>
        <w:rPr>
          <w:rFonts w:ascii="Times New Roman" w:hAnsi="Times New Roman"/>
          <w:b w:val="0"/>
          <w:i w:val="0"/>
          <w:sz w:val="20"/>
        </w:rPr>
        <w:t xml:space="preserve"> (X = Cl, Br, I) perovskites: A combined DFT and SCAPS-1D study,” arXiv:2505.09362 (2025).</w:t>
      </w:r>
    </w:p>
    <w:p>
      <w:pPr>
        <w:spacing w:line="336" w:lineRule="auto" w:before="40" w:after="40"/>
        <w:ind w:left="454" w:hanging="454"/>
      </w:pPr>
      <w:r>
        <w:rPr>
          <w:rFonts w:ascii="Times New Roman" w:hAnsi="Times New Roman"/>
          <w:b w:val="0"/>
          <w:i w:val="0"/>
          <w:sz w:val="20"/>
        </w:rPr>
        <w:t>[18] N. A. Abdulkareem, “A DFT study of structural, electronic and optical properties of lead-free and Ge-based cubic perovskite RbGeX</w:t>
      </w:r>
      <w:r>
        <w:rPr>
          <w:rFonts w:ascii="Times New Roman" w:hAnsi="Times New Roman"/>
          <w:b w:val="0"/>
          <w:i w:val="0"/>
          <w:sz w:val="20"/>
          <w:vertAlign w:val="subscript"/>
        </w:rPr>
        <w:t>3</w:t>
      </w:r>
      <w:r>
        <w:rPr>
          <w:rFonts w:ascii="Times New Roman" w:hAnsi="Times New Roman"/>
          <w:b w:val="0"/>
          <w:i w:val="0"/>
          <w:sz w:val="20"/>
        </w:rPr>
        <w:t xml:space="preserve"> (X = I, Br and Cl),” Passer J. Basic Appl. Sci. 5(1), 46–51 (2023). doi:10.24271/psr.2023.371069.1187.</w:t>
      </w:r>
    </w:p>
    <w:p>
      <w:pPr>
        <w:spacing w:line="336" w:lineRule="auto" w:before="40" w:after="4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336" w:lineRule="auto" w:before="40" w:after="40"/>
        <w:ind w:left="454" w:hanging="454"/>
      </w:pPr>
      <w:r>
        <w:rPr>
          <w:rFonts w:ascii="Times New Roman" w:hAnsi="Times New Roman" w:cs="Times New Roman"/>
          <w:b w:val="0"/>
          <w:i w:val="0"/>
          <w:sz w:val="20"/>
        </w:rPr>
        <w:t xml:space="preserve">[20] M. Burgelman, M. Debucquoy, K. Decock, J. Verschraegen, and S. Degrave, SCAPS-1D simulation program for thin film solar cells, version 3.3.10 (ELIS, University of Gent, Belgium, 2024).</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[21] 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b w:val="0"/>
          <w:i w:val="0"/>
          <w:sz w:val="20"/>
        </w:rPr>
        <w:t>[22] L. Loumachi, A. Yousfi, O. Saidani, and A. S. Alsubaie, “Strengthen the power conversion efficiency of solar cell based RbGeI</w:t>
      </w:r>
      <w:r>
        <w:rPr>
          <w:rFonts w:ascii="Times New Roman" w:hAnsi="Times New Roman"/>
          <w:b w:val="0"/>
          <w:i w:val="0"/>
          <w:sz w:val="20"/>
          <w:vertAlign w:val="subscript"/>
        </w:rPr>
        <w:t>3</w:t>
      </w:r>
      <w:r>
        <w:rPr>
          <w:rFonts w:ascii="Times New Roman" w:hAnsi="Times New Roman"/>
          <w:b w:val="0"/>
          <w:i w:val="0"/>
          <w:sz w:val="20"/>
        </w:rPr>
        <w:t>: Numerical approach,” East Eur. J. Phys. (3), 416–424 (2024). doi:10.26565/2312-4334-2024-3-50</w:t>
      </w:r>
    </w:p>
    <w:p>
      <w:pPr>
        <w:spacing w:line="336" w:lineRule="auto" w:before="40" w:after="40"/>
        <w:ind w:left="454" w:hanging="454"/>
      </w:pPr>
      <w:r>
        <w:rPr>
          <w:rFonts w:ascii="Times New Roman" w:hAnsi="Times New Roman"/>
          <w:b w:val="0"/>
          <w:i w:val="0"/>
          <w:sz w:val="20"/>
        </w:rPr>
        <w:t>[23] A. Pathak, K. M. D. Pravalli, R. Madaka, B. Pandey, D. Shankar, C. S. Beera, and D. J. Rao, “Computational analysis of germanium-based perovskites (MAGeI</w:t>
      </w:r>
      <w:r>
        <w:rPr>
          <w:rFonts w:ascii="Times New Roman" w:hAnsi="Times New Roman"/>
          <w:b w:val="0"/>
          <w:i w:val="0"/>
          <w:sz w:val="20"/>
          <w:vertAlign w:val="subscript"/>
        </w:rPr>
        <w:t>3</w:t>
      </w:r>
      <w:r>
        <w:rPr>
          <w:rFonts w:ascii="Times New Roman" w:hAnsi="Times New Roman"/>
          <w:b w:val="0"/>
          <w:i w:val="0"/>
          <w:sz w:val="20"/>
        </w:rPr>
        <w:t>, FAGeI</w:t>
      </w:r>
      <w:r>
        <w:rPr>
          <w:rFonts w:ascii="Times New Roman" w:hAnsi="Times New Roman"/>
          <w:b w:val="0"/>
          <w:i w:val="0"/>
          <w:sz w:val="20"/>
          <w:vertAlign w:val="subscript"/>
        </w:rPr>
        <w:t>3</w:t>
      </w:r>
      <w:r>
        <w:rPr>
          <w:rFonts w:ascii="Times New Roman" w:hAnsi="Times New Roman"/>
          <w:b w:val="0"/>
          <w:i w:val="0"/>
          <w:sz w:val="20"/>
        </w:rPr>
        <w:t>, CsGeI</w:t>
      </w:r>
      <w:r>
        <w:rPr>
          <w:rFonts w:ascii="Times New Roman" w:hAnsi="Times New Roman"/>
          <w:b w:val="0"/>
          <w:i w:val="0"/>
          <w:sz w:val="20"/>
          <w:vertAlign w:val="subscript"/>
        </w:rPr>
        <w:t>3</w:t>
      </w:r>
      <w:r>
        <w:rPr>
          <w:rFonts w:ascii="Times New Roman" w:hAnsi="Times New Roman"/>
          <w:b w:val="0"/>
          <w:i w:val="0"/>
          <w:sz w:val="20"/>
        </w:rPr>
        <w:t>, RbGeI</w:t>
      </w:r>
      <w:r>
        <w:rPr>
          <w:rFonts w:ascii="Times New Roman" w:hAnsi="Times New Roman"/>
          <w:b w:val="0"/>
          <w:i w:val="0"/>
          <w:sz w:val="20"/>
          <w:vertAlign w:val="subscript"/>
        </w:rPr>
        <w:t>3</w:t>
      </w:r>
      <w:r>
        <w:rPr>
          <w:rFonts w:ascii="Times New Roman" w:hAnsi="Times New Roman"/>
          <w:b w:val="0"/>
          <w:i w:val="0"/>
          <w:sz w:val="20"/>
        </w:rPr>
        <w:t>) for high-efficiency solar cells using SCAPS-1D,” Research Square (2026). doi:10.21203/rs.3.rs-8749975/</w:t>
      </w:r>
    </w:p>
    <w:p>
      <w:pPr>
        <w:spacing w:line="336" w:lineRule="auto" w:before="40" w:after="40"/>
        <w:ind w:left="454" w:hanging="454"/>
      </w:pPr>
      <w:r>
        <w:rPr>
          <w:rFonts w:ascii="Times New Roman" w:hAnsi="Times New Roman"/>
          <w:b w:val="0"/>
          <w:i w:val="0"/>
          <w:sz w:val="20"/>
        </w:rPr>
        <w:t>[24] D. Saikia, J. Bera, A. Betal, and S. Sahu, “Performance evaluation of an all inorganic CsGeI</w:t>
      </w:r>
      <w:r>
        <w:rPr>
          <w:rFonts w:ascii="Times New Roman" w:hAnsi="Times New Roman"/>
          <w:b w:val="0"/>
          <w:i w:val="0"/>
          <w:sz w:val="20"/>
          <w:vertAlign w:val="subscript"/>
        </w:rPr>
        <w:t>3</w:t>
      </w:r>
      <w:r>
        <w:rPr>
          <w:rFonts w:ascii="Times New Roman" w:hAnsi="Times New Roman"/>
          <w:b w:val="0"/>
          <w:i w:val="0"/>
          <w:sz w:val="20"/>
        </w:rPr>
        <w:t xml:space="preserve"> based perovskite solar cell by numerical simulation,” Opt. Mater. 123, 111839 (2022). doi:10.1016/j.optmat.2021.111839.</w:t>
      </w:r>
    </w:p>
    <w:p>
      <w:pPr>
        <w:spacing w:line="336" w:lineRule="auto" w:before="40" w:after="40"/>
        <w:ind w:left="454" w:hanging="454"/>
      </w:pPr>
      <w:r>
        <w:rPr>
          <w:rFonts w:ascii="Times New Roman" w:hAnsi="Times New Roman"/>
          <w:b w:val="0"/>
          <w:i w:val="0"/>
          <w:sz w:val="20"/>
        </w:rPr>
        <w:t>[25] M. Raj, A. Aggarwal, A. Kushwaha, and N. Goel, “Moisture-resistant sustainable solar cell with RbGeI</w:t>
      </w:r>
      <w:r>
        <w:rPr>
          <w:rFonts w:ascii="Times New Roman" w:hAnsi="Times New Roman"/>
          <w:b w:val="0"/>
          <w:i w:val="0"/>
          <w:sz w:val="20"/>
          <w:vertAlign w:val="subscript"/>
        </w:rPr>
        <w:t>3</w:t>
      </w:r>
      <w:r>
        <w:rPr>
          <w:rFonts w:ascii="Times New Roman" w:hAnsi="Times New Roman"/>
          <w:b w:val="0"/>
          <w:i w:val="0"/>
          <w:sz w:val="20"/>
        </w:rPr>
        <w:t xml:space="preserve"> absorber layer,” J. Mater. Sci. 60(22), 9176–9196 (2025). doi:10.1007/s10853-025-11002-5.</w:t>
      </w:r>
    </w:p>
    <w:p>
      <w:pPr>
        <w:spacing w:line="336" w:lineRule="auto" w:before="40" w:after="40"/>
        <w:ind w:left="454" w:hanging="454"/>
      </w:pPr>
      <w:r>
        <w:rPr>
          <w:rFonts w:ascii="Times New Roman" w:hAnsi="Times New Roman" w:cs="Times New Roman"/>
          <w:b w:val="0"/>
          <w:i w:val="0"/>
          <w:sz w:val="20"/>
        </w:rPr>
        <w:t xml:space="preserve">[26] </w:t>
      </w:r>
      <w:r>
        <w:rPr>
          <w:rFonts w:ascii="Times New Roman" w:hAnsi="Times New Roman" w:cs="Times New Roman"/>
          <w:b w:val="0"/>
          <w:i w:val="0"/>
          <w:sz w:val="20"/>
        </w:rPr>
        <w:t>R. Pau et al., “Solution-processed CuI as a hole transport layer for Sn–Pb perovskite solar cells,” J. Mater. Chem. A 13(48), 42118–42127 (2025). doi:10.1039/D5TA06770G.</w:t>
      </w:r>
    </w:p>
    <w:p>
      <w:pPr>
        <w:spacing w:line="336" w:lineRule="auto" w:before="40" w:after="40"/>
        <w:ind w:left="454" w:hanging="454"/>
      </w:pPr>
      <w:r>
        <w:rPr>
          <w:rFonts w:ascii="Times New Roman" w:hAnsi="Times New Roman" w:cs="Times New Roman"/>
          <w:b w:val="0"/>
          <w:i w:val="0"/>
          <w:sz w:val="20"/>
        </w:rPr>
        <w:t xml:space="preserve">[27] </w:t>
      </w:r>
      <w:r>
        <w:rPr>
          <w:rFonts w:ascii="Times New Roman" w:hAnsi="Times New Roman" w:cs="Times New Roman"/>
          <w:b w:val="0"/>
          <w:i w:val="0"/>
          <w:sz w:val="20"/>
        </w:rPr>
        <w:t>Q. Sun, A. Sadhu, S. Lie, and L. H. Wong, “Critical review of Cu-based hole transport materials for perovskite solar cells: From theoretical insights to experimental validation,” Adv. Mater. (2024). doi:10.1002/adma.202402412.</w:t>
      </w:r>
    </w:p>
    <w:p>
      <w:pPr>
        <w:spacing w:line="336" w:lineRule="auto" w:before="40" w:after="40"/>
        <w:ind w:left="454" w:hanging="454"/>
      </w:pPr>
      <w:r>
        <w:rPr>
          <w:rFonts w:ascii="Times New Roman" w:hAnsi="Times New Roman" w:cs="Times New Roman"/>
          <w:b w:val="0"/>
          <w:i w:val="0"/>
          <w:sz w:val="20"/>
        </w:rPr>
        <w:t xml:space="preserve">[28] </w:t>
      </w:r>
      <w:r>
        <w:rPr>
          <w:rFonts w:ascii="Times New Roman" w:hAnsi="Times New Roman" w:cs="Times New Roman"/>
          <w:b w:val="0"/>
          <w:i w:val="0"/>
          <w:sz w:val="20"/>
        </w:rPr>
        <w:t>J. Z. Mbese, “Advancements in inorganic hole-transport materials for perovskite solar cells: A comparative review,” Energies 18(9), 2374 (2025). doi:10.3390/en18092374.</w:t>
      </w:r>
    </w:p>
    <w:p>
      <w:pPr>
        <w:spacing w:line="336" w:lineRule="auto" w:before="40" w:after="40"/>
        <w:ind w:left="454" w:hanging="454"/>
      </w:pPr>
      <w:r>
        <w:rPr>
          <w:rFonts w:ascii="Times New Roman" w:hAnsi="Times New Roman" w:cs="Times New Roman"/>
          <w:b w:val="0"/>
          <w:i w:val="0"/>
          <w:sz w:val="20"/>
        </w:rPr>
        <w:t xml:space="preserve">[29] </w:t>
      </w:r>
      <w:r>
        <w:rPr>
          <w:rFonts w:ascii="Times New Roman" w:hAnsi="Times New Roman" w:cs="Times New Roman"/>
          <w:b w:val="0"/>
          <w:i w:val="0"/>
          <w:sz w:val="20"/>
        </w:rPr>
        <w:t>L. T. C. Tuyen, S.-R. Jian, N. T. Tien, and P. H. Le, “Nanomechanical and material properties of fluorine-doped tin oxide thin films prepared by ultrasonic spray pyrolysis: Effects of F-doping,” Materials 12(10), 1665 (2019). doi:10.3390/ma12101665.</w:t>
      </w:r>
    </w:p>
    <w:p>
      <w:pPr>
        <w:spacing w:line="336" w:lineRule="auto" w:before="40" w:after="40"/>
        <w:ind w:left="454" w:hanging="454"/>
      </w:pPr>
      <w:r>
        <w:rPr>
          <w:rFonts w:ascii="Times New Roman" w:hAnsi="Times New Roman" w:cs="Times New Roman"/>
          <w:b w:val="0"/>
          <w:i w:val="0"/>
          <w:sz w:val="20"/>
        </w:rPr>
        <w:t xml:space="preserve">[30] </w:t>
      </w:r>
      <w:r>
        <w:rPr>
          <w:rFonts w:ascii="Times New Roman" w:hAnsi="Times New Roman" w:cs="Times New Roman"/>
          <w:b w:val="0"/>
          <w:i w:val="0"/>
          <w:sz w:val="20"/>
        </w:rPr>
        <w:t>W. Yang et al., “The CuI/NiO gradient hole transport layer for enhanced carrier efficiency in large-area perovskite solar cell,” Appl. Phys. Lett. 128(14) (2026). doi:10.1063/5.0326539.</w:t>
      </w:r>
    </w:p>
    <w:p>
      <w:pPr>
        <w:spacing w:line="336" w:lineRule="auto" w:before="40" w:after="40"/>
        <w:ind w:left="454" w:hanging="454"/>
      </w:pPr>
      <w:r>
        <w:rPr>
          <w:rFonts w:ascii="Times New Roman" w:hAnsi="Times New Roman"/>
          <w:b w:val="0"/>
          <w:i w:val="0"/>
          <w:sz w:val="20"/>
        </w:rPr>
        <w:t>[31] A. J. Olasoji and S. H. Im, “Perspective chapter: TiO</w:t>
      </w:r>
      <w:r>
        <w:rPr>
          <w:rFonts w:ascii="Times New Roman" w:hAnsi="Times New Roman"/>
          <w:b w:val="0"/>
          <w:i w:val="0"/>
          <w:sz w:val="20"/>
          <w:vertAlign w:val="subscript"/>
        </w:rPr>
        <w:t>2</w:t>
      </w:r>
      <w:r>
        <w:rPr>
          <w:rFonts w:ascii="Times New Roman" w:hAnsi="Times New Roman"/>
          <w:b w:val="0"/>
          <w:i w:val="0"/>
          <w:sz w:val="20"/>
        </w:rPr>
        <w:t xml:space="preserve"> electron transporting layers for perovskite solar cells,” in Titanium Dioxide – Uses, Applications, and Advances (IntechOpen, 2024). doi:10.5772/intechopen.1007266.</w:t>
      </w:r>
    </w:p>
    <w:p>
      <w:pPr>
        <w:spacing w:line="336" w:lineRule="auto" w:before="40" w:after="40"/>
        <w:ind w:left="454" w:hanging="454"/>
      </w:pPr>
      <w:r>
        <w:rPr>
          <w:rFonts w:ascii="Times New Roman" w:hAnsi="Times New Roman" w:cs="Times New Roman"/>
          <w:b w:val="0"/>
          <w:i w:val="0"/>
          <w:sz w:val="20"/>
        </w:rPr>
        <w:t xml:space="preserve">[32] </w:t>
      </w:r>
      <w:r>
        <w:rPr>
          <w:rFonts w:ascii="Times New Roman" w:hAnsi="Times New Roman" w:cs="Times New Roman"/>
          <w:b w:val="0"/>
          <w:i w:val="0"/>
          <w:sz w:val="20"/>
        </w:rPr>
        <w:t>K. Valadi, S. Gharibi, R. Taheri-Ledari, S. Akin, A. Maleki, and A. E. Shalan, “Metal oxide electron transport materials for perovskite solar cells: A review,” Environ. Chem. Lett. 19(3), 2185–2207 (2021). doi:10.1007/s10311-020-01171-x.</w:t>
      </w:r>
    </w:p>
    <w:p>
      <w:pPr>
        <w:spacing w:line="336" w:lineRule="auto" w:before="40" w:after="40"/>
        <w:ind w:left="454" w:hanging="454"/>
      </w:pPr>
      <w:r>
        <w:rPr>
          <w:rFonts w:ascii="Times New Roman" w:hAnsi="Times New Roman"/>
          <w:b w:val="0"/>
          <w:i w:val="0"/>
          <w:sz w:val="20"/>
        </w:rPr>
        <w:t>[33] L. Ji, T. Zhang, and S. Li, “Band alignment of TiO</w:t>
      </w:r>
      <w:r>
        <w:rPr>
          <w:rFonts w:ascii="Times New Roman" w:hAnsi="Times New Roman"/>
          <w:b w:val="0"/>
          <w:i w:val="0"/>
          <w:sz w:val="20"/>
          <w:vertAlign w:val="subscript"/>
        </w:rPr>
        <w:t>2</w:t>
      </w:r>
      <w:r>
        <w:rPr>
          <w:rFonts w:ascii="Times New Roman" w:hAnsi="Times New Roman"/>
          <w:b w:val="0"/>
          <w:i w:val="0"/>
          <w:sz w:val="20"/>
        </w:rPr>
        <w:t xml:space="preserve"> by controlling Cl content for high-efficiency perovskite solar cells,” J. Mater. Chem. C 12(36), 14597–14604 (2024). doi:10.1039/D4TC01495B.</w:t>
      </w:r>
    </w:p>
    <w:p>
      <w:pPr>
        <w:spacing w:line="336" w:lineRule="auto" w:before="40" w:after="40"/>
        <w:ind w:left="454" w:hanging="454"/>
      </w:pPr>
      <w:r>
        <w:rPr>
          <w:rFonts w:ascii="Times New Roman" w:hAnsi="Times New Roman" w:cs="Times New Roman"/>
          <w:b w:val="0"/>
          <w:i w:val="0"/>
          <w:sz w:val="20"/>
        </w:rPr>
        <w:t xml:space="preserve">[34] </w:t>
      </w:r>
      <w:r>
        <w:rPr>
          <w:rFonts w:ascii="Times New Roman" w:hAnsi="Times New Roman" w:cs="Times New Roman"/>
          <w:b w:val="0"/>
          <w:i w:val="0"/>
          <w:sz w:val="20"/>
        </w:rPr>
        <w:t>A. Ghosh et al., “Solar power conversion: CuI hole transport layer and Ba3NCl3 absorber enable advanced solar cell technology boosting efficiency over 30%,” RSC Adv. 14(33), 24066–24081 (2024). doi:10.1039/D4RA03695F.</w:t>
      </w:r>
    </w:p>
    <w:p>
      <w:pPr>
        <w:spacing w:line="336" w:lineRule="auto" w:before="40" w:after="40"/>
        <w:ind w:left="454" w:hanging="454"/>
      </w:pPr>
      <w:r>
        <w:rPr>
          <w:rFonts w:ascii="Times New Roman" w:hAnsi="Times New Roman" w:cs="Times New Roman"/>
          <w:b w:val="0"/>
          <w:i w:val="0"/>
          <w:sz w:val="20"/>
        </w:rPr>
        <w:t xml:space="preserve">[35] </w:t>
      </w:r>
      <w:r>
        <w:rPr>
          <w:rFonts w:ascii="Times New Roman" w:hAnsi="Times New Roman" w:cs="Times New Roman"/>
          <w:b w:val="0"/>
          <w:i w:val="0"/>
          <w:sz w:val="20"/>
        </w:rPr>
        <w:t>T. Minemoto and M. Murata, “Impact of work function of back contact of perovskite solar cells without hole transport material analyzed by device simulation,” Curr. Appl. Phys. 14(11), 1428–1433 (2014). doi:10.1016/j.cap.2014.08.002.</w:t>
      </w:r>
    </w:p>
    <w:p>
      <w:pPr>
        <w:spacing w:line="336" w:lineRule="auto" w:before="40" w:after="40"/>
        <w:ind w:left="454" w:hanging="454"/>
      </w:pPr>
      <w:r>
        <w:rPr>
          <w:rFonts w:ascii="Times New Roman" w:hAnsi="Times New Roman" w:cs="Times New Roman"/>
          <w:b w:val="0"/>
          <w:i w:val="0"/>
          <w:sz w:val="20"/>
        </w:rPr>
        <w:t xml:space="preserve">[36] </w:t>
      </w:r>
      <w:r>
        <w:rPr>
          <w:rFonts w:ascii="Times New Roman" w:hAnsi="Times New Roman" w:cs="Times New Roman"/>
          <w:b w:val="0"/>
          <w:i w:val="0"/>
          <w:sz w:val="20"/>
        </w:rPr>
        <w:t>W. Shockley and H. J. Queisser, “Detailed balance limit of efficiency of p-n junction solar cells,” J. Appl. Phys. 32(3), 510–519 (1961). doi:10.1063/1.1736034.</w:t>
      </w:r>
    </w:p>
    <w:p>
      <w:pPr>
        <w:spacing w:line="336" w:lineRule="auto" w:before="40" w:after="40"/>
        <w:ind w:left="454" w:hanging="454"/>
      </w:pPr>
      <w:r>
        <w:rPr>
          <w:rFonts w:ascii="Times New Roman" w:hAnsi="Times New Roman" w:cs="Times New Roman"/>
          <w:b w:val="0"/>
          <w:i w:val="0"/>
          <w:sz w:val="20"/>
        </w:rPr>
        <w:t xml:space="preserve">[37] O. J. Sandberg and A. Armin, “On the effect of surface recombination in thin film solar cells, light emitting diodes and photodetectors,” arXiv:1905.07291 (2019); published in Synth. Met. 254, 114–121 (2019), doi:10.1016/j.synthmet.2019.06.008.</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b w:val="0"/>
          <w:i w:val="0"/>
          <w:sz w:val="20"/>
        </w:rPr>
        <w:t>[38] H.-J. Park, H. Son, and B.-S. Jeong, “SCAPS-1D Simulation for Device Optimization to Improve Efficiency in Lead-Free CsSnI</w:t>
      </w:r>
      <w:r>
        <w:rPr>
          <w:rFonts w:ascii="Times New Roman" w:hAnsi="Times New Roman"/>
          <w:b w:val="0"/>
          <w:i w:val="0"/>
          <w:sz w:val="20"/>
          <w:vertAlign w:val="subscript"/>
        </w:rPr>
        <w:t>3</w:t>
      </w:r>
      <w:r>
        <w:rPr>
          <w:rFonts w:ascii="Times New Roman" w:hAnsi="Times New Roman"/>
          <w:b w:val="0"/>
          <w:i w:val="0"/>
          <w:sz w:val="20"/>
        </w:rPr>
        <w:t xml:space="preserve"> Perovskite Solar Cells,” Inorganics 12(4), 123 (2024). doi:10.3390/inorganics12040123.</w:t>
      </w:r>
    </w:p>
    <w:p>
      <w:pPr>
        <w:spacing w:line="336" w:lineRule="auto" w:before="40" w:after="40"/>
        <w:ind w:left="454" w:hanging="454"/>
      </w:pPr>
      <w:r>
        <w:rPr>
          <w:rFonts w:ascii="Times New Roman" w:hAnsi="Times New Roman"/>
          <w:b w:val="0"/>
          <w:i w:val="0"/>
          <w:sz w:val="20"/>
        </w:rPr>
        <w:t>[39] R. Islam, M. N. Uddin, M. J. Hossen, and A. Begum, “Photovoltaic performance of lead-free MASnI</w:t>
      </w:r>
      <w:r>
        <w:rPr>
          <w:rFonts w:ascii="Times New Roman" w:hAnsi="Times New Roman"/>
          <w:b w:val="0"/>
          <w:i w:val="0"/>
          <w:sz w:val="20"/>
          <w:vertAlign w:val="subscript"/>
        </w:rPr>
        <w:t>3</w:t>
      </w:r>
      <w:r>
        <w:rPr>
          <w:rFonts w:ascii="Times New Roman" w:hAnsi="Times New Roman"/>
          <w:b w:val="0"/>
          <w:i w:val="0"/>
          <w:sz w:val="20"/>
        </w:rPr>
        <w:t>-based perovskite solar cells with kesterite hole transport materials,” AIP Adv. 16(5) (2026). doi:10.1063/5.0315071.</w:t>
      </w:r>
    </w:p>
    <w:p>
      <w:pPr>
        <w:spacing w:line="336" w:lineRule="auto" w:before="40" w:after="40"/>
        <w:ind w:left="454" w:hanging="454"/>
      </w:pPr>
      <w:r>
        <w:rPr>
          <w:rFonts w:ascii="Times New Roman" w:hAnsi="Times New Roman" w:cs="Times New Roman"/>
          <w:b w:val="0"/>
          <w:i w:val="0"/>
          <w:sz w:val="20"/>
        </w:rPr>
        <w:t xml:space="preserve">[40] </w:t>
      </w:r>
      <w:r>
        <w:rPr>
          <w:rFonts w:ascii="Times New Roman" w:hAnsi="Times New Roman" w:cs="Times New Roman"/>
          <w:b w:val="0"/>
          <w:i w:val="0"/>
          <w:sz w:val="20"/>
        </w:rPr>
        <w:t>A. C. Piñón Reyes et al., “Study of a lead-free perovskite solar cell using CZTS as HTL to achieve a 20% PCE by SCAPS-1D simulation,” Micromachines 12(12), 1508 (2021). doi:10.3390/mi12121508.</w:t>
      </w:r>
    </w:p>
    <w:p>
      <w:pPr>
        <w:spacing w:line="336" w:lineRule="auto" w:before="40" w:after="40"/>
        <w:ind w:left="454" w:hanging="454"/>
      </w:pPr>
      <w:r>
        <w:rPr>
          <w:rFonts w:ascii="Times New Roman" w:hAnsi="Times New Roman"/>
          <w:b w:val="0"/>
          <w:i w:val="0"/>
          <w:sz w:val="20"/>
        </w:rPr>
        <w:t>[41] Z. Iqbal et al., “Interface modification for energy levels alignment and charge extraction in CsPbI</w:t>
      </w:r>
      <w:r>
        <w:rPr>
          <w:rFonts w:ascii="Times New Roman" w:hAnsi="Times New Roman"/>
          <w:b w:val="0"/>
          <w:i w:val="0"/>
          <w:sz w:val="20"/>
          <w:vertAlign w:val="subscript"/>
        </w:rPr>
        <w:t>3</w:t>
      </w:r>
      <w:r>
        <w:rPr>
          <w:rFonts w:ascii="Times New Roman" w:hAnsi="Times New Roman"/>
          <w:b w:val="0"/>
          <w:i w:val="0"/>
          <w:sz w:val="20"/>
        </w:rPr>
        <w:t xml:space="preserve"> perovskite solar cells,” arXiv:2307.13174 (2023); published in ACS Energy Lett. 8, 4304 (2023), doi:10.1021/acsenergylett.3c01522.</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