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détaillé : La TAP (Tap Issue) dans un Deal Financier</w:t>
      </w:r>
    </w:p>
    <w:p>
      <w:pPr>
        <w:pStyle w:val="Heading1"/>
      </w:pPr>
      <w:r>
        <w:t>1. Définition de la TAP</w:t>
      </w:r>
    </w:p>
    <w:p>
      <w:r>
        <w:t>La TAP (Tap Issue) est une opération financière qui consiste à émettre une nouvelle tranche d'une obligation déjà existante, avec les mêmes caractéristiques (taux, maturité, etc.). Elle permet à l’émetteur d’augmenter le montant de financement obtenu sans lancer une nouvelle émission obligataire.</w:t>
      </w:r>
    </w:p>
    <w:p>
      <w:pPr>
        <w:pStyle w:val="Heading1"/>
      </w:pPr>
      <w:r>
        <w:t>2. Objectifs / Finalités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Objectif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Financement complémentaire</w:t>
            </w:r>
          </w:p>
        </w:tc>
        <w:tc>
          <w:tcPr>
            <w:tcW w:type="dxa" w:w="4320"/>
          </w:tcPr>
          <w:p>
            <w:r>
              <w:t>Répondre à un besoin supplémentaire sans créer une nouvelle série.</w:t>
            </w:r>
          </w:p>
        </w:tc>
      </w:tr>
      <w:tr>
        <w:tc>
          <w:tcPr>
            <w:tcW w:type="dxa" w:w="4320"/>
          </w:tcPr>
          <w:p>
            <w:r>
              <w:t>Optimisation du coût du capital</w:t>
            </w:r>
          </w:p>
        </w:tc>
        <w:tc>
          <w:tcPr>
            <w:tcW w:type="dxa" w:w="4320"/>
          </w:tcPr>
          <w:p>
            <w:r>
              <w:t>Profiter de bonnes conditions de marché sans devoir renégocier un nouveau contrat.</w:t>
            </w:r>
          </w:p>
        </w:tc>
      </w:tr>
      <w:tr>
        <w:tc>
          <w:tcPr>
            <w:tcW w:type="dxa" w:w="4320"/>
          </w:tcPr>
          <w:p>
            <w:r>
              <w:t>Amélioration de la liquidité</w:t>
            </w:r>
          </w:p>
        </w:tc>
        <w:tc>
          <w:tcPr>
            <w:tcW w:type="dxa" w:w="4320"/>
          </w:tcPr>
          <w:p>
            <w:r>
              <w:t>Plus d’obligations en circulation = meilleure liquidité sur le marché secondaire.</w:t>
            </w:r>
          </w:p>
        </w:tc>
      </w:tr>
      <w:tr>
        <w:tc>
          <w:tcPr>
            <w:tcW w:type="dxa" w:w="4320"/>
          </w:tcPr>
          <w:p>
            <w:r>
              <w:t>Flexibilité stratégique</w:t>
            </w:r>
          </w:p>
        </w:tc>
        <w:tc>
          <w:tcPr>
            <w:tcW w:type="dxa" w:w="4320"/>
          </w:tcPr>
          <w:p>
            <w:r>
              <w:t>Permet de réagir rapidement aux besoins sans délais de structuration d’un nouveau deal.</w:t>
            </w:r>
          </w:p>
        </w:tc>
      </w:tr>
    </w:tbl>
    <w:p>
      <w:pPr>
        <w:pStyle w:val="Heading1"/>
      </w:pPr>
      <w:r>
        <w:t>3. Conditions d’une TAP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Condition</w:t>
            </w:r>
          </w:p>
        </w:tc>
        <w:tc>
          <w:tcPr>
            <w:tcW w:type="dxa" w:w="4320"/>
          </w:tcPr>
          <w:p>
            <w:r>
              <w:t>Détail</w:t>
            </w:r>
          </w:p>
        </w:tc>
      </w:tr>
      <w:tr>
        <w:tc>
          <w:tcPr>
            <w:tcW w:type="dxa" w:w="4320"/>
          </w:tcPr>
          <w:p>
            <w:r>
              <w:t>Émission initiale existante</w:t>
            </w:r>
          </w:p>
        </w:tc>
        <w:tc>
          <w:tcPr>
            <w:tcW w:type="dxa" w:w="4320"/>
          </w:tcPr>
          <w:p>
            <w:r>
              <w:t>La TAP repose sur une obligation déjà émise.</w:t>
            </w:r>
          </w:p>
        </w:tc>
      </w:tr>
      <w:tr>
        <w:tc>
          <w:tcPr>
            <w:tcW w:type="dxa" w:w="4320"/>
          </w:tcPr>
          <w:p>
            <w:r>
              <w:t>Mêmes caractéristiques</w:t>
            </w:r>
          </w:p>
        </w:tc>
        <w:tc>
          <w:tcPr>
            <w:tcW w:type="dxa" w:w="4320"/>
          </w:tcPr>
          <w:p>
            <w:r>
              <w:t>Taux d’intérêt, échéance, devises, clauses contractuelles identiques.</w:t>
            </w:r>
          </w:p>
        </w:tc>
      </w:tr>
      <w:tr>
        <w:tc>
          <w:tcPr>
            <w:tcW w:type="dxa" w:w="4320"/>
          </w:tcPr>
          <w:p>
            <w:r>
              <w:t>Prix de marché</w:t>
            </w:r>
          </w:p>
        </w:tc>
        <w:tc>
          <w:tcPr>
            <w:tcW w:type="dxa" w:w="4320"/>
          </w:tcPr>
          <w:p>
            <w:r>
              <w:t>La nouvelle tranche peut être émise à un prix différent (selon les taux d’intérêt actuels).</w:t>
            </w:r>
          </w:p>
        </w:tc>
      </w:tr>
      <w:tr>
        <w:tc>
          <w:tcPr>
            <w:tcW w:type="dxa" w:w="4320"/>
          </w:tcPr>
          <w:p>
            <w:r>
              <w:t>Approbation réglementaire</w:t>
            </w:r>
          </w:p>
        </w:tc>
        <w:tc>
          <w:tcPr>
            <w:tcW w:type="dxa" w:w="4320"/>
          </w:tcPr>
          <w:p>
            <w:r>
              <w:t>Certaines juridictions imposent des limites ou autorisations pour une TAP.</w:t>
            </w:r>
          </w:p>
        </w:tc>
      </w:tr>
      <w:tr>
        <w:tc>
          <w:tcPr>
            <w:tcW w:type="dxa" w:w="4320"/>
          </w:tcPr>
          <w:p>
            <w:r>
              <w:t>Demande du marché</w:t>
            </w:r>
          </w:p>
        </w:tc>
        <w:tc>
          <w:tcPr>
            <w:tcW w:type="dxa" w:w="4320"/>
          </w:tcPr>
          <w:p>
            <w:r>
              <w:t>Il doit y avoir un intérêt suffisant des investisseurs.</w:t>
            </w:r>
          </w:p>
        </w:tc>
      </w:tr>
    </w:tbl>
    <w:p>
      <w:pPr>
        <w:pStyle w:val="Heading1"/>
      </w:pPr>
      <w:r>
        <w:t>4. Impact sur le Deal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Élément du Deal</w:t>
            </w:r>
          </w:p>
        </w:tc>
        <w:tc>
          <w:tcPr>
            <w:tcW w:type="dxa" w:w="4320"/>
          </w:tcPr>
          <w:p>
            <w:r>
              <w:t>Impact de la TAP</w:t>
            </w:r>
          </w:p>
        </w:tc>
      </w:tr>
      <w:tr>
        <w:tc>
          <w:tcPr>
            <w:tcW w:type="dxa" w:w="4320"/>
          </w:tcPr>
          <w:p>
            <w:r>
              <w:t>Montant levé</w:t>
            </w:r>
          </w:p>
        </w:tc>
        <w:tc>
          <w:tcPr>
            <w:tcW w:type="dxa" w:w="4320"/>
          </w:tcPr>
          <w:p>
            <w:r>
              <w:t>Augmente (ex: de 100M€ à 150M€).</w:t>
            </w:r>
          </w:p>
        </w:tc>
      </w:tr>
      <w:tr>
        <w:tc>
          <w:tcPr>
            <w:tcW w:type="dxa" w:w="4320"/>
          </w:tcPr>
          <w:p>
            <w:r>
              <w:t>Structure du deal</w:t>
            </w:r>
          </w:p>
        </w:tc>
        <w:tc>
          <w:tcPr>
            <w:tcW w:type="dxa" w:w="4320"/>
          </w:tcPr>
          <w:p>
            <w:r>
              <w:t>Inchangée, car caractéristiques identiques.</w:t>
            </w:r>
          </w:p>
        </w:tc>
      </w:tr>
      <w:tr>
        <w:tc>
          <w:tcPr>
            <w:tcW w:type="dxa" w:w="4320"/>
          </w:tcPr>
          <w:p>
            <w:r>
              <w:t>Prix d’émission</w:t>
            </w:r>
          </w:p>
        </w:tc>
        <w:tc>
          <w:tcPr>
            <w:tcW w:type="dxa" w:w="4320"/>
          </w:tcPr>
          <w:p>
            <w:r>
              <w:t>Peut différer selon le contexte de marché.</w:t>
            </w:r>
          </w:p>
        </w:tc>
      </w:tr>
      <w:tr>
        <w:tc>
          <w:tcPr>
            <w:tcW w:type="dxa" w:w="4320"/>
          </w:tcPr>
          <w:p>
            <w:r>
              <w:t>Calendrier</w:t>
            </w:r>
          </w:p>
        </w:tc>
        <w:tc>
          <w:tcPr>
            <w:tcW w:type="dxa" w:w="4320"/>
          </w:tcPr>
          <w:p>
            <w:r>
              <w:t>Émission rapide, car structure déjà prête.</w:t>
            </w:r>
          </w:p>
        </w:tc>
      </w:tr>
    </w:tbl>
    <w:p>
      <w:pPr>
        <w:pStyle w:val="Heading1"/>
      </w:pPr>
      <w:r>
        <w:t>5. Impact sur le Contrat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Élément</w:t>
            </w:r>
          </w:p>
        </w:tc>
        <w:tc>
          <w:tcPr>
            <w:tcW w:type="dxa" w:w="4320"/>
          </w:tcPr>
          <w:p>
            <w:r>
              <w:t>Impact</w:t>
            </w:r>
          </w:p>
        </w:tc>
      </w:tr>
      <w:tr>
        <w:tc>
          <w:tcPr>
            <w:tcW w:type="dxa" w:w="4320"/>
          </w:tcPr>
          <w:p>
            <w:r>
              <w:t>Clauses juridiques</w:t>
            </w:r>
          </w:p>
        </w:tc>
        <w:tc>
          <w:tcPr>
            <w:tcW w:type="dxa" w:w="4320"/>
          </w:tcPr>
          <w:p>
            <w:r>
              <w:t>Pas de modification, la TAP suit les mêmes conditions contractuelles.</w:t>
            </w:r>
          </w:p>
        </w:tc>
      </w:tr>
      <w:tr>
        <w:tc>
          <w:tcPr>
            <w:tcW w:type="dxa" w:w="4320"/>
          </w:tcPr>
          <w:p>
            <w:r>
              <w:t>Documentation légale</w:t>
            </w:r>
          </w:p>
        </w:tc>
        <w:tc>
          <w:tcPr>
            <w:tcW w:type="dxa" w:w="4320"/>
          </w:tcPr>
          <w:p>
            <w:r>
              <w:t>Mise à jour des annexes pour inclure le montant supplémentaire.</w:t>
            </w:r>
          </w:p>
        </w:tc>
      </w:tr>
      <w:tr>
        <w:tc>
          <w:tcPr>
            <w:tcW w:type="dxa" w:w="4320"/>
          </w:tcPr>
          <w:p>
            <w:r>
              <w:t>Information des parties</w:t>
            </w:r>
          </w:p>
        </w:tc>
        <w:tc>
          <w:tcPr>
            <w:tcW w:type="dxa" w:w="4320"/>
          </w:tcPr>
          <w:p>
            <w:r>
              <w:t>Les investisseurs initiaux doivent être informés.</w:t>
            </w:r>
          </w:p>
        </w:tc>
      </w:tr>
      <w:tr>
        <w:tc>
          <w:tcPr>
            <w:tcW w:type="dxa" w:w="4320"/>
          </w:tcPr>
          <w:p>
            <w:r>
              <w:t>Reporting</w:t>
            </w:r>
          </w:p>
        </w:tc>
        <w:tc>
          <w:tcPr>
            <w:tcW w:type="dxa" w:w="4320"/>
          </w:tcPr>
          <w:p>
            <w:r>
              <w:t>Ajout d’un historique de TAP dans les rapports réglementaires.</w:t>
            </w:r>
          </w:p>
        </w:tc>
      </w:tr>
    </w:tbl>
    <w:p>
      <w:pPr>
        <w:pStyle w:val="Heading1"/>
      </w:pPr>
      <w:r>
        <w:t>6. Impact sur les Investisseurs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Impact</w:t>
            </w:r>
          </w:p>
        </w:tc>
      </w:tr>
      <w:tr>
        <w:tc>
          <w:tcPr>
            <w:tcW w:type="dxa" w:w="4320"/>
          </w:tcPr>
          <w:p>
            <w:r>
              <w:t>Détenteurs actuels</w:t>
            </w:r>
          </w:p>
        </w:tc>
        <w:tc>
          <w:tcPr>
            <w:tcW w:type="dxa" w:w="4320"/>
          </w:tcPr>
          <w:p>
            <w:r>
              <w:t>Pas d’impact direct sur leurs titres (mêmes conditions).</w:t>
            </w:r>
          </w:p>
        </w:tc>
      </w:tr>
      <w:tr>
        <w:tc>
          <w:tcPr>
            <w:tcW w:type="dxa" w:w="4320"/>
          </w:tcPr>
          <w:p>
            <w:r>
              <w:t>Nouveaux investisseurs</w:t>
            </w:r>
          </w:p>
        </w:tc>
        <w:tc>
          <w:tcPr>
            <w:tcW w:type="dxa" w:w="4320"/>
          </w:tcPr>
          <w:p>
            <w:r>
              <w:t>Accès à la même émission, mais souvent à un prix d’achat différent (impact sur le rendement).</w:t>
            </w:r>
          </w:p>
        </w:tc>
      </w:tr>
      <w:tr>
        <w:tc>
          <w:tcPr>
            <w:tcW w:type="dxa" w:w="4320"/>
          </w:tcPr>
          <w:p>
            <w:r>
              <w:t>Liquidité</w:t>
            </w:r>
          </w:p>
        </w:tc>
        <w:tc>
          <w:tcPr>
            <w:tcW w:type="dxa" w:w="4320"/>
          </w:tcPr>
          <w:p>
            <w:r>
              <w:t>Améliorée : plus de titres disponibles = transactions facilitées.</w:t>
            </w:r>
          </w:p>
        </w:tc>
      </w:tr>
      <w:tr>
        <w:tc>
          <w:tcPr>
            <w:tcW w:type="dxa" w:w="4320"/>
          </w:tcPr>
          <w:p>
            <w:r>
              <w:t>Perception du risque</w:t>
            </w:r>
          </w:p>
        </w:tc>
        <w:tc>
          <w:tcPr>
            <w:tcW w:type="dxa" w:w="4320"/>
          </w:tcPr>
          <w:p>
            <w:r>
              <w:t>Neutre à positive, sauf si le marché suspecte un besoin urgent de financement.</w:t>
            </w:r>
          </w:p>
        </w:tc>
      </w:tr>
    </w:tbl>
    <w:p>
      <w:pPr>
        <w:pStyle w:val="Heading1"/>
      </w:pPr>
      <w:r>
        <w:t>7. Exemple simplifié</w:t>
      </w:r>
    </w:p>
    <w:p>
      <w:r>
        <w:t>- Émission initiale : 100 M€ d’obligations, coupon 3%, échéance 2030</w:t>
        <w:br/>
        <w:t>- TAP : 50 M€ supplémentaires émis 6 mois après, à 98,5€ (rendement plus élevé car taux du marché montés)</w:t>
        <w:br/>
        <w:t>- Résultat :</w:t>
        <w:br/>
        <w:t xml:space="preserve">  - Nouvelle taille totale de l’émission : 150 M€</w:t>
        <w:br/>
        <w:t xml:space="preserve">  - Mêmes conditions contractuelles</w:t>
        <w:br/>
        <w:t xml:space="preserve">  - Titre plus liquide</w:t>
        <w:br/>
        <w:t xml:space="preserve">  - Impact neutre pour les détenteurs initiaux</w:t>
      </w:r>
    </w:p>
    <w:p>
      <w:pPr>
        <w:pStyle w:val="Heading1"/>
      </w:pPr>
      <w:r>
        <w:t>8. Utilisation dans une Application</w:t>
      </w:r>
    </w:p>
    <w:p>
      <w:r>
        <w:t>Pour intégrer la gestion des TAP dans une application, voici quelques entités utiles :</w:t>
      </w:r>
    </w:p>
    <w:p>
      <w:r>
        <w:t>Entité Deal :</w:t>
      </w:r>
    </w:p>
    <w:p>
      <w:pPr>
        <w:pStyle w:val="ListBullet"/>
      </w:pPr>
      <w:r>
        <w:t>- Montant initial</w:t>
        <w:br/>
        <w:t>- Taux</w:t>
        <w:br/>
        <w:t>- Échéance</w:t>
        <w:br/>
        <w:t>- Type d’émission : Initiale / TAP</w:t>
        <w:br/>
        <w:t>- Historique des TAP</w:t>
      </w:r>
    </w:p>
    <w:p>
      <w:r>
        <w:t>Entité TapIssue :</w:t>
      </w:r>
    </w:p>
    <w:p>
      <w:pPr>
        <w:pStyle w:val="ListBullet"/>
      </w:pPr>
      <w:r>
        <w:t>- Date d’émission</w:t>
        <w:br/>
        <w:t>- Montant ajouté</w:t>
        <w:br/>
        <w:t>- Prix d’émission</w:t>
        <w:br/>
        <w:t>- Raison stratégique</w:t>
        <w:br/>
        <w:t>- Lien vers le Deal parent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