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sz w:val="32"/>
        </w:rPr>
        <w:t>QuakeStudio: Interactive 3D Building Modeling and Earthquake Simulation Website for Analyzing Structural Response and Lateral Sway</w:t>
      </w:r>
    </w:p>
    <w:p>
      <w:pPr>
        <w:jc w:val="center"/>
      </w:pPr>
      <w:r>
        <w:rPr>
          <w:sz w:val="24"/>
        </w:rPr>
        <w:t>Chapters 1-3 (Thesis Draft)</w:t>
      </w:r>
    </w:p>
    <w:p/>
    <w:p/>
    <w:p>
      <w:pPr>
        <w:jc w:val="center"/>
      </w:pPr>
      <w:r>
        <w:rPr>
          <w:sz w:val="24"/>
        </w:rPr>
        <w:t>Abantao, Lennon Nicholas G.</w:t>
      </w:r>
    </w:p>
    <w:p>
      <w:pPr>
        <w:jc w:val="center"/>
      </w:pPr>
      <w:r>
        <w:rPr>
          <w:sz w:val="24"/>
        </w:rPr>
        <w:t>Centeno, Crystal Faith L.</w:t>
      </w:r>
    </w:p>
    <w:p>
      <w:pPr>
        <w:jc w:val="center"/>
      </w:pPr>
      <w:r>
        <w:rPr>
          <w:sz w:val="24"/>
        </w:rPr>
        <w:t>Tulabing, Goddess Gianlycka F.</w:t>
      </w:r>
    </w:p>
    <w:p>
      <w:pPr>
        <w:jc w:val="center"/>
      </w:pPr>
      <w:r>
        <w:rPr>
          <w:sz w:val="24"/>
        </w:rPr>
        <w:t>October 2026</w:t>
      </w:r>
    </w:p>
    <w:p/>
    <w:p>
      <w:pPr>
        <w:jc w:val="center"/>
      </w:pPr>
      <w:r>
        <w:rPr>
          <w:i/>
          <w:sz w:val="20"/>
        </w:rPr>
        <w:t>Educational simulation using simplified assumptions. Not a structural safety assessment. Every engineering coefficient is a placeholder pending review by a civil/structural engineer.</w:t>
      </w:r>
    </w:p>
    <w:p>
      <w:r>
        <w:br w:type="page"/>
      </w:r>
    </w:p>
    <w:p>
      <w:pPr>
        <w:pStyle w:val="Heading1"/>
        <w:jc w:val="center"/>
      </w:pPr>
      <w:r>
        <w:t>CHAPTER 1</w:t>
      </w:r>
    </w:p>
    <w:p>
      <w:pPr>
        <w:pStyle w:val="Heading2"/>
      </w:pPr>
      <w:r>
        <w:t>INTRODUCTION</w:t>
      </w:r>
    </w:p>
    <w:p>
      <w:pPr>
        <w:pStyle w:val="Heading3"/>
      </w:pPr>
      <w:r>
        <w:t>Background of the Study</w:t>
      </w:r>
    </w:p>
    <w:p>
      <w:pPr>
        <w:jc w:val="both"/>
      </w:pPr>
      <w:r>
        <w:t>Earthquakes impose lateral demands on buildings through ground shaking, and the resulting floor movement depends jointly on the characteristics of the ground motion and the properties of the structure. For students beginning to study earthquake behavior, the relationship between input shaking, structural characteristics, and time-varying lateral displacement is central but difficult to grasp from equations alone. Hsu et al. (2022) demonstrated that coupling dynamic analysis with three-dimensional visualization can make calculated seismic responses inspectable, providing a precedent for connecting computation with visible building movement.</w:t>
      </w:r>
    </w:p>
    <w:p>
      <w:pPr>
        <w:jc w:val="both"/>
      </w:pPr>
      <w:r>
        <w:t>QuakeStudio is developed in this context as an educational, browser-based prototype for interactive 3D building modeling and simplified earthquake simulation. The user creates a regular multistory building by selecting a template or adjusting the number of floors, floor height, plan dimensions, material, and structural frame type; applies a specified synthetic ground-motion input; and observes the animated lateral response together with displacement measurements and graphs. Comparison of up to four configurations under the identical earthquake is supported so that differences in response can be examined while holding the input fixed.</w:t>
      </w:r>
    </w:p>
    <w:p>
      <w:pPr>
        <w:jc w:val="both"/>
      </w:pPr>
      <w:r>
        <w:t>The prototype implements a linear-elastic shear-building model in one horizontal direction. Floor masses are lumped at each level, stories provide lateral stiffness between levels, and viscous damping is represented through Rayleigh damping calibrated at the first two modes. The equations of motion,</w:t>
      </w:r>
    </w:p>
    <w:p>
      <w:pPr>
        <w:jc w:val="both"/>
      </w:pPr>
      <w:r>
        <w:t>M·ü + C·u̇ + K·u = −M·1·a_g(t),</w:t>
      </w:r>
    </w:p>
    <w:p>
      <w:pPr>
        <w:jc w:val="both"/>
      </w:pPr>
      <w:r>
        <w:t>are integrated with the Newmark average-acceleration method (β = 1/4, γ = 1/2) at a fixed timestep dt = 0.01 s. Zuo et al. (2022) describe idealized shear-building models as a low-computational-cost simplification widely used to approximate multistory seismic response, which supports their selection for a student prototype subject to a two-to-three-month development scope. Ji et al. (2023) further underscore the engineering relevance of interstory drift measurement in shaking-table assessment, which motivates reporting drift alongside displacement in the prototype.</w:t>
      </w:r>
    </w:p>
    <w:p>
      <w:pPr>
        <w:jc w:val="both"/>
      </w:pPr>
      <w:r>
        <w:t>Browser delivery is adopted because it requires no specialized software installation. Wang et al. (2025) demonstrated the technical potential of WebGL for interactive seismic visualization in the browser, which provides the technical basis for the present 3D viewport, playback controls, and charting. Kuncoro et al. (2023) reported favorable learning outcomes from virtual-reality media on earthquake-resistant construction for civil engineering students, which motivates investigating the educational potential of interactive visualization while stopping short of claiming measured learning gains before an appropriate learning assessment is conducted.</w:t>
      </w:r>
    </w:p>
    <w:p>
      <w:pPr>
        <w:jc w:val="both"/>
      </w:pPr>
      <w:r>
        <w:t xml:space="preserve">Critically, every engineering coefficient in the prototype is a placeholder pending review by a civil or structural engineering adviser. The single source of truth is </w:t>
      </w:r>
      <w:r>
        <w:rPr>
          <w:rFonts w:ascii="Consolas" w:hAnsi="Consolas"/>
          <w:sz w:val="22"/>
        </w:rPr>
        <w:t>apps/web/src/config/engineeringAssumptions.ts</w:t>
      </w:r>
      <w:r>
        <w:t>, in which each assumed value carries an explicit placeholder marker enforced by unit test. Cross-validation proves only that the code implements the documented model faithfully; it cannot prove that the model coefficients are physically correct. A disclaimer to this effect is visible in the application at all times, and the About and Assumptions page derives its rows from the configuration file at runtime so that displayed assumptions cannot drift from what the engine executes. Damage prediction and structural safety certification are outside the scope of the study.</w:t>
      </w:r>
    </w:p>
    <w:p>
      <w:pPr>
        <w:pStyle w:val="Heading3"/>
      </w:pPr>
      <w:r>
        <w:t>Statement of the Problem</w:t>
      </w:r>
    </w:p>
    <w:p>
      <w:pPr>
        <w:jc w:val="both"/>
      </w:pPr>
      <w:r>
        <w:t>Buildings undergo lateral movement during earthquake ground shaking, and that response must be examined in relation to both the imposed motion and the properties of the structure. Hsu et al. (2022) connected dynamic building analysis with 3D visualization to present calculated seismic responses. For this student research project, the problem is to connect those numerical responses with an understandable model that users can inspect, modify, and compare, displaying floor movement alongside displacement measurements so that users can examine how response changes throughout a simulation.</w:t>
      </w:r>
    </w:p>
    <w:p>
      <w:pPr>
        <w:jc w:val="both"/>
      </w:pPr>
      <w:r>
        <w:t>Specifically, the study addresses the following:</w:t>
      </w:r>
    </w:p>
    <w:p>
      <w:pPr>
        <w:pStyle w:val="ListNumber"/>
      </w:pPr>
      <w:r>
        <w:t>How can building geometry (number of floors, floor height, plan width and depth), structural properties (material, frame type, derived mass, stiffness, and damping), and earthquake inputs (preset, peak ground acceleration, frequency, duration) be connected to time-varying floor displacement within an understandable browser interface?</w:t>
      </w:r>
    </w:p>
    <w:p>
      <w:pPr>
        <w:pStyle w:val="ListNumber"/>
      </w:pPr>
      <w:r>
        <w:t>How can calculated floor displacements be made to drive both the 3D animation and the displacement graphs so that visible movement is always consistent with the reported numbers?</w:t>
      </w:r>
    </w:p>
    <w:p>
      <w:pPr>
        <w:pStyle w:val="ListNumber"/>
      </w:pPr>
      <w:r>
        <w:t>How can users be enabled to compare up to four building configurations under the identical ground motion using common measurements — peak floor displacement relative to the ground, displacement over time, maximum interstory drift ratio, and natural periods — with reproducible inputs and stated assumptions?</w:t>
      </w:r>
    </w:p>
    <w:p>
      <w:pPr>
        <w:pStyle w:val="ListNumber"/>
      </w:pPr>
      <w:r>
        <w:t>How can simulation outputs be shown to agree with independent reference calculations, and how can users' ability to configure models, run simulations, and interpret and compare displayed results be evaluated without overstating educational or safety claims?</w:t>
      </w:r>
    </w:p>
    <w:p>
      <w:pPr>
        <w:jc w:val="both"/>
      </w:pPr>
      <w:r>
        <w:t>The civil engineering consultation identified soil type, earthquake magnitude and intensity, building material, fault distance, building height or number of stories, and foundation type as relevant features in real assessment. Translating the full set into a verified educational model exceeds the prototype scope. Soil type, foundation type, fault distance, and a 0–10 capability rating are therefore treated as proposed future scope (Phase 7), visible but disabled in the interface, and are not among the computed outputs of the present prototype.</w:t>
      </w:r>
    </w:p>
    <w:p>
      <w:pPr>
        <w:pStyle w:val="Heading3"/>
      </w:pPr>
      <w:r>
        <w:t>Objectives of the Study</w:t>
      </w:r>
    </w:p>
    <w:p>
      <w:pPr>
        <w:jc w:val="both"/>
      </w:pPr>
      <w:r>
        <w:rPr>
          <w:b/>
        </w:rPr>
        <w:t>General Objective</w:t>
      </w:r>
    </w:p>
    <w:p>
      <w:pPr>
        <w:jc w:val="both"/>
      </w:pPr>
      <w:r>
        <w:t>To develop QuakeStudio as a simplified, browser-based platform for visualizing earthquake-related building response, in which user-selected building characteristics and a specified ground-motion input produce a computed lateral response that is shown consistently as 3D animation and as numerical and graphical outputs.</w:t>
      </w:r>
    </w:p>
    <w:p>
      <w:pPr>
        <w:jc w:val="both"/>
      </w:pPr>
      <w:r>
        <w:rPr>
          <w:b/>
        </w:rPr>
        <w:t>Specific Objectives</w:t>
      </w:r>
    </w:p>
    <w:p>
      <w:pPr>
        <w:pStyle w:val="ListNumber"/>
      </w:pPr>
      <w:r>
        <w:t>To implement a regular multistory linear-elastic shear-building model with lumped floor mass, story stiffness, and Rayleigh damping, integrated with Newmark-β (β = 1/4, γ = 1/2) at dt = 0.01 s in a Web Worker, with all engineering coefficients isolated in a single reviewed assumptions file.</w:t>
      </w:r>
    </w:p>
    <w:p>
      <w:pPr>
        <w:pStyle w:val="ListNumber"/>
      </w:pPr>
      <w:r>
        <w:t>To implement a browser-based 3D environment with template selection, parameter controls, playback (speed, pause, loop, ×20 motion exaggeration applied to the view only), displacement-over-time and peak-by-floor charts, metric cards, hover floor callouts, and CSV/JSON run export and import.</w:t>
      </w:r>
    </w:p>
    <w:p>
      <w:pPr>
        <w:pStyle w:val="ListNumber"/>
      </w:pPr>
      <w:r>
        <w:t>To implement comparison of up to four buildings (A–D) under the identical ground motion in a single worker request, with side-by-side and ghost-overlay presentations, fixed series hues with letter labels, and a change-from-A column that states no verdict of which building is better.</w:t>
      </w:r>
    </w:p>
    <w:p>
      <w:pPr>
        <w:pStyle w:val="ListNumber"/>
      </w:pPr>
      <w:r>
        <w:t>To verify calculation fidelity through cross-check of the TypeScript engine against an independent Python (NumPy/SciPy) reference solver over a 16-case matrix with a 1e-6 agreement gate, and to confirm animation-graph numerical consistency and run reproducibility.</w:t>
      </w:r>
    </w:p>
    <w:p>
      <w:pPr>
        <w:pStyle w:val="ListNumber"/>
      </w:pPr>
      <w:r>
        <w:t>To evaluate functionality, browser performance (entry JavaScript against a 220 KB gzip budget, 60 fps animation with zero React renders in the loop), accessibility (axe-core plus keyboard and live-region checks), and usability through task-based trials and the System Usability Scale, with the usability study reported only after real participants are tested.</w:t>
      </w:r>
    </w:p>
    <w:p>
      <w:pPr>
        <w:pStyle w:val="Heading3"/>
      </w:pPr>
      <w:r>
        <w:t>Significance of the Study</w:t>
      </w:r>
    </w:p>
    <w:p>
      <w:pPr>
        <w:jc w:val="both"/>
      </w:pPr>
      <w:r>
        <w:rPr>
          <w:b/>
        </w:rPr>
        <w:t>Students.</w:t>
      </w:r>
      <w:r>
        <w:t xml:space="preserve"> The prototype provides an inspectable link between building choices and simulated lateral sway. By holding the earthquake fixed while varying height, material, or frame type, students can examine relative behavior — for example, that a braced frame sways less than the same building as a moment frame, or that a taller building exhibits a longer fundamental period — without requiring licensed analysis software.</w:t>
      </w:r>
    </w:p>
    <w:p>
      <w:pPr>
        <w:jc w:val="both"/>
      </w:pPr>
      <w:r>
        <w:rPr>
          <w:b/>
        </w:rPr>
        <w:t>Teachers.</w:t>
      </w:r>
      <w:r>
        <w:t xml:space="preserve"> The platform offers a classroom-ready demonstration that runs offline after download, including as a self-contained Android package for laboratories with limited connectivity. Saved runs, exported CSV at full precision in displayed units, and JSON export/import support guided exercises and review.</w:t>
      </w:r>
    </w:p>
    <w:p>
      <w:pPr>
        <w:jc w:val="both"/>
      </w:pPr>
      <w:r>
        <w:rPr>
          <w:b/>
        </w:rPr>
        <w:t>Student Researchers and Programmer.</w:t>
      </w:r>
      <w:r>
        <w:t xml:space="preserve"> The project enforces maintainable practice: single-source engineering constants, single-source design tokens, batched solver requests, deterministic simulation, and verification that gates integration. These constraints keep the prototype auditable by the engineering adviser.</w:t>
      </w:r>
    </w:p>
    <w:p>
      <w:pPr>
        <w:jc w:val="both"/>
      </w:pPr>
      <w:r>
        <w:rPr>
          <w:b/>
        </w:rPr>
        <w:t>Engineering Adviser.</w:t>
      </w:r>
      <w:r>
        <w:t xml:space="preserve"> All assumptions, open questions, measured limitations (notably drift-band calibration and material-independent period coefficients), and verification evidence are documented in a review packet, so that review effort concentrates on physical correctness rather than on reconstructing what the code does.</w:t>
      </w:r>
    </w:p>
    <w:p>
      <w:pPr>
        <w:jc w:val="both"/>
      </w:pPr>
      <w:r>
        <w:rPr>
          <w:b/>
        </w:rPr>
        <w:t>Future Researchers.</w:t>
      </w:r>
      <w:r>
        <w:t xml:space="preserve"> The instrumented usability protocol, scoring cross-check, and drift-distribution analysis provide a starting point for a properly powered classroom study and for the deferred site-factors extension, subject to client and adviser approval.</w:t>
      </w:r>
    </w:p>
    <w:p>
      <w:pPr>
        <w:pStyle w:val="Heading3"/>
      </w:pPr>
      <w:r>
        <w:t>Scope and Delimitations</w:t>
      </w:r>
    </w:p>
    <w:p>
      <w:pPr>
        <w:jc w:val="both"/>
      </w:pPr>
      <w:r>
        <w:t>The prototype is limited to the following implemented scope:</w:t>
      </w:r>
    </w:p>
    <w:p>
      <w:pPr>
        <w:pStyle w:val="ListBullet"/>
      </w:pPr>
      <w:r>
        <w:rPr>
          <w:b/>
        </w:rPr>
        <w:t>Building:</w:t>
      </w:r>
      <w:r>
        <w:t xml:space="preserve"> Regular multistory building, 1–20 floors; floor height 2.2–5.0 m (default 3.0 m); plan 4–40 m (defaults 14 × 10 m); materials concrete, steel, composite, wood; frames moment (stiffness factor 1.0) and braced (factor 2.0). Default is a 5-story concrete moment frame. Each floor's counted earthquake weight is (dead load + ψ × live load) × floor area, with a 4.8 kPa editable dead load, live loads set per floor use (office 2.4, residential 1.9, parking 2.4, storage 6.0 kPa, from published summaries of NSCP 2015 Table 205-1), and ψ = 0.25 — all placeholders pending engineer review. Damping ratios are 2–5% by material (placeholders). Period coefficients Ct = 0.072 and exponent x = 0.8 are identical for all four materials (known weakness, flagged for adviser review).</w:t>
      </w:r>
    </w:p>
    <w:p>
      <w:pPr>
        <w:pStyle w:val="ListBullet"/>
      </w:pPr>
      <w:r>
        <w:rPr>
          <w:b/>
        </w:rPr>
        <w:t>Motion:</w:t>
      </w:r>
      <w:r>
        <w:t xml:space="preserve"> Three synthetic presets — harmonic pulse, band-limited random (seeded, default 20240501), single impulse — scaled to exact peak ground acceleration 0.05–0.60 g (default 0.30 g); frequency 0.2–5.0 Hz where applicable (default 1.4 Hz); duration 5–60 s (default 20 s). No recorded accelerograms are used in the prototype.</w:t>
      </w:r>
    </w:p>
    <w:p>
      <w:pPr>
        <w:pStyle w:val="ListBullet"/>
      </w:pPr>
      <w:r>
        <w:rPr>
          <w:b/>
        </w:rPr>
        <w:t>Computation:</w:t>
      </w:r>
      <w:r>
        <w:t xml:space="preserve"> One horizontal direction only; linear-elastic response only; no damage, yielding, soil–structure interaction, vertical motion, torsion, or safety assessment. Engine units are SI (metres, seconds); the interface converts to millimetres and percent at the display edge.</w:t>
      </w:r>
    </w:p>
    <w:p>
      <w:pPr>
        <w:pStyle w:val="ListBullet"/>
      </w:pPr>
      <w:r>
        <w:rPr>
          <w:b/>
        </w:rPr>
        <w:t>Outputs:</w:t>
      </w:r>
      <w:r>
        <w:t xml:space="preserve"> Per-floor displacement history, peak floor displacement, maximum displacement, interstory drift ratio (difference of per-floor peaks divided by story height), maximum drift ratio with worst-story index, first three natural periods, and ground acceleration history. Motion exaggeration (default ×20, range 1–60) magnifies the 3D view only; numbers are unaffected.</w:t>
      </w:r>
    </w:p>
    <w:p>
      <w:pPr>
        <w:pStyle w:val="ListBullet"/>
      </w:pPr>
      <w:r>
        <w:rPr>
          <w:b/>
        </w:rPr>
        <w:t>Platform:</w:t>
      </w:r>
      <w:r>
        <w:t xml:space="preserve"> Progressive Web App installable on Android and desktop Chromium; ordinary web page on Safari/iOS (install not offered where the platform exposes no install API). Offline use after download. Service worker is disabled inside the Android package to avoid serving a stale precache after update.</w:t>
      </w:r>
    </w:p>
    <w:p>
      <w:pPr>
        <w:jc w:val="both"/>
      </w:pPr>
      <w:r>
        <w:t>Explicitly excluded from computed results in this study are soil type, foundation type, fault distance effects, and any 0–10 capability rating. Those controls appear in the interface as disabled future scope and will require separate engineering approval before implementation. Claims of improved learning are also excluded until a dedicated learning assessment with real participants is completed; the present usability work ships the instrument, not a score.</w:t>
      </w:r>
    </w:p>
    <w:p>
      <w:pPr>
        <w:pStyle w:val="Heading3"/>
      </w:pPr>
      <w:r>
        <w:t>Definition of Terms</w:t>
      </w:r>
    </w:p>
    <w:p>
      <w:pPr>
        <w:jc w:val="both"/>
      </w:pPr>
      <w:r>
        <w:rPr>
          <w:b/>
        </w:rPr>
        <w:t>Floor displacement.</w:t>
      </w:r>
      <w:r>
        <w:t xml:space="preserve"> Horizontal displacement of a floor relative to the ground, in metres inside the engine and shown in millimetres. Operationally, </w:t>
      </w:r>
      <w:r>
        <w:rPr>
          <w:rFonts w:ascii="Consolas" w:hAnsi="Consolas"/>
          <w:sz w:val="22"/>
        </w:rPr>
        <w:t>SimulationResult.floorDisp[floor][time]</w:t>
      </w:r>
      <w:r>
        <w:t>.</w:t>
      </w:r>
    </w:p>
    <w:p>
      <w:pPr>
        <w:jc w:val="both"/>
      </w:pPr>
      <w:r>
        <w:rPr>
          <w:b/>
        </w:rPr>
        <w:t>Peak floor displacement.</w:t>
      </w:r>
      <w:r>
        <w:t xml:space="preserve"> Maximum absolute displacement attained by a floor over the record. The building maximum is the largest across floors.</w:t>
      </w:r>
    </w:p>
    <w:p>
      <w:pPr>
        <w:jc w:val="both"/>
      </w:pPr>
      <w:r>
        <w:rPr>
          <w:b/>
        </w:rPr>
        <w:t>Interstory drift ratio.</w:t>
      </w:r>
      <w:r>
        <w:t xml:space="preserve"> For each story, the difference between the peak displacement of a floor and that of the floor below (ground taken as zero for story 1), divided by the story height, as a fraction and shown as percent. The prototype uses difference-of-peaks, which is documented as differing from simultaneous-peak drift and flagged for adviser review.</w:t>
      </w:r>
    </w:p>
    <w:p>
      <w:pPr>
        <w:jc w:val="both"/>
      </w:pPr>
      <w:r>
        <w:rPr>
          <w:b/>
        </w:rPr>
        <w:t>Fundamental period (T1).</w:t>
      </w:r>
      <w:r>
        <w:t xml:space="preserve"> Longest natural period from T1 = Ct·H^x, in seconds, where H is total height. Story stiffness is then calibrated in closed form to deliver that period for the uniform shear building before application of the frame factor.</w:t>
      </w:r>
    </w:p>
    <w:p>
      <w:pPr>
        <w:jc w:val="both"/>
      </w:pPr>
      <w:r>
        <w:rPr>
          <w:b/>
        </w:rPr>
        <w:t>Peak ground acceleration (PGA).</w:t>
      </w:r>
      <w:r>
        <w:t xml:space="preserve"> Largest absolute ground acceleration in the generated record, in g and scaled exactly to the user setting.</w:t>
      </w:r>
    </w:p>
    <w:p>
      <w:pPr>
        <w:jc w:val="both"/>
      </w:pPr>
      <w:r>
        <w:rPr>
          <w:b/>
        </w:rPr>
        <w:t>Newmark average-acceleration integration.</w:t>
      </w:r>
      <w:r>
        <w:t xml:space="preserve"> Time-stepping with β = 1/4 and γ = 1/2, unconditionally stable and non-dissipative, used to solve the equations of motion at dt = 0.01 s.</w:t>
      </w:r>
    </w:p>
    <w:p>
      <w:pPr>
        <w:jc w:val="both"/>
      </w:pPr>
      <w:r>
        <w:rPr>
          <w:b/>
        </w:rPr>
        <w:t>Rayleigh damping.</w:t>
      </w:r>
      <w:r>
        <w:t xml:space="preserve"> Viscous damping matrix C = a0·M + a1·K with coefficients fitted to the material damping ratio at the first two modes (mass-proportional fallback for a single floor).</w:t>
      </w:r>
    </w:p>
    <w:p>
      <w:pPr>
        <w:jc w:val="both"/>
      </w:pPr>
      <w:r>
        <w:rPr>
          <w:b/>
        </w:rPr>
        <w:t>Shared-motion comparison.</w:t>
      </w:r>
      <w:r>
        <w:t xml:space="preserve"> Evaluation of two to four building configurations against the same ground-motion samples in one worker request, so that neither side can display numbers from different inputs due to racing requests.</w:t>
      </w:r>
    </w:p>
    <w:p>
      <w:pPr>
        <w:jc w:val="both"/>
      </w:pPr>
      <w:r>
        <w:rPr>
          <w:b/>
        </w:rPr>
        <w:t>Reproducibility.</w:t>
      </w:r>
      <w:r>
        <w:t xml:space="preserve"> Property that identical inputs produce bit-identical outputs; the random preset is seeded so that the same seed returns the same shake.</w:t>
      </w:r>
    </w:p>
    <w:p>
      <w:r>
        <w:br w:type="page"/>
      </w:r>
    </w:p>
    <w:p>
      <w:pPr>
        <w:pStyle w:val="Heading1"/>
        <w:jc w:val="center"/>
      </w:pPr>
      <w:r>
        <w:t>CHAPTER 2</w:t>
      </w:r>
    </w:p>
    <w:p>
      <w:pPr>
        <w:pStyle w:val="Heading2"/>
      </w:pPr>
      <w:r>
        <w:t>REVIEW OF RELATED LITERATURE AND STUDIES</w:t>
      </w:r>
    </w:p>
    <w:p>
      <w:pPr>
        <w:jc w:val="both"/>
      </w:pPr>
      <w:r>
        <w:t>This chapter surveys literature from 2015 onwards in three groups: (a) structural-response theory as recently applied to simplified multistory models, ground-motion characterization, and drift reporting; (b) technical approaches to interactive seismic visualization, including browser-based, virtual-reality, digital-twin, and damage-visualization methods; and (c) educational and usability evidence for interactive earthquake-learning media and for the System Usability Scale as an evaluation instrument. It closes with a synthesis and the research gap addressed by QuakeStudio. No source cited in this chapter predates 2015.</w:t>
      </w:r>
    </w:p>
    <w:p>
      <w:pPr>
        <w:pStyle w:val="Heading3"/>
      </w:pPr>
      <w:r>
        <w:t>Theoretical Background</w:t>
      </w:r>
    </w:p>
    <w:p>
      <w:pPr>
        <w:jc w:val="both"/>
      </w:pPr>
      <w:r>
        <w:rPr>
          <w:b/>
        </w:rPr>
        <w:t>Idealized shear-building models for multistory response.</w:t>
      </w:r>
      <w:r>
        <w:t xml:space="preserve"> Zuo et al. (2022) examined the rational use of idealized shear-building models to approximate actual buildings and characterized them as a low-computational-cost simplification for multistory seismic response. Their treatment supports the present choice of a lumped-mass shear idealization for an educational prototype: floor masses connected by elements representing lateral story stiffness, with damping included, solved as M·ü + C·u̇ + K·u = −M·1·a_g(t). Zuo et al. (2022) also caution that shear-building idealizations can differ noticeably from detailed models, which is why the present study restricts interpretation to within the simplification, subjects every coefficient to adviser review, and validates code fidelity against an independent solution of the same model rather than against a real structure.</w:t>
      </w:r>
    </w:p>
    <w:p>
      <w:pPr>
        <w:jc w:val="both"/>
      </w:pPr>
      <w:r>
        <w:rPr>
          <w:b/>
        </w:rPr>
        <w:t>Stiffness calibration from an empirical period.</w:t>
      </w:r>
      <w:r>
        <w:t xml:space="preserve"> The prototype follows a stated two-step procedure: estimate the fundamental period from T1 = Ct·H^x, then calibrate uniform story stiffness in closed form, k = m·ω1² / (4·sin²(π / (2(2N + 1)))), where ω1 = 2π/T1, m is floor mass, and N is the number of floors. The derivation for a uniform shear building is recorded in the project assumptions record for reviewer checking. A documented limitation is that the implemented period coefficients (Ct = 0.072, x = 0.8) are identical for concrete, steel, composite, and wood, which is almost certainly incorrect and is identified as the weakest point in the model for adviser correction. A further documented point is that the frame stiffness multiplier (braced = 2.0× moment) is applied after period targeting, so the empirical formula effectively describes the moment-frame case only.</w:t>
      </w:r>
    </w:p>
    <w:p>
      <w:pPr>
        <w:jc w:val="both"/>
      </w:pPr>
      <w:r>
        <w:rPr>
          <w:b/>
        </w:rPr>
        <w:t>Damping.</w:t>
      </w:r>
      <w:r>
        <w:t xml:space="preserve"> Rayleigh damping, C = a0·M + a1·K with a0 = 2ζω1ω2/(ω1 + ω2) and a1 = 2ζ/(ω1 + ω2), is fitted to the material damping ratio at the first two modes, with a mass-proportional fallback for a single floor. Implemented ratios are 2–5% by material as placeholders. The treatment is consistent with standard multistory idealizations reviewed in recent shear-model literature (Zuo et al., 2022).</w:t>
      </w:r>
    </w:p>
    <w:p>
      <w:pPr>
        <w:jc w:val="both"/>
      </w:pPr>
      <w:r>
        <w:rPr>
          <w:b/>
        </w:rPr>
        <w:t>Ground motion and intensity.</w:t>
      </w:r>
      <w:r>
        <w:t xml:space="preserve"> The U.S. Geological Survey (2022) defines ground motion as shaking of the ground during earthquakes and distinguishes magnitude, energy release, and shaking intensity as related but distinct characterizations. The prototype operationalizes shaking as synthetic acceleration histories scaled to an exact peak ground acceleration (0.05–0.60 g), with harmonic, band-limited random (seeded), and impulse presets, duration 5–60 s, and taper to rest at both ends. Recorded accelerograms are excluded from the prototype to keep it self-contained and licensing-free; the random preset is deterministic from its seed so that runs are reproducible and cross-validation is meaningful.</w:t>
      </w:r>
    </w:p>
    <w:p>
      <w:pPr>
        <w:jc w:val="both"/>
      </w:pPr>
      <w:r>
        <w:rPr>
          <w:b/>
        </w:rPr>
        <w:t>Drift as a reported response quantity.</w:t>
      </w:r>
      <w:r>
        <w:t xml:space="preserve"> Ji et al. (2023) addressed enhanced measurement of structural interstory drift responses in shaking-table tests, confirming drift as a standard response quantity in experimental seismic assessment. The prototype reports per-story drift ratio and maximum drift ratio with worst-story index. The implementation uses difference of per-floor peaks divided by story height, which is documented as differing from simultaneous (time-coincident) drift and is flagged for adviser review. A measurement study through the shipping engine (84 runs across templates and PGA 0.05–0.60 g) found that the shipped drift colour bands placed 74% of runs in one band and labeled the default 5-story building "very large" above 0.10 g, motivating a recommended logarithmic scale. This finding is reported rather than concealed, and the bands are presented as display thresholds, not as safety judgments.</w:t>
      </w:r>
    </w:p>
    <w:p>
      <w:pPr>
        <w:jc w:val="both"/>
      </w:pPr>
      <w:r>
        <w:rPr>
          <w:b/>
        </w:rPr>
        <w:t>Lateral displacement as a comparative quantity.</w:t>
      </w:r>
      <w:r>
        <w:t xml:space="preserve"> Souhaibou and Li (2023) compared lateral displacement of a multistory reinforced-concrete building under wind and earthquake actions using the base-shear method and ETABS software, illustrating the practice of comparing computed lateral displacement across analysis approaches for the same building. The present study inverts that logic for pedagogy: it holds the ground motion fixed and varies the building, comparing peak displacement and drift across configurations under the same input.</w:t>
      </w:r>
    </w:p>
    <w:p>
      <w:pPr>
        <w:pStyle w:val="Heading3"/>
      </w:pPr>
      <w:r>
        <w:t>Related Studies</w:t>
      </w:r>
    </w:p>
    <w:p>
      <w:pPr>
        <w:jc w:val="both"/>
      </w:pPr>
      <w:r>
        <w:rPr>
          <w:b/>
        </w:rPr>
        <w:t>Multidimensional analysis with visualization.</w:t>
      </w:r>
      <w:r>
        <w:t xml:space="preserve"> Hsu et al. (2022) developed and applied a platform for multidimensional urban earthquake impact simulation, connecting dynamic building analysis with visualization to present calculated seismic responses. Their work establishes the instructional value of displaying computed response rather than reporting scalars alone, which the present study adopts at building scale: every computed floor history drives both the 3D sway and the charts from the same result array.</w:t>
      </w:r>
    </w:p>
    <w:p>
      <w:pPr>
        <w:jc w:val="both"/>
      </w:pPr>
      <w:r>
        <w:rPr>
          <w:b/>
        </w:rPr>
        <w:t>Browser-based interactive seismic visualization.</w:t>
      </w:r>
      <w:r>
        <w:t xml:space="preserve"> Wang et al. (2025) demonstrated a WebGL-based interactive visualization framework for large-scale urban seismic simulations with a dual multi-level-of-detail strategy, showing that the browser without specialized software installation is a viable host for interactive seismic visualization. QuakeStudio applies that delivery precedent to a single-building educational scope: Three.js rendering, lazy-loaded 3D and chart chunks sharing one 3D chunk, animation writes to scene transforms without React renders, and a single clock samples the same displacement array for sway and chart cursor.</w:t>
      </w:r>
    </w:p>
    <w:p>
      <w:pPr>
        <w:jc w:val="both"/>
      </w:pPr>
      <w:r>
        <w:rPr>
          <w:b/>
        </w:rPr>
        <w:t>Finite-element analysis with virtual reality.</w:t>
      </w:r>
      <w:r>
        <w:t xml:space="preserve"> Isobe and Yang (2024) integrated finite element analysis with virtual reality for structural and indoor nonstructural components under seismic excitation. Their integration shows the upper bound of fidelity available when detailed analysis and immersive display are combined. The present study deliberately does not pursue that bound: detailed finite-element requirements and integration cost exceed a two-to-three-month student prototype, so a shear idealization with a standard 3D view is substituted and its limits are stated.</w:t>
      </w:r>
    </w:p>
    <w:p>
      <w:pPr>
        <w:jc w:val="both"/>
      </w:pPr>
      <w:r>
        <w:rPr>
          <w:b/>
        </w:rPr>
        <w:t>Game-engine digital twins.</w:t>
      </w:r>
      <w:r>
        <w:t xml:space="preserve"> Jiang et al. (2025) combined building information modeling, monitoring data, and physical models in a game-engine-empowered digital twin for seismic damage simulation of buildings. Their framework shows the value of linking information models with live or monitored behavior. QuakeStudio retains only the comparative intent — same input, different configurations — without building information modeling, sensor data, or damage simulation, which remain outside scope.</w:t>
      </w:r>
    </w:p>
    <w:p>
      <w:pPr>
        <w:jc w:val="both"/>
      </w:pPr>
      <w:r>
        <w:rPr>
          <w:b/>
        </w:rPr>
        <w:t>Seismic damage visualization tools.</w:t>
      </w:r>
      <w:r>
        <w:t xml:space="preserve"> Naraghi et al. (2024) systematically reviewed tools and interoperability considerations in simulating and visualizing indoor seismic damage. Their review confirms that tool choice and data exchange constrain what can be shown and shared. The present study responds by minimizing those constraints: synthetic inputs, deterministic outputs, CSV export in displayed units at full precision from the same result the charts render, and JSON run export/import with per-run validation, so that a file and the screen cannot disagree.</w:t>
      </w:r>
    </w:p>
    <w:p>
      <w:pPr>
        <w:jc w:val="both"/>
      </w:pPr>
      <w:r>
        <w:rPr>
          <w:b/>
        </w:rPr>
        <w:t>Virtual-reality media for earthquake-resistant construction learning.</w:t>
      </w:r>
      <w:r>
        <w:t xml:space="preserve"> Kuncoro et al. (2023) reported favorable learning outcomes from virtual-reality-based learning media on earthquake-resistant construction for civil engineering students. Their findings motivate investigating the educational potential of interactive structural-motion presentation and guided student exploration. The present study does not replicate their learning-gains claim; any claim of improved learning is deferred to a separate, appropriate learning assessment, and the present evaluation is limited to calculation agreement and to users' ability to configure, run, and interpret simulations.</w:t>
      </w:r>
    </w:p>
    <w:p>
      <w:pPr>
        <w:jc w:val="both"/>
      </w:pPr>
      <w:r>
        <w:rPr>
          <w:b/>
        </w:rPr>
        <w:t>Usability evaluation with the System Usability Scale.</w:t>
      </w:r>
      <w:r>
        <w:t xml:space="preserve"> Escaldelai et al. (2024) applied the System Usability Scale in a methodological usability study of a support system, illustrating its continued use as a widely adopted usability instrument scored on a 0–100 scale with task success and completion time as complementary measures. The present study adopts the same trio — task success rate, task completion time, and mean and standard deviation of questionnaire scores — for its deferred user trials (build a model, run a simulation, compare two configurations). A documented scoring trap is handled explicitly: scoring is by item parity (odd items value − 1, even items 5 − value, summed and multiplied by 2.5), keyed off item number, because two items' wording polarity does not match their scoring direction and a wording-based correction would cost 10 points per response. The rule is implemented twice (TypeScript for participant display, Python for researcher reporting) and cross-checked on 10 cases for exact agreement.</w:t>
      </w:r>
    </w:p>
    <w:p>
      <w:pPr>
        <w:pStyle w:val="Heading3"/>
      </w:pPr>
      <w:r>
        <w:t>Synthesis and Research Gap</w:t>
      </w:r>
    </w:p>
    <w:p>
      <w:pPr>
        <w:jc w:val="both"/>
      </w:pPr>
      <w:r>
        <w:t>Recent work converges on three points. First, simplified shear idealizations remain a legitimate low-cost basis for approximating multistory response when their limits are stated and their coefficients are reviewed (Zuo et al., 2022; Ji et al., 2023; Souhaibou &amp; Li, 2023). Second, coupling calculation with visualization — whether multidimensional platforms (Hsu et al., 2022), browser frameworks (Wang et al., 2025), virtual reality (Isobe &amp; Yang, 2024), or digital twins (Jiang et al., 2025) — makes response inspectable, subject to tool and interoperability choices (Naraghi et al., 2024). Third, interactive media show educational promise (Kuncoro et al., 2023) best substantiated through proper usability and learning evaluation (Escaldelai et al., 2024).</w:t>
      </w:r>
    </w:p>
    <w:p>
      <w:pPr>
        <w:jc w:val="both"/>
      </w:pPr>
      <w:r>
        <w:t>The gap is a verified, small-scope bridge between those strands: a browser tool whose simplified structural calculations are presented through an interactive educational website with stated assumptions, deterministic outputs, animation-graph consistency, same-motion comparison, and gated verification — without claiming damage prediction, safety certification, or measured learning gains. Existing detailed approaches (Isobe &amp; Yang, 2024; Jiang et al., 2025) provide precedents but their analysis and integration requirements extend beyond the intended student prototype. QuakeStudio is positioned in that gap: it simplifies interaction and modeling requirements while retaining a clear, reviewable relationship between calculations and displayed motion.</w:t>
      </w:r>
    </w:p>
    <w:p>
      <w:r>
        <w:br w:type="page"/>
      </w:r>
    </w:p>
    <w:p>
      <w:pPr>
        <w:pStyle w:val="Heading1"/>
        <w:jc w:val="center"/>
      </w:pPr>
      <w:r>
        <w:t>CHAPTER 3</w:t>
      </w:r>
    </w:p>
    <w:p>
      <w:pPr>
        <w:pStyle w:val="Heading2"/>
      </w:pPr>
      <w:r>
        <w:t>RESEARCH DESIGN AND METHODOLOGY</w:t>
      </w:r>
    </w:p>
    <w:p>
      <w:pPr>
        <w:jc w:val="both"/>
      </w:pPr>
      <w:r>
        <w:t>This chapter describes how QuakeStudio was built and how it is verified and tested. The study uses an experimental and developmental research design: a simplified structural model is formulated under adviser-reviewed assumptions, implemented as a browser application, cross-checked against an independent reference implementation of the same model, and then subjected to parameter testing, software testing, and a deferred usability protocol. All procedures are reported within the stated simplifications; no procedure assesses the safety of a real building.</w:t>
      </w:r>
    </w:p>
    <w:p>
      <w:pPr>
        <w:pStyle w:val="Heading3"/>
      </w:pPr>
      <w:r>
        <w:t>Research Design</w:t>
      </w:r>
    </w:p>
    <w:p>
      <w:pPr>
        <w:jc w:val="both"/>
      </w:pPr>
      <w:r>
        <w:t>The design has two linked components. The developmental component produces the interactive 3D building model and integrates the selected structural and seismic factors into the platform. The experimental component conducts controlled scenario-based simulations in which one factor is varied at a time under the same ground-motion input and the resulting ratings-independent outputs — peak displacement, displacement over time, maximum drift, and natural periods — are compared.</w:t>
      </w:r>
    </w:p>
    <w:p>
      <w:pPr>
        <w:jc w:val="both"/>
      </w:pPr>
      <w:r>
        <w:t>Earthquake conditions are represented through synthetic earthquake data (preset, peak ground acceleration, frequency where applicable, duration, and seed), and the building through material, frame type, floor count, floor height, and plan dimensions. Soil type, foundation type, and fault distance are not experimental factors in the prototype; they are reserved as future scope pending engineering approval and appear in the interface only as disabled options. Likewise, no 0–10 capability rating is computed in the prototype; comparison relies on physical response quantities stated above.</w:t>
      </w:r>
    </w:p>
    <w:p>
      <w:pPr>
        <w:pStyle w:val="Heading3"/>
      </w:pPr>
      <w:r>
        <w:t>Model Formulation</w:t>
      </w:r>
    </w:p>
    <w:p>
      <w:pPr>
        <w:jc w:val="both"/>
      </w:pPr>
      <w:r>
        <w:rPr>
          <w:b/>
        </w:rPr>
        <w:t>Idealization.</w:t>
      </w:r>
      <w:r>
        <w:t xml:space="preserve"> The building is a regular multistory linear-elastic shear model with a lumped mass at each floor and lateral stiffness between floors, restricted to motion in one horizontal direction (Zuo et al., 2022).</w:t>
      </w:r>
    </w:p>
    <w:p>
      <w:pPr>
        <w:jc w:val="both"/>
      </w:pPr>
      <w:r>
        <w:rPr>
          <w:b/>
        </w:rPr>
        <w:t>Mass.</w:t>
      </w:r>
      <w:r>
        <w:t xml:space="preserve"> Each floor's counted earthquake weight (kN) is its area times the counted load: dead load plus ψ times live load, W_i = (DL_i + ψ · LL_i) × A, and mass m_i = W_i · 1000 / g. The dead load starts at 4.8 kPa and is editable; the live load comes from the floor's use — office 2.4, residential 1.9, parking 2.4, storage 6.0 kPa, or a custom value (published summaries of NSCP 2015 Table 205-1); ψ (the counted share of live load) defaults to 0.25 and is editable per floor. All are placeholders pending engineer review. Mass therefore follows each floor's use rather than the material.</w:t>
      </w:r>
    </w:p>
    <w:p>
      <w:pPr>
        <w:jc w:val="both"/>
      </w:pPr>
      <w:r>
        <w:rPr>
          <w:b/>
        </w:rPr>
        <w:t>Period and stiffness.</w:t>
      </w:r>
      <w:r>
        <w:t xml:space="preserve"> The empirical fundamental period T1 = Ct·H^x is evaluated with Ct = 0.072 and x = 0.8 for all materials (known placeholder weakness) with H = floors × floor height. Uniform story stiffness k delivering that period follows k = m·ω1² / (4·sin²(π / (2(2N + 1)))), with ω1 = 2π/T1. The frame factor is then applied (moment 1.0, braced 2.0, placeholder), so the empirical formula effectively describes the moment-frame case. The story stiffness matrix is tridiagonal (2k except k at the roof, −k off-diagonal).</w:t>
      </w:r>
    </w:p>
    <w:p>
      <w:pPr>
        <w:jc w:val="both"/>
      </w:pPr>
      <w:r>
        <w:rPr>
          <w:b/>
        </w:rPr>
        <w:t>Damping.</w:t>
      </w:r>
      <w:r>
        <w:t xml:space="preserve"> Rayleigh damping C = a0·M + a1·K is calibrated to the material damping ratio (concrete 0.05, steel 0.02, composite 0.03, wood 0.05; placeholders) at the first two natural frequencies obtained from the generalized eigenproblem via mass reduction and cyclic Jacobi eigensolution, with mass-proportional fallback for a single floor. The first three periods are reported to the interface.</w:t>
      </w:r>
    </w:p>
    <w:p>
      <w:pPr>
        <w:jc w:val="both"/>
      </w:pPr>
      <w:r>
        <w:rPr>
          <w:b/>
        </w:rPr>
        <w:t>Ground motion.</w:t>
      </w:r>
      <w:r>
        <w:t xml:space="preserve"> Three synthetic presets are generated at dt = 0.01 s with 0.5 s end tapers and then scaled so the peak sample equals the requested PGA exactly: (a) harmonic pulse at the selected frequency, (b) sum of 12 seeded in-band sinusoids over 0.2–4.0 Hz weighted toward low frequencies, and (c) half-sine impulse of 0.15 s duration with 0.2-duration lead. Defaults are harmonic, 0.30 g, 1.4 Hz, 20 s, seed 20240501.</w:t>
      </w:r>
    </w:p>
    <w:p>
      <w:pPr>
        <w:jc w:val="both"/>
      </w:pPr>
      <w:r>
        <w:rPr>
          <w:b/>
        </w:rPr>
        <w:t>Time integration.</w:t>
      </w:r>
      <w:r>
        <w:t xml:space="preserve"> The equations M·ü + C·u̇ + K·u = −M·1·a_g(t) are stepped with Newmark average acceleration (β = 1/4, γ = 1/2) with effective stiffness factored once by Cholesky decomposition and reused each step. The solver is deterministic: identical inputs yield bit-identical outputs. Results are floor displacement histories [floor][time] in metres, summarized to per-floor peaks, building maximum, difference-of-peaks drift ratios with maximum and worst-story index, reported periods, and ground acceleration history. The 5% agreement figure in the original specification is retained only as context for comparison against a real structure; the implemented code-to-code gate is 1e-6 as described under Verification.</w:t>
      </w:r>
    </w:p>
    <w:p>
      <w:pPr>
        <w:jc w:val="both"/>
      </w:pPr>
      <w:r>
        <w:t xml:space="preserve">All coefficients, ranges, and defaults above reside in </w:t>
      </w:r>
      <w:r>
        <w:rPr>
          <w:rFonts w:ascii="Consolas" w:hAnsi="Consolas"/>
          <w:sz w:val="22"/>
        </w:rPr>
        <w:t>engineeringAssumptions.ts</w:t>
      </w:r>
      <w:r>
        <w:t xml:space="preserve"> and are marked as placeholders. Any change requires adviser confirmation recorded in the assumptions record; components, stores, and the solver contain no hard-coded engineering numbers.</w:t>
      </w:r>
    </w:p>
    <w:p>
      <w:pPr>
        <w:pStyle w:val="Heading3"/>
      </w:pPr>
      <w:r>
        <w:t>System Architecture and Development</w:t>
      </w:r>
    </w:p>
    <w:p>
      <w:pPr>
        <w:jc w:val="both"/>
      </w:pPr>
      <w:r>
        <w:rPr>
          <w:b/>
        </w:rPr>
        <w:t>Stack and execution.</w:t>
      </w:r>
      <w:r>
        <w:t xml:space="preserve"> React 19, TypeScript 5.9, Vite 8, Tailwind CSS 4, Zustand, Three.js with React Three Fiber, and Recharts. The engine runs in a Web Worker. The interface debounces solver requests at 150 ms, solves immediately on first paint, drops stale responses by monotonic identifier, and issues one batched request for all one-to-four buildings so comparison sides cannot race. Production entry JavaScript is held against a 220 KB gzip budget through lazy-loaded 3D, chart, and feedback chunks sharing a single 3D chunk.</w:t>
      </w:r>
    </w:p>
    <w:p>
      <w:pPr>
        <w:jc w:val="both"/>
      </w:pPr>
      <w:r>
        <w:rPr>
          <w:b/>
        </w:rPr>
        <w:t>Interface.</w:t>
      </w:r>
      <w:r>
        <w:t xml:space="preserve"> Desktop (≥1024 px) presents controls, 3D viewport with playback bar, and results; narrower widths present one notice advising a larger screen, with an opt-in "Continue anyway" for anyone who needs it that shows the same workspace with sideways scrolling (the choice is never remembered). Controls include a seven-template picker (six starting points plus custom behavior, default 5-story concrete), a floors-and-loads tab where each floor's use and loads are set, glossary popovers for jargon, and motion exaggeration (default ×20, 1–60) that magnifies the 3D view only with an explicit statement that numbers are unaffected. Site and ground controls are present but disabled and labeled as future scope.</w:t>
      </w:r>
    </w:p>
    <w:p>
      <w:pPr>
        <w:jc w:val="both"/>
      </w:pPr>
      <w:r>
        <w:rPr>
          <w:b/>
        </w:rPr>
        <w:t>Consistency.</w:t>
      </w:r>
      <w:r>
        <w:t xml:space="preserve"> Calculated floor displacements drive both the 3D animation and the graphs from the same </w:t>
      </w:r>
      <w:r>
        <w:rPr>
          <w:rFonts w:ascii="Consolas" w:hAnsi="Consolas"/>
          <w:sz w:val="22"/>
        </w:rPr>
        <w:t>SimulationResult</w:t>
      </w:r>
      <w:r>
        <w:t>. One clock samples displacement by interpolation between engine timesteps for sway and chart cursor; animation writes to scene transforms inside the frame loop and moves the cursor by transform, causing zero React renders at 60 fps. Reduced-motion preference pauses playback on load and halves default speed.</w:t>
      </w:r>
    </w:p>
    <w:p>
      <w:pPr>
        <w:jc w:val="both"/>
      </w:pPr>
      <w:r>
        <w:rPr>
          <w:b/>
        </w:rPr>
        <w:t>Comparison.</w:t>
      </w:r>
      <w:r>
        <w:t xml:space="preserve"> </w:t>
      </w:r>
      <w:r>
        <w:rPr>
          <w:rFonts w:ascii="Consolas" w:hAnsi="Consolas"/>
          <w:sz w:val="22"/>
        </w:rPr>
        <w:t>Compare with another building</w:t>
      </w:r>
      <w:r>
        <w:t xml:space="preserve"> adds side B; </w:t>
      </w:r>
      <w:r>
        <w:rPr>
          <w:rFonts w:ascii="Consolas" w:hAnsi="Consolas"/>
          <w:sz w:val="22"/>
        </w:rPr>
        <w:t>Add a building</w:t>
      </w:r>
      <w:r>
        <w:t xml:space="preserve"> extends to C then D (maximum four), defaulting to four different materials so the default four-way case compares the same building built four ways. Presentations are side-by-side (single packed row) and ghost overlay (edited building solid, others translucent), available at every count. Each building carries a fixed hue (blue, burnt orange, green, purple in both themes) and its letter A–D on its roof badge, hover callout, chart series, and table column, so color is never the sole identifier. The change column reports each building's percentage difference from baseline A with arrow and sign and states no verdict of which building is better. The controls panel keeps the Editing indicator fixed above its scrolling content, and the results panel labels whose numbers are shown with a text-plus-colour owner badge.</w:t>
      </w:r>
    </w:p>
    <w:p>
      <w:pPr>
        <w:jc w:val="both"/>
      </w:pPr>
      <w:r>
        <w:rPr>
          <w:b/>
        </w:rPr>
        <w:t>Persistence and export.</w:t>
      </w:r>
      <w:r>
        <w:t xml:space="preserve"> </w:t>
      </w:r>
      <w:r>
        <w:rPr>
          <w:rFonts w:ascii="Consolas" w:hAnsi="Consolas"/>
          <w:sz w:val="22"/>
        </w:rPr>
        <w:t>Save run</w:t>
      </w:r>
      <w:r>
        <w:t xml:space="preserve"> stores model, motion, and full result in IndexedDB where available and in browser storage otherwise, stating which backend is in use; the fallback thins very long runs to 2000 points while preserving peaks and periods exactly and states that frame-exact replay is unavailable for thinned runs. Runs export to one validated JSON file and import with per-run acceptance (newer-version, truncated, or wrong files refused with readable messages; partial imports name rejected runs). </w:t>
      </w:r>
      <w:r>
        <w:rPr>
          <w:rFonts w:ascii="Consolas" w:hAnsi="Consolas"/>
          <w:sz w:val="22"/>
        </w:rPr>
        <w:t>Export CSV</w:t>
      </w:r>
      <w:r>
        <w:t xml:space="preserve"> writes full-precision histories in displayed units (mm, percent, m/s²) with a header restating headline figures exactly as displayed, sourced from the same result the charts render.</w:t>
      </w:r>
    </w:p>
    <w:p>
      <w:pPr>
        <w:jc w:val="both"/>
      </w:pPr>
      <w:r>
        <w:rPr>
          <w:b/>
        </w:rPr>
        <w:t>Integrity rules.</w:t>
      </w:r>
      <w:r>
        <w:t xml:space="preserve"> No hard-coded engineering numbers outside the assumptions file and no hard-coded colors outside design tokens, both enforced by tests including a foreground-background contrast check against WCAG AA. The disclaimer is persistent and the Assumptions dialog content is generated from the assumptions catalogue at runtime.</w:t>
      </w:r>
    </w:p>
    <w:p>
      <w:pPr>
        <w:pStyle w:val="Heading3"/>
      </w:pPr>
      <w:r>
        <w:t>Verification Procedure</w:t>
      </w:r>
    </w:p>
    <w:p>
      <w:pPr>
        <w:jc w:val="both"/>
      </w:pPr>
      <w:r>
        <w:t>Verification is performed before any user testing in three parts.</w:t>
      </w:r>
    </w:p>
    <w:p>
      <w:pPr>
        <w:jc w:val="both"/>
      </w:pPr>
      <w:r>
        <w:rPr>
          <w:b/>
        </w:rPr>
        <w:t>1. Independent-solver cross-check (built gate).</w:t>
      </w:r>
      <w:r>
        <w:t xml:space="preserve"> The TypeScript engine is compared with an independent Python (NumPy/SciPy) reference that shares constants via generated </w:t>
      </w:r>
      <w:r>
        <w:rPr>
          <w:rFonts w:ascii="Consolas" w:hAnsi="Consolas"/>
          <w:sz w:val="22"/>
        </w:rPr>
        <w:t>constants.json</w:t>
      </w:r>
      <w:r>
        <w:t xml:space="preserve"> but shares no code: it solves the generalized eigenproblem with LAPACK rather than mass reduction plus Jacobi, factorizes with LAPACK Cholesky rather than a hand-rolled routine, and steps the whole matrix with NumPy. Procedure: export constants, run the shipping </w:t>
      </w:r>
      <w:r>
        <w:rPr>
          <w:rFonts w:ascii="Consolas" w:hAnsi="Consolas"/>
          <w:sz w:val="22"/>
        </w:rPr>
        <w:t>simulate()</w:t>
      </w:r>
      <w:r>
        <w:t xml:space="preserve"> over the 16-case matrix in </w:t>
      </w:r>
      <w:r>
        <w:rPr>
          <w:rFonts w:ascii="Consolas" w:hAnsi="Consolas"/>
          <w:sz w:val="22"/>
        </w:rPr>
        <w:t>cases.json</w:t>
      </w:r>
      <w:r>
        <w:t xml:space="preserve"> (covering 1 floor, 2 floors, 20 floors, damping override, all three motion presets, and a near-resonance case), and compare periods, peaks, drifts, maxima, roof histories (normalized root-mean-square error), and ground acceleration at tolerance 1e-6, regenerating </w:t>
      </w:r>
      <w:r>
        <w:rPr>
          <w:rFonts w:ascii="Consolas" w:hAnsi="Consolas"/>
          <w:sz w:val="22"/>
        </w:rPr>
        <w:t>docs/validation-report.md</w:t>
      </w:r>
      <w:r>
        <w:t xml:space="preserve"> from measured numbers with non-zero exit on disagreement. Current result: PASS with worst disagreement 6.3e-11%. The 1e-6 gate is intentional: two implementations of the same arithmetic should agree to about 1e-12, and a 5% band would admit sign errors; 5% remains the appropriate order for future comparison against a real structure where modeling error is expected.</w:t>
      </w:r>
    </w:p>
    <w:p>
      <w:pPr>
        <w:jc w:val="both"/>
      </w:pPr>
      <w:r>
        <w:rPr>
          <w:b/>
        </w:rPr>
        <w:t>2. Reproducibility and display consistency.</w:t>
      </w:r>
      <w:r>
        <w:t xml:space="preserve"> Runs with identical inputs are repeated to confirm identical outputs (guaranteed by determinism and fixed seeds). Animation and graphs are confirmed to show the same displacements by sampling the shared result array, and CSV contents are confirmed to match on-screen figures.</w:t>
      </w:r>
    </w:p>
    <w:p>
      <w:pPr>
        <w:jc w:val="both"/>
      </w:pPr>
      <w:r>
        <w:rPr>
          <w:b/>
        </w:rPr>
        <w:t>3. Adviser review.</w:t>
      </w:r>
      <w:r>
        <w:t xml:space="preserve"> The engineering adviser reviews the final model logic, placeholder values, drift-definition difference, period-coefficient weakness, drift-band recommendation (logarithmic scale from the 84-run distribution study, reproducible via the drift-distribution script), and the explicit exclusion of site factors and any capability rating from computed results.</w:t>
      </w:r>
    </w:p>
    <w:p>
      <w:pPr>
        <w:pStyle w:val="Heading3"/>
      </w:pPr>
      <w:r>
        <w:t>Testing and Evaluation</w:t>
      </w:r>
    </w:p>
    <w:p>
      <w:pPr>
        <w:jc w:val="both"/>
      </w:pPr>
      <w:r>
        <w:rPr>
          <w:b/>
        </w:rPr>
        <w:t>Parameter testing.</w:t>
      </w:r>
      <w:r>
        <w:t xml:space="preserve"> Testing begins from a baseline of a five-story concrete moment-frame building (14 × 10 m plan, 3.0 m story height, 0.30 g harmonic motion, 20 s). Parameters are varied one at a time under the same ground-motion input. Varied parameters include number of floors (3, 5, 10, and 15), building material (concrete, steel, composite, wood), frame type (moment, braced), PGA levels spanning 0.05–0.60 g, presets (harmonic, random, impulse), and duration. For each run the system records peak floor displacement relative to the ground, displacement over time, maximum interstory drift, worst story, natural periods, and ground acceleration. Expected trends, checked against engineering behavior within the simplification, are larger upper-floor displacement for taller buildings and reduced sway for braced relative to moment frames of otherwise identical configuration. Soil, foundation, and fault-distance variations and any 0–10 rating are not tested as computed outputs because they are not implemented.</w:t>
      </w:r>
    </w:p>
    <w:p>
      <w:pPr>
        <w:jc w:val="both"/>
      </w:pPr>
      <w:r>
        <w:rPr>
          <w:b/>
        </w:rPr>
        <w:t>Software testing.</w:t>
      </w:r>
      <w:r>
        <w:t xml:space="preserve"> Unit and component tests (494 tests via Vitest, TypeScript↔Python agreement at a 1e-6 tolerance across 24 validation cases), end-to-end tests (119 Playwright specs including tab order, focus return, and live-region announcement, plus 5 install/offline specs against a production build), a six-width responsive sweep in light and dark themes with zero-failure requirement, and an on-device Android audit (12 of 14 walked, both failures since fixed) are executed. Coverage includes functionality across templates, per-floor loads, controls, comparison add/remove up to four sides, save/load/export/import including invalid-file handling and old-run migration, playback transport, theme, tour gating, and PWA install affordance behavior (hidden when installed or uninstallable, with iOS install intentionally not promised).</w:t>
      </w:r>
    </w:p>
    <w:p>
      <w:pPr>
        <w:jc w:val="both"/>
      </w:pPr>
      <w:r>
        <w:rPr>
          <w:b/>
        </w:rPr>
        <w:t>Performance testing.</w:t>
      </w:r>
      <w:r>
        <w:t xml:space="preserve"> Entry-bundle size against the 220 KB gzip budget (measured ≈182 KB), lazy-chunk existence guards against accidental eager import of Three.js or Recharts, frame-rate behavior on common browsers and devices including lower-end targets, load time, and animation-graph consistency (Wang et al., 2025) are assessed. Simple building geometry and transform-only animation sustain interaction without render-loop state updates.</w:t>
      </w:r>
    </w:p>
    <w:p>
      <w:pPr>
        <w:jc w:val="both"/>
      </w:pPr>
      <w:r>
        <w:rPr>
          <w:b/>
        </w:rPr>
        <w:t>Usability testing (instrument shipped; study not run).</w:t>
      </w:r>
      <w:r>
        <w:t xml:space="preserve"> Target users perform set tasks — build a model, run a simulation, and compare two configurations — and then answer the System Usability Scale questionnaire (Escaldelai et al., 2024). Informed consent is obtained; responses are anonymous and handled under the Data Privacy Act of 2012 (Republic Act No. 10173). The SUS instrument is in the application under Feedback with parity-based scoring; TypeScript and Python scorers are cross-checked on 10 cases for exact agreement. No SUS score is reported in the repository: a usability score without participants would be a fabricated number. The client target (mean SUS ≥ 68) is assessed only after real sessions are run and exported responses are analyzed. Animation safeguards (adjustable speed, pause, loop, no rapid flashing) and accessible touch targets (44 px for icon-only controls, remainder at or above 24 px minimum) reduce participant discomfort.</w:t>
      </w:r>
    </w:p>
    <w:p>
      <w:pPr>
        <w:pStyle w:val="Heading3"/>
      </w:pPr>
      <w:r>
        <w:t>Data Analysis</w:t>
      </w:r>
    </w:p>
    <w:p>
      <w:pPr>
        <w:jc w:val="both"/>
      </w:pPr>
      <w:r>
        <w:t>Model accuracy is evaluated by percent error and root-mean-square error between QuakeStudio outputs and reference calculations, with the code-to-code gate at 1e-6 and history agreement by normalized RMSE plus reported (non-asserted) phase lag with parabolic sub-sample refinement. Parameter effects are examined through tables and graphs of peak displacement, drift, and periods against the varied parameter, with trends checked against expected engineering behavior stated above. Reproducibility is assessed by repeating identical inputs, which must yield identical outputs.</w:t>
      </w:r>
    </w:p>
    <w:p>
      <w:pPr>
        <w:jc w:val="both"/>
      </w:pPr>
      <w:r>
        <w:t>Usability data, once collected, are analyzed as task success rate, task completion time, and mean and standard deviation of SUS scores on the 0–100 scale (Escaldelai et al., 2024), with partial responses excluded rather than averaged over answered items and with samples below the minimum-participant threshold refused a study report by the analysis script. The System Usability Scale analysis implementation computes means, medians, minima, maxima, standard deviations with t-based confidence intervals, per-item means, and percentile estimates anchored at 68 as the 50th percentile. All results are interpreted as valid only within the stated model assumptions; any claim about improved learning requires a separate learning assessment (Kuncoro et al., 2023).</w:t>
      </w:r>
    </w:p>
    <w:p>
      <w:pPr>
        <w:pStyle w:val="Heading3"/>
      </w:pPr>
      <w:r>
        <w:t>Risks, Safety, and Ethics</w:t>
      </w:r>
    </w:p>
    <w:p>
      <w:pPr>
        <w:jc w:val="both"/>
      </w:pPr>
      <w:r>
        <w:t>The main risk is misinterpretation of simulation results as a structural safety assessment. Mitigations are a persistent in-application disclaimer, an assumptions page generated from the running configuration, exclusion of damage prediction and safety certification from scope and from all copy (verified by copy review that corrected four overclaim defects, including playback-bar wording), and refusal to rank buildings as better or worse.</w:t>
      </w:r>
    </w:p>
    <w:p>
      <w:pPr>
        <w:jc w:val="both"/>
      </w:pPr>
      <w:r>
        <w:t>A related risk is unrealistic results from simplified placeholders. Mitigations are adviser review, independent-solver comparison with a failing gate, documentation of all assumptions with measured limitations, and prohibition on hard-coded engineering numbers outside the reviewed file.</w:t>
      </w:r>
    </w:p>
    <w:p>
      <w:pPr>
        <w:jc w:val="both"/>
      </w:pPr>
      <w:r>
        <w:t>Technical and schedule risks are managed through one-direction linear computation, simple geometry, transform-only animation, tested offline and Android packaging (service worker disabled in the package to avoid stale precache; JDK 21 required for the Gradle build), and restriction to essential features. Participant privacy is protected through informed consent, anonymous responses, and compliance with the Data Privacy Act of 2012. Because the study involves no hazardous materials or physical experiments, safety concerns relate to data, ethics, and responsible use of results.</w:t>
      </w:r>
    </w:p>
    <w:p>
      <w:r>
        <w:br w:type="page"/>
      </w:r>
    </w:p>
    <w:p>
      <w:pPr>
        <w:pStyle w:val="Heading1"/>
        <w:jc w:val="center"/>
      </w:pPr>
      <w:r>
        <w:t>REFERENCES</w:t>
      </w:r>
    </w:p>
    <w:p>
      <w:pPr>
        <w:jc w:val="both"/>
      </w:pPr>
      <w:r>
        <w:rPr>
          <w:i/>
        </w:rPr>
        <w:t>All sources cited in Chapters 1-3 (2015 or later only), in APA 7th edition format.</w:t>
      </w:r>
    </w:p>
    <w:p>
      <w:pPr>
        <w:spacing w:after="120"/>
        <w:ind w:left="720" w:hanging="720"/>
        <w:jc w:val="both"/>
      </w:pPr>
      <w:r>
        <w:t xml:space="preserve">Escaldelai, F. M. D., Escaldelai, L., &amp; Bergamaschi, D. P. (2024). Usability of the “Systematic Review Support” computer system: A methodological study. Revista Latino-Americana de Enfermagem, 32, Article e4374. </w:t>
      </w:r>
      <w:r>
        <w:rPr>
          <w:color w:val="0563C1"/>
          <w:u w:val="single"/>
        </w:rPr>
        <w:t>https://doi.org/10.1590/1518-8345.7081.4374</w:t>
      </w:r>
    </w:p>
    <w:p>
      <w:pPr>
        <w:spacing w:after="120"/>
        <w:ind w:left="720" w:hanging="720"/>
        <w:jc w:val="both"/>
      </w:pPr>
      <w:r>
        <w:t xml:space="preserve">Hsu, C.-H., Ke, S.-S., &amp; Wu, T.-H. (2022). Development and application of a platform for multidimensional urban earthquake impact simulation. Frontiers in Built Environment, 8, Article 938747. </w:t>
      </w:r>
      <w:r>
        <w:rPr>
          <w:color w:val="0563C1"/>
          <w:u w:val="single"/>
        </w:rPr>
        <w:t>https://doi.org/10.3389/fbuil.2022.938747</w:t>
      </w:r>
    </w:p>
    <w:p>
      <w:pPr>
        <w:spacing w:after="120"/>
        <w:ind w:left="720" w:hanging="720"/>
        <w:jc w:val="both"/>
      </w:pPr>
      <w:r>
        <w:t xml:space="preserve">Isobe, D., &amp; Yang, Q. (2024). An integrated finite element analysis and virtual reality system for structural and indoor nonstructural components of buildings under seismic excitations. Journal of Building Engineering, 98, Article 111320. </w:t>
      </w:r>
      <w:r>
        <w:rPr>
          <w:color w:val="0563C1"/>
          <w:u w:val="single"/>
        </w:rPr>
        <w:t>https://doi.org/10.1016/j.jobe.2024.111320</w:t>
      </w:r>
    </w:p>
    <w:p>
      <w:pPr>
        <w:spacing w:after="120"/>
        <w:ind w:left="720" w:hanging="720"/>
        <w:jc w:val="both"/>
      </w:pPr>
      <w:r>
        <w:t xml:space="preserve">Ji, X., Gao, X., Zhuang, Y., &amp; Qu, Z. (2023). Enhanced measurements of structural inter-story drift responses in shaking table tests. Engineering Structures, 278, Article 115508. </w:t>
      </w:r>
      <w:r>
        <w:rPr>
          <w:color w:val="0563C1"/>
          <w:u w:val="single"/>
        </w:rPr>
        <w:t>https://doi.org/10.1016/j.engstruct.2022.115508</w:t>
      </w:r>
    </w:p>
    <w:p>
      <w:pPr>
        <w:spacing w:after="120"/>
        <w:ind w:left="720" w:hanging="720"/>
        <w:jc w:val="both"/>
      </w:pPr>
      <w:r>
        <w:t xml:space="preserve">Jiang, J., Xiong, C., Xu, Z., Mei, L., Li, L., &amp; Long, W. (2025). Game engine-empowered digital twin for seismic damage simulation of buildings. Engineering Structures, 330, Article 119839. </w:t>
      </w:r>
      <w:r>
        <w:rPr>
          <w:color w:val="0563C1"/>
          <w:u w:val="single"/>
        </w:rPr>
        <w:t>https://doi.org/10.1016/j.engstruct.2025.119839</w:t>
      </w:r>
    </w:p>
    <w:p>
      <w:pPr>
        <w:spacing w:after="120"/>
        <w:ind w:left="720" w:hanging="720"/>
        <w:jc w:val="both"/>
      </w:pPr>
      <w:r>
        <w:t xml:space="preserve">Kuncoro, T., Ichwanto, M. A., &amp; Muhammad, D. F. (2023). VR-based learning media of earthquake-resistant construction for civil engineering students. Sustainability, 15(5), Article 4282. </w:t>
      </w:r>
      <w:r>
        <w:rPr>
          <w:color w:val="0563C1"/>
          <w:u w:val="single"/>
        </w:rPr>
        <w:t>https://doi.org/10.3390/su15054282</w:t>
      </w:r>
    </w:p>
    <w:p>
      <w:pPr>
        <w:spacing w:after="120"/>
        <w:ind w:left="720" w:hanging="720"/>
        <w:jc w:val="both"/>
      </w:pPr>
      <w:r>
        <w:t xml:space="preserve">Naraghi, N., Feng, Z., Lovreglio, R., Vishnupriya, V., Wilkinson, S., &amp; Baghaei Daemei, A. (2024). Simulating and visualising indoor seismic damage: A systematic literature review. International Journal of Disaster Risk Reduction, 115, Article 104979. </w:t>
      </w:r>
      <w:r>
        <w:rPr>
          <w:color w:val="0563C1"/>
          <w:u w:val="single"/>
        </w:rPr>
        <w:t>https://doi.org/10.1016/j.ijdrr.2024.104979</w:t>
      </w:r>
    </w:p>
    <w:p>
      <w:pPr>
        <w:spacing w:after="120"/>
        <w:ind w:left="720" w:hanging="720"/>
        <w:jc w:val="both"/>
      </w:pPr>
      <w:r>
        <w:t xml:space="preserve">Souhaibou, A., &amp; Li, L.-z. (2023). A comparative study on the lateral displacement of a multi-story RC building under wind and earthquake load actions using base shear method and ETABS software. Materials Today: Proceedings. Advance online publication. </w:t>
      </w:r>
      <w:r>
        <w:rPr>
          <w:color w:val="0563C1"/>
          <w:u w:val="single"/>
        </w:rPr>
        <w:t>https://doi.org/10.1016/j.matpr.2023.04.287</w:t>
      </w:r>
    </w:p>
    <w:p>
      <w:pPr>
        <w:spacing w:after="120"/>
        <w:ind w:left="720" w:hanging="720"/>
        <w:jc w:val="both"/>
      </w:pPr>
      <w:r>
        <w:t xml:space="preserve">U.S. Geological Survey. (2022, December 12). Ground motion. </w:t>
      </w:r>
      <w:r>
        <w:rPr>
          <w:color w:val="0563C1"/>
          <w:u w:val="single"/>
        </w:rPr>
        <w:t>https://www.usgs.gov/programs/earthquake-hazards/science/ground-motion</w:t>
      </w:r>
    </w:p>
    <w:p>
      <w:pPr>
        <w:spacing w:after="120"/>
        <w:ind w:left="720" w:hanging="720"/>
        <w:jc w:val="both"/>
      </w:pPr>
      <w:r>
        <w:t xml:space="preserve">Wang, J., Xu, Z., &amp; Li, Y. (2025). A WebGL-based interactive visualization framework for large-scale urban seismic simulations with a dual multi-LOD strategy. Buildings, 15(16), Article 2916. </w:t>
      </w:r>
      <w:r>
        <w:rPr>
          <w:color w:val="0563C1"/>
          <w:u w:val="single"/>
        </w:rPr>
        <w:t>https://doi.org/10.3390/buildings15162916</w:t>
      </w:r>
    </w:p>
    <w:p>
      <w:pPr>
        <w:spacing w:after="120"/>
        <w:ind w:left="720" w:hanging="720"/>
        <w:jc w:val="both"/>
      </w:pPr>
      <w:r>
        <w:t xml:space="preserve">Zuo, Z., He, Y., &amp; Li, S. (2022). Rational use of idealized shear-building models to approximate actual buildings. Buildings, 12(3), Article 273. </w:t>
      </w:r>
      <w:r>
        <w:rPr>
          <w:color w:val="0563C1"/>
          <w:u w:val="single"/>
        </w:rPr>
        <w:t>https://doi.org/10.3390/buildings12030273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