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98A2" w14:textId="77777777" w:rsidR="006066AA" w:rsidRPr="001913DF" w:rsidRDefault="006066AA" w:rsidP="001913DF">
      <w:pPr>
        <w:spacing w:after="0"/>
        <w:jc w:val="center"/>
        <w:rPr>
          <w:rFonts w:ascii="Calibri" w:hAnsi="Calibri" w:cs="Calibri"/>
          <w:b/>
          <w:bCs/>
          <w:sz w:val="22"/>
          <w:szCs w:val="22"/>
          <w:lang w:val="fr-FR"/>
        </w:rPr>
      </w:pPr>
      <w:r w:rsidRPr="001913DF">
        <w:rPr>
          <w:rFonts w:ascii="Calibri" w:hAnsi="Calibri" w:cs="Calibri"/>
          <w:b/>
          <w:bCs/>
          <w:sz w:val="22"/>
          <w:szCs w:val="22"/>
          <w:lang w:val="fr-FR"/>
        </w:rPr>
        <w:t>Plan de déploiement et de durabilité (METS)</w:t>
      </w:r>
    </w:p>
    <w:p w14:paraId="6C5CC278" w14:textId="77777777" w:rsidR="001913DF" w:rsidRDefault="001913DF" w:rsidP="001913DF">
      <w:pPr>
        <w:spacing w:after="0"/>
        <w:rPr>
          <w:rFonts w:ascii="Calibri" w:hAnsi="Calibri" w:cs="Calibri"/>
          <w:b/>
          <w:bCs/>
          <w:sz w:val="22"/>
          <w:szCs w:val="22"/>
          <w:lang w:val="fr-FR"/>
        </w:rPr>
      </w:pPr>
    </w:p>
    <w:p w14:paraId="2FA64363" w14:textId="3B7E0398"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1. Objectif général</w:t>
      </w:r>
    </w:p>
    <w:p w14:paraId="18740B14"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Assurer un déploiement progressif, traçable et durable des équipements médicaux dans les nouvelles unités de soins périphériques (USP) construites dans le cadre du projet SSEQCU, tout en garantissant la qualité des données dans METS et la capacité des équipes nationales et régionales à maintenir le système dans le temps.</w:t>
      </w:r>
    </w:p>
    <w:p w14:paraId="5CF0A287" w14:textId="77777777" w:rsidR="001913DF" w:rsidRDefault="001913DF" w:rsidP="001913DF">
      <w:pPr>
        <w:spacing w:after="0"/>
        <w:rPr>
          <w:rFonts w:ascii="Calibri" w:hAnsi="Calibri" w:cs="Calibri"/>
          <w:b/>
          <w:bCs/>
          <w:sz w:val="22"/>
          <w:szCs w:val="22"/>
          <w:lang w:val="fr-FR"/>
        </w:rPr>
      </w:pPr>
    </w:p>
    <w:p w14:paraId="59538E62" w14:textId="3D9D7725"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2. Phases de déploiement</w:t>
      </w:r>
    </w:p>
    <w:tbl>
      <w:tblPr>
        <w:tblW w:w="10165" w:type="dxa"/>
        <w:tblCellSpacing w:w="15" w:type="dxa"/>
        <w:tblCellMar>
          <w:top w:w="15" w:type="dxa"/>
          <w:left w:w="15" w:type="dxa"/>
          <w:bottom w:w="15" w:type="dxa"/>
          <w:right w:w="15" w:type="dxa"/>
        </w:tblCellMar>
        <w:tblLook w:val="04A0" w:firstRow="1" w:lastRow="0" w:firstColumn="1" w:lastColumn="0" w:noHBand="0" w:noVBand="1"/>
      </w:tblPr>
      <w:tblGrid>
        <w:gridCol w:w="1490"/>
        <w:gridCol w:w="1241"/>
        <w:gridCol w:w="3474"/>
        <w:gridCol w:w="1316"/>
        <w:gridCol w:w="2644"/>
      </w:tblGrid>
      <w:tr w:rsidR="006066AA" w:rsidRPr="001913DF" w14:paraId="421D5E3B" w14:textId="77777777" w:rsidTr="003317BC">
        <w:trPr>
          <w:tblHeader/>
          <w:tblCellSpacing w:w="15" w:type="dxa"/>
        </w:trPr>
        <w:tc>
          <w:tcPr>
            <w:tcW w:w="0" w:type="auto"/>
            <w:vAlign w:val="center"/>
            <w:hideMark/>
          </w:tcPr>
          <w:p w14:paraId="505AB2E9" w14:textId="77777777"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Phase</w:t>
            </w:r>
          </w:p>
        </w:tc>
        <w:tc>
          <w:tcPr>
            <w:tcW w:w="0" w:type="auto"/>
            <w:vAlign w:val="center"/>
            <w:hideMark/>
          </w:tcPr>
          <w:p w14:paraId="428E6F62" w14:textId="77777777"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Période</w:t>
            </w:r>
          </w:p>
        </w:tc>
        <w:tc>
          <w:tcPr>
            <w:tcW w:w="3444" w:type="dxa"/>
            <w:vAlign w:val="center"/>
            <w:hideMark/>
          </w:tcPr>
          <w:p w14:paraId="6D53DB2A" w14:textId="77777777"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Activités principales</w:t>
            </w:r>
          </w:p>
        </w:tc>
        <w:tc>
          <w:tcPr>
            <w:tcW w:w="1286" w:type="dxa"/>
            <w:vAlign w:val="center"/>
            <w:hideMark/>
          </w:tcPr>
          <w:p w14:paraId="450BCEEC" w14:textId="77777777"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Responsables</w:t>
            </w:r>
          </w:p>
        </w:tc>
        <w:tc>
          <w:tcPr>
            <w:tcW w:w="2599" w:type="dxa"/>
            <w:vAlign w:val="center"/>
            <w:hideMark/>
          </w:tcPr>
          <w:p w14:paraId="710E0687" w14:textId="77777777"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Indicateurs clés</w:t>
            </w:r>
          </w:p>
        </w:tc>
      </w:tr>
      <w:tr w:rsidR="006066AA" w:rsidRPr="000452A4" w14:paraId="419EC919" w14:textId="77777777" w:rsidTr="003317BC">
        <w:trPr>
          <w:tblCellSpacing w:w="15" w:type="dxa"/>
        </w:trPr>
        <w:tc>
          <w:tcPr>
            <w:tcW w:w="0" w:type="auto"/>
            <w:vAlign w:val="center"/>
            <w:hideMark/>
          </w:tcPr>
          <w:p w14:paraId="7BB4DA91"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Phase 1 – Préparation</w:t>
            </w:r>
          </w:p>
        </w:tc>
        <w:tc>
          <w:tcPr>
            <w:tcW w:w="0" w:type="auto"/>
            <w:vAlign w:val="center"/>
            <w:hideMark/>
          </w:tcPr>
          <w:p w14:paraId="6431E469"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Juil.–Août 2025</w:t>
            </w:r>
          </w:p>
        </w:tc>
        <w:tc>
          <w:tcPr>
            <w:tcW w:w="3444" w:type="dxa"/>
            <w:vAlign w:val="center"/>
            <w:hideMark/>
          </w:tcPr>
          <w:p w14:paraId="6914742C"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Inventaire initial, codification QR, paramétrage du dashboard METS</w:t>
            </w:r>
          </w:p>
        </w:tc>
        <w:tc>
          <w:tcPr>
            <w:tcW w:w="1286" w:type="dxa"/>
            <w:vAlign w:val="center"/>
            <w:hideMark/>
          </w:tcPr>
          <w:p w14:paraId="50B9A8A1" w14:textId="7FC6EB0D" w:rsidR="006066AA" w:rsidRPr="001913DF" w:rsidRDefault="000452A4" w:rsidP="001913DF">
            <w:pPr>
              <w:spacing w:after="0"/>
              <w:rPr>
                <w:rFonts w:ascii="Calibri" w:hAnsi="Calibri" w:cs="Calibri"/>
                <w:sz w:val="22"/>
                <w:szCs w:val="22"/>
                <w:lang w:val="fr-FR"/>
              </w:rPr>
            </w:pPr>
            <w:r>
              <w:rPr>
                <w:rFonts w:ascii="Calibri" w:hAnsi="Calibri" w:cs="Calibri"/>
                <w:sz w:val="22"/>
                <w:szCs w:val="22"/>
                <w:lang w:val="fr-FR"/>
              </w:rPr>
              <w:t>SSEQCU</w:t>
            </w:r>
            <w:r w:rsidR="006066AA" w:rsidRPr="001913DF">
              <w:rPr>
                <w:rFonts w:ascii="Calibri" w:hAnsi="Calibri" w:cs="Calibri"/>
                <w:sz w:val="22"/>
                <w:szCs w:val="22"/>
                <w:lang w:val="fr-FR"/>
              </w:rPr>
              <w:t>, DSNISI, DISEM</w:t>
            </w:r>
          </w:p>
        </w:tc>
        <w:tc>
          <w:tcPr>
            <w:tcW w:w="2599" w:type="dxa"/>
            <w:vAlign w:val="center"/>
            <w:hideMark/>
          </w:tcPr>
          <w:p w14:paraId="7D8710DC"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100 % des équipements étiquetés au PIA</w:t>
            </w:r>
          </w:p>
        </w:tc>
      </w:tr>
      <w:tr w:rsidR="006066AA" w:rsidRPr="000452A4" w14:paraId="4F9C5574" w14:textId="77777777" w:rsidTr="003317BC">
        <w:trPr>
          <w:tblCellSpacing w:w="15" w:type="dxa"/>
        </w:trPr>
        <w:tc>
          <w:tcPr>
            <w:tcW w:w="0" w:type="auto"/>
            <w:vAlign w:val="center"/>
            <w:hideMark/>
          </w:tcPr>
          <w:p w14:paraId="0395A39F"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Phase 2 – Pilote Plateaux</w:t>
            </w:r>
          </w:p>
        </w:tc>
        <w:tc>
          <w:tcPr>
            <w:tcW w:w="0" w:type="auto"/>
            <w:vAlign w:val="center"/>
            <w:hideMark/>
          </w:tcPr>
          <w:p w14:paraId="1EB2AE94"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Septembre 2025</w:t>
            </w:r>
          </w:p>
        </w:tc>
        <w:tc>
          <w:tcPr>
            <w:tcW w:w="3444" w:type="dxa"/>
            <w:vAlign w:val="center"/>
            <w:hideMark/>
          </w:tcPr>
          <w:p w14:paraId="47E036DC"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Livraison dans 11 USP, vérification en temps réel, formation des responsables d’USP</w:t>
            </w:r>
          </w:p>
        </w:tc>
        <w:tc>
          <w:tcPr>
            <w:tcW w:w="1286" w:type="dxa"/>
            <w:vAlign w:val="center"/>
            <w:hideMark/>
          </w:tcPr>
          <w:p w14:paraId="7FA5809E" w14:textId="68C86721"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 xml:space="preserve">DSNISI, </w:t>
            </w:r>
            <w:r w:rsidR="001913DF">
              <w:rPr>
                <w:rFonts w:ascii="Calibri" w:hAnsi="Calibri" w:cs="Calibri"/>
                <w:sz w:val="22"/>
                <w:szCs w:val="22"/>
                <w:lang w:val="fr-FR"/>
              </w:rPr>
              <w:t>SSEQCU</w:t>
            </w:r>
            <w:r w:rsidRPr="001913DF">
              <w:rPr>
                <w:rFonts w:ascii="Calibri" w:hAnsi="Calibri" w:cs="Calibri"/>
                <w:sz w:val="22"/>
                <w:szCs w:val="22"/>
                <w:lang w:val="fr-FR"/>
              </w:rPr>
              <w:t>, districts sanitaires</w:t>
            </w:r>
          </w:p>
        </w:tc>
        <w:tc>
          <w:tcPr>
            <w:tcW w:w="2599" w:type="dxa"/>
            <w:vAlign w:val="center"/>
            <w:hideMark/>
          </w:tcPr>
          <w:p w14:paraId="0B44206B"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 90 % de livraisons confirmées via METS</w:t>
            </w:r>
          </w:p>
        </w:tc>
      </w:tr>
      <w:tr w:rsidR="006066AA" w:rsidRPr="000452A4" w14:paraId="27E84EBB" w14:textId="77777777" w:rsidTr="003317BC">
        <w:trPr>
          <w:tblCellSpacing w:w="15" w:type="dxa"/>
        </w:trPr>
        <w:tc>
          <w:tcPr>
            <w:tcW w:w="0" w:type="auto"/>
            <w:vAlign w:val="center"/>
            <w:hideMark/>
          </w:tcPr>
          <w:p w14:paraId="3B871FE7"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Phase 3 – Extension</w:t>
            </w:r>
          </w:p>
        </w:tc>
        <w:tc>
          <w:tcPr>
            <w:tcW w:w="0" w:type="auto"/>
            <w:vAlign w:val="center"/>
            <w:hideMark/>
          </w:tcPr>
          <w:p w14:paraId="49DFB5D0"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Oct.–Nov. 2025</w:t>
            </w:r>
          </w:p>
        </w:tc>
        <w:tc>
          <w:tcPr>
            <w:tcW w:w="3444" w:type="dxa"/>
            <w:vAlign w:val="center"/>
            <w:hideMark/>
          </w:tcPr>
          <w:p w14:paraId="264EBEB0"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Livraison dans 13 USP additionnelles, accompagnement, suivi de l’installation électrique</w:t>
            </w:r>
          </w:p>
        </w:tc>
        <w:tc>
          <w:tcPr>
            <w:tcW w:w="1286" w:type="dxa"/>
            <w:vAlign w:val="center"/>
            <w:hideMark/>
          </w:tcPr>
          <w:p w14:paraId="35F61C69" w14:textId="60EB4128"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 xml:space="preserve">DSNISI, </w:t>
            </w:r>
            <w:r w:rsidR="001913DF">
              <w:rPr>
                <w:rFonts w:ascii="Calibri" w:hAnsi="Calibri" w:cs="Calibri"/>
                <w:sz w:val="22"/>
                <w:szCs w:val="22"/>
                <w:lang w:val="fr-FR"/>
              </w:rPr>
              <w:t>SSEQCU</w:t>
            </w:r>
          </w:p>
        </w:tc>
        <w:tc>
          <w:tcPr>
            <w:tcW w:w="2599" w:type="dxa"/>
            <w:vAlign w:val="center"/>
            <w:hideMark/>
          </w:tcPr>
          <w:p w14:paraId="3DACC402"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100 % des USP de la région des Plateaux couvertes</w:t>
            </w:r>
          </w:p>
        </w:tc>
      </w:tr>
      <w:tr w:rsidR="006066AA" w:rsidRPr="000452A4" w14:paraId="7DA01800" w14:textId="77777777" w:rsidTr="003317BC">
        <w:trPr>
          <w:tblCellSpacing w:w="15" w:type="dxa"/>
        </w:trPr>
        <w:tc>
          <w:tcPr>
            <w:tcW w:w="0" w:type="auto"/>
            <w:vAlign w:val="center"/>
            <w:hideMark/>
          </w:tcPr>
          <w:p w14:paraId="162112C9"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Phase 4 – Pérennisation</w:t>
            </w:r>
          </w:p>
        </w:tc>
        <w:tc>
          <w:tcPr>
            <w:tcW w:w="0" w:type="auto"/>
            <w:vAlign w:val="center"/>
            <w:hideMark/>
          </w:tcPr>
          <w:p w14:paraId="0DDA5B00"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Déc. 2025 – Mars 2026</w:t>
            </w:r>
          </w:p>
        </w:tc>
        <w:tc>
          <w:tcPr>
            <w:tcW w:w="3444" w:type="dxa"/>
            <w:vAlign w:val="center"/>
            <w:hideMark/>
          </w:tcPr>
          <w:p w14:paraId="0CE1C866"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Intégration renforcée avec DHIS2, suivi maintenance/garanties, rapports semestriels</w:t>
            </w:r>
          </w:p>
        </w:tc>
        <w:tc>
          <w:tcPr>
            <w:tcW w:w="1286" w:type="dxa"/>
            <w:vAlign w:val="center"/>
            <w:hideMark/>
          </w:tcPr>
          <w:p w14:paraId="4CD1A9C6" w14:textId="074B85EF"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 xml:space="preserve">DISEM, </w:t>
            </w:r>
            <w:r w:rsidR="001913DF">
              <w:rPr>
                <w:rFonts w:ascii="Calibri" w:hAnsi="Calibri" w:cs="Calibri"/>
                <w:sz w:val="22"/>
                <w:szCs w:val="22"/>
                <w:lang w:val="fr-FR"/>
              </w:rPr>
              <w:t>SSEQCU</w:t>
            </w:r>
            <w:r w:rsidRPr="001913DF">
              <w:rPr>
                <w:rFonts w:ascii="Calibri" w:hAnsi="Calibri" w:cs="Calibri"/>
                <w:sz w:val="22"/>
                <w:szCs w:val="22"/>
                <w:lang w:val="fr-FR"/>
              </w:rPr>
              <w:t>, DSNISI</w:t>
            </w:r>
          </w:p>
        </w:tc>
        <w:tc>
          <w:tcPr>
            <w:tcW w:w="2599" w:type="dxa"/>
            <w:vAlign w:val="center"/>
            <w:hideMark/>
          </w:tcPr>
          <w:p w14:paraId="226AFE07" w14:textId="77777777" w:rsidR="006066AA" w:rsidRPr="001913DF" w:rsidRDefault="006066AA" w:rsidP="001913DF">
            <w:pPr>
              <w:spacing w:after="0"/>
              <w:rPr>
                <w:rFonts w:ascii="Calibri" w:hAnsi="Calibri" w:cs="Calibri"/>
                <w:sz w:val="22"/>
                <w:szCs w:val="22"/>
                <w:lang w:val="fr-FR"/>
              </w:rPr>
            </w:pPr>
            <w:r w:rsidRPr="001913DF">
              <w:rPr>
                <w:rFonts w:ascii="Calibri" w:hAnsi="Calibri" w:cs="Calibri"/>
                <w:sz w:val="22"/>
                <w:szCs w:val="22"/>
                <w:lang w:val="fr-FR"/>
              </w:rPr>
              <w:t>≥ 95 % des équipements suivis dans METS</w:t>
            </w:r>
          </w:p>
        </w:tc>
      </w:tr>
    </w:tbl>
    <w:p w14:paraId="2087E697" w14:textId="77777777" w:rsidR="001913DF" w:rsidRDefault="001913DF" w:rsidP="001913DF">
      <w:pPr>
        <w:spacing w:after="0"/>
        <w:rPr>
          <w:rFonts w:ascii="Calibri" w:hAnsi="Calibri" w:cs="Calibri"/>
          <w:b/>
          <w:bCs/>
          <w:sz w:val="22"/>
          <w:szCs w:val="22"/>
          <w:lang w:val="fr-FR"/>
        </w:rPr>
      </w:pPr>
    </w:p>
    <w:p w14:paraId="15A93DB6" w14:textId="28E97DB2"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3. Axes de durabilité</w:t>
      </w:r>
    </w:p>
    <w:p w14:paraId="18B1321C" w14:textId="77777777" w:rsidR="006066AA" w:rsidRPr="001913DF" w:rsidRDefault="006066AA" w:rsidP="001913DF">
      <w:pPr>
        <w:numPr>
          <w:ilvl w:val="0"/>
          <w:numId w:val="1"/>
        </w:numPr>
        <w:spacing w:after="0"/>
        <w:rPr>
          <w:rFonts w:ascii="Calibri" w:hAnsi="Calibri" w:cs="Calibri"/>
          <w:sz w:val="22"/>
          <w:szCs w:val="22"/>
          <w:lang w:val="fr-FR"/>
        </w:rPr>
      </w:pPr>
      <w:r w:rsidRPr="001913DF">
        <w:rPr>
          <w:rFonts w:ascii="Calibri" w:hAnsi="Calibri" w:cs="Calibri"/>
          <w:b/>
          <w:bCs/>
          <w:sz w:val="22"/>
          <w:szCs w:val="22"/>
          <w:lang w:val="fr-FR"/>
        </w:rPr>
        <w:t>Institutionnalisation du METS</w:t>
      </w:r>
    </w:p>
    <w:p w14:paraId="60DC0F1F"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Intégration du suivi METS dans les routines de supervision des districts.</w:t>
      </w:r>
    </w:p>
    <w:p w14:paraId="753D05E1" w14:textId="5C7D691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 xml:space="preserve">Clarification des rôles entre </w:t>
      </w:r>
      <w:r w:rsidR="000452A4">
        <w:rPr>
          <w:rFonts w:ascii="Calibri" w:hAnsi="Calibri" w:cs="Calibri"/>
          <w:sz w:val="22"/>
          <w:szCs w:val="22"/>
          <w:lang w:val="fr-FR"/>
        </w:rPr>
        <w:t>SSEQCU</w:t>
      </w:r>
      <w:r w:rsidRPr="001913DF">
        <w:rPr>
          <w:rFonts w:ascii="Calibri" w:hAnsi="Calibri" w:cs="Calibri"/>
          <w:sz w:val="22"/>
          <w:szCs w:val="22"/>
          <w:lang w:val="fr-FR"/>
        </w:rPr>
        <w:t>, DSNISI, DISEM et les districts.</w:t>
      </w:r>
    </w:p>
    <w:p w14:paraId="41177EFA" w14:textId="77777777" w:rsidR="006066AA" w:rsidRPr="001913DF" w:rsidRDefault="006066AA" w:rsidP="001913DF">
      <w:pPr>
        <w:numPr>
          <w:ilvl w:val="0"/>
          <w:numId w:val="1"/>
        </w:numPr>
        <w:spacing w:after="0"/>
        <w:rPr>
          <w:rFonts w:ascii="Calibri" w:hAnsi="Calibri" w:cs="Calibri"/>
          <w:sz w:val="22"/>
          <w:szCs w:val="22"/>
          <w:lang w:val="fr-FR"/>
        </w:rPr>
      </w:pPr>
      <w:r w:rsidRPr="001913DF">
        <w:rPr>
          <w:rFonts w:ascii="Calibri" w:hAnsi="Calibri" w:cs="Calibri"/>
          <w:b/>
          <w:bCs/>
          <w:sz w:val="22"/>
          <w:szCs w:val="22"/>
          <w:lang w:val="fr-FR"/>
        </w:rPr>
        <w:t>Intégration des systèmes</w:t>
      </w:r>
    </w:p>
    <w:p w14:paraId="3D6F0893"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Lien avec DHIS2 pour suivre la disponibilité fonctionnelle des équipements par site.</w:t>
      </w:r>
    </w:p>
    <w:p w14:paraId="67A8BB61"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Alignement avec la stratégie nationale de maintenance élaborée avec GIZ.</w:t>
      </w:r>
    </w:p>
    <w:p w14:paraId="4F29591F" w14:textId="77777777" w:rsidR="006066AA" w:rsidRPr="001913DF" w:rsidRDefault="006066AA" w:rsidP="001913DF">
      <w:pPr>
        <w:numPr>
          <w:ilvl w:val="0"/>
          <w:numId w:val="1"/>
        </w:numPr>
        <w:spacing w:after="0"/>
        <w:rPr>
          <w:rFonts w:ascii="Calibri" w:hAnsi="Calibri" w:cs="Calibri"/>
          <w:sz w:val="22"/>
          <w:szCs w:val="22"/>
          <w:lang w:val="fr-FR"/>
        </w:rPr>
      </w:pPr>
      <w:r w:rsidRPr="001913DF">
        <w:rPr>
          <w:rFonts w:ascii="Calibri" w:hAnsi="Calibri" w:cs="Calibri"/>
          <w:b/>
          <w:bCs/>
          <w:sz w:val="22"/>
          <w:szCs w:val="22"/>
          <w:lang w:val="fr-FR"/>
        </w:rPr>
        <w:t>Renforcement des capacités</w:t>
      </w:r>
    </w:p>
    <w:p w14:paraId="004CCEC9"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Formations régulières des points focaux (districts, régions, niveau central).</w:t>
      </w:r>
    </w:p>
    <w:p w14:paraId="1DA5A44D"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Mise à disposition de guides pratiques (SOP, fiches réflexes).</w:t>
      </w:r>
    </w:p>
    <w:p w14:paraId="769CE90D" w14:textId="77777777" w:rsidR="006066AA" w:rsidRPr="001913DF" w:rsidRDefault="006066AA" w:rsidP="001913DF">
      <w:pPr>
        <w:numPr>
          <w:ilvl w:val="0"/>
          <w:numId w:val="1"/>
        </w:numPr>
        <w:spacing w:after="0"/>
        <w:rPr>
          <w:rFonts w:ascii="Calibri" w:hAnsi="Calibri" w:cs="Calibri"/>
          <w:sz w:val="22"/>
          <w:szCs w:val="22"/>
          <w:lang w:val="fr-FR"/>
        </w:rPr>
      </w:pPr>
      <w:r w:rsidRPr="001913DF">
        <w:rPr>
          <w:rFonts w:ascii="Calibri" w:hAnsi="Calibri" w:cs="Calibri"/>
          <w:b/>
          <w:bCs/>
          <w:sz w:val="22"/>
          <w:szCs w:val="22"/>
          <w:lang w:val="fr-FR"/>
        </w:rPr>
        <w:t>Maintenance et garanties</w:t>
      </w:r>
    </w:p>
    <w:p w14:paraId="7CA58018"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Utilisation du module “maintenance et réparations” de METS pour suivre les pannes.</w:t>
      </w:r>
    </w:p>
    <w:p w14:paraId="743019F8" w14:textId="77777777" w:rsidR="006066AA" w:rsidRPr="001913DF" w:rsidRDefault="006066AA" w:rsidP="001913DF">
      <w:pPr>
        <w:numPr>
          <w:ilvl w:val="1"/>
          <w:numId w:val="1"/>
        </w:numPr>
        <w:spacing w:after="0"/>
        <w:rPr>
          <w:rFonts w:ascii="Calibri" w:hAnsi="Calibri" w:cs="Calibri"/>
          <w:sz w:val="22"/>
          <w:szCs w:val="22"/>
          <w:lang w:val="fr-FR"/>
        </w:rPr>
      </w:pPr>
      <w:r w:rsidRPr="001913DF">
        <w:rPr>
          <w:rFonts w:ascii="Calibri" w:hAnsi="Calibri" w:cs="Calibri"/>
          <w:sz w:val="22"/>
          <w:szCs w:val="22"/>
          <w:lang w:val="fr-FR"/>
        </w:rPr>
        <w:t>Suivi systématique des garanties et obligations d’installation par les fournisseurs.</w:t>
      </w:r>
    </w:p>
    <w:p w14:paraId="4DEF0496" w14:textId="77777777" w:rsidR="006066AA" w:rsidRPr="001913DF" w:rsidRDefault="006066AA" w:rsidP="001913DF">
      <w:pPr>
        <w:spacing w:after="0"/>
        <w:rPr>
          <w:rFonts w:ascii="Calibri" w:hAnsi="Calibri" w:cs="Calibri"/>
          <w:b/>
          <w:bCs/>
          <w:sz w:val="22"/>
          <w:szCs w:val="22"/>
          <w:lang w:val="fr-FR"/>
        </w:rPr>
      </w:pPr>
      <w:r w:rsidRPr="001913DF">
        <w:rPr>
          <w:rFonts w:ascii="Calibri" w:hAnsi="Calibri" w:cs="Calibri"/>
          <w:b/>
          <w:bCs/>
          <w:sz w:val="22"/>
          <w:szCs w:val="22"/>
          <w:lang w:val="fr-FR"/>
        </w:rPr>
        <w:t>4. Suivi et évaluation</w:t>
      </w:r>
    </w:p>
    <w:p w14:paraId="658FC4E2" w14:textId="6B54EE05" w:rsidR="006066AA" w:rsidRPr="001913DF" w:rsidRDefault="006066AA" w:rsidP="001913DF">
      <w:pPr>
        <w:numPr>
          <w:ilvl w:val="0"/>
          <w:numId w:val="2"/>
        </w:numPr>
        <w:spacing w:after="0"/>
        <w:rPr>
          <w:rFonts w:ascii="Calibri" w:hAnsi="Calibri" w:cs="Calibri"/>
          <w:sz w:val="22"/>
          <w:szCs w:val="22"/>
          <w:lang w:val="fr-FR"/>
        </w:rPr>
      </w:pPr>
      <w:r w:rsidRPr="001913DF">
        <w:rPr>
          <w:rFonts w:ascii="Calibri" w:hAnsi="Calibri" w:cs="Calibri"/>
          <w:sz w:val="22"/>
          <w:szCs w:val="22"/>
          <w:lang w:val="fr-FR"/>
        </w:rPr>
        <w:t>Rapports trimestriels consolidés au niveau de l’</w:t>
      </w:r>
      <w:r w:rsidR="000452A4">
        <w:rPr>
          <w:rFonts w:ascii="Calibri" w:hAnsi="Calibri" w:cs="Calibri"/>
          <w:sz w:val="22"/>
          <w:szCs w:val="22"/>
          <w:lang w:val="fr-FR"/>
        </w:rPr>
        <w:t>SSEQCU</w:t>
      </w:r>
      <w:r w:rsidRPr="001913DF">
        <w:rPr>
          <w:rFonts w:ascii="Calibri" w:hAnsi="Calibri" w:cs="Calibri"/>
          <w:sz w:val="22"/>
          <w:szCs w:val="22"/>
          <w:lang w:val="fr-FR"/>
        </w:rPr>
        <w:t xml:space="preserve"> sur :</w:t>
      </w:r>
    </w:p>
    <w:p w14:paraId="5780FC80" w14:textId="77777777" w:rsidR="006066AA" w:rsidRPr="001913DF" w:rsidRDefault="006066AA" w:rsidP="001913DF">
      <w:pPr>
        <w:numPr>
          <w:ilvl w:val="1"/>
          <w:numId w:val="2"/>
        </w:numPr>
        <w:spacing w:after="0"/>
        <w:rPr>
          <w:rFonts w:ascii="Calibri" w:hAnsi="Calibri" w:cs="Calibri"/>
          <w:sz w:val="22"/>
          <w:szCs w:val="22"/>
          <w:lang w:val="fr-FR"/>
        </w:rPr>
      </w:pPr>
      <w:r w:rsidRPr="001913DF">
        <w:rPr>
          <w:rFonts w:ascii="Calibri" w:hAnsi="Calibri" w:cs="Calibri"/>
          <w:sz w:val="22"/>
          <w:szCs w:val="22"/>
          <w:lang w:val="fr-FR"/>
        </w:rPr>
        <w:t>le taux de complétude des scans,</w:t>
      </w:r>
    </w:p>
    <w:p w14:paraId="0A6391A5" w14:textId="77777777" w:rsidR="006066AA" w:rsidRPr="001913DF" w:rsidRDefault="006066AA" w:rsidP="001913DF">
      <w:pPr>
        <w:numPr>
          <w:ilvl w:val="1"/>
          <w:numId w:val="2"/>
        </w:numPr>
        <w:spacing w:after="0"/>
        <w:rPr>
          <w:rFonts w:ascii="Calibri" w:hAnsi="Calibri" w:cs="Calibri"/>
          <w:sz w:val="22"/>
          <w:szCs w:val="22"/>
          <w:lang w:val="fr-FR"/>
        </w:rPr>
      </w:pPr>
      <w:r w:rsidRPr="001913DF">
        <w:rPr>
          <w:rFonts w:ascii="Calibri" w:hAnsi="Calibri" w:cs="Calibri"/>
          <w:sz w:val="22"/>
          <w:szCs w:val="22"/>
          <w:lang w:val="fr-FR"/>
        </w:rPr>
        <w:lastRenderedPageBreak/>
        <w:t>le taux d’équipements en service,</w:t>
      </w:r>
    </w:p>
    <w:p w14:paraId="28D723EF" w14:textId="77777777" w:rsidR="006066AA" w:rsidRPr="001913DF" w:rsidRDefault="006066AA" w:rsidP="001913DF">
      <w:pPr>
        <w:numPr>
          <w:ilvl w:val="1"/>
          <w:numId w:val="2"/>
        </w:numPr>
        <w:spacing w:after="0"/>
        <w:rPr>
          <w:rFonts w:ascii="Calibri" w:hAnsi="Calibri" w:cs="Calibri"/>
          <w:sz w:val="22"/>
          <w:szCs w:val="22"/>
          <w:lang w:val="fr-FR"/>
        </w:rPr>
      </w:pPr>
      <w:r w:rsidRPr="001913DF">
        <w:rPr>
          <w:rFonts w:ascii="Calibri" w:hAnsi="Calibri" w:cs="Calibri"/>
          <w:sz w:val="22"/>
          <w:szCs w:val="22"/>
          <w:lang w:val="fr-FR"/>
        </w:rPr>
        <w:t>le volume d’incidents ou de pannes.</w:t>
      </w:r>
    </w:p>
    <w:p w14:paraId="608A5C1E" w14:textId="77777777" w:rsidR="006066AA" w:rsidRPr="001913DF" w:rsidRDefault="006066AA" w:rsidP="001913DF">
      <w:pPr>
        <w:numPr>
          <w:ilvl w:val="0"/>
          <w:numId w:val="2"/>
        </w:numPr>
        <w:spacing w:after="0"/>
        <w:rPr>
          <w:rFonts w:ascii="Calibri" w:hAnsi="Calibri" w:cs="Calibri"/>
          <w:sz w:val="22"/>
          <w:szCs w:val="22"/>
          <w:lang w:val="fr-FR"/>
        </w:rPr>
      </w:pPr>
      <w:r w:rsidRPr="001913DF">
        <w:rPr>
          <w:rFonts w:ascii="Calibri" w:hAnsi="Calibri" w:cs="Calibri"/>
          <w:sz w:val="22"/>
          <w:szCs w:val="22"/>
          <w:lang w:val="fr-FR"/>
        </w:rPr>
        <w:t>Revues annuelles avec les partenaires (Ministère, GIZ, Banque mondiale) pour ajuster la feuille de route et renforcer la durabilité des investissements.</w:t>
      </w:r>
    </w:p>
    <w:p w14:paraId="45A6998B" w14:textId="77777777" w:rsidR="006066AA" w:rsidRPr="001913DF" w:rsidRDefault="006066AA" w:rsidP="001913DF">
      <w:pPr>
        <w:spacing w:after="0"/>
        <w:rPr>
          <w:rFonts w:ascii="Calibri" w:hAnsi="Calibri" w:cs="Calibri"/>
          <w:sz w:val="22"/>
          <w:szCs w:val="22"/>
          <w:lang w:val="fr-FR"/>
        </w:rPr>
      </w:pPr>
    </w:p>
    <w:sectPr w:rsidR="006066AA" w:rsidRPr="001913DF">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DDC4" w14:textId="77777777" w:rsidR="00937748" w:rsidRDefault="00937748" w:rsidP="006066AA">
      <w:pPr>
        <w:spacing w:after="0" w:line="240" w:lineRule="auto"/>
      </w:pPr>
      <w:r>
        <w:separator/>
      </w:r>
    </w:p>
  </w:endnote>
  <w:endnote w:type="continuationSeparator" w:id="0">
    <w:p w14:paraId="33A47BA5" w14:textId="77777777" w:rsidR="00937748" w:rsidRDefault="00937748" w:rsidP="00606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F251" w14:textId="0F626830" w:rsidR="006066AA" w:rsidRDefault="006066AA">
    <w:pPr>
      <w:pStyle w:val="Footer"/>
    </w:pPr>
    <w:r>
      <w:rPr>
        <w:noProof/>
      </w:rPr>
      <mc:AlternateContent>
        <mc:Choice Requires="wps">
          <w:drawing>
            <wp:anchor distT="0" distB="0" distL="0" distR="0" simplePos="0" relativeHeight="251659264" behindDoc="0" locked="0" layoutInCell="1" allowOverlap="1" wp14:anchorId="4D43A9D7" wp14:editId="7443D34D">
              <wp:simplePos x="635" y="635"/>
              <wp:positionH relativeFrom="page">
                <wp:align>right</wp:align>
              </wp:positionH>
              <wp:positionV relativeFrom="page">
                <wp:align>bottom</wp:align>
              </wp:positionV>
              <wp:extent cx="1102995" cy="370205"/>
              <wp:effectExtent l="0" t="0" r="0" b="0"/>
              <wp:wrapNone/>
              <wp:docPr id="87884612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2D3B93DC" w14:textId="61A4219B" w:rsidR="006066AA" w:rsidRPr="006066AA" w:rsidRDefault="006066AA" w:rsidP="006066AA">
                          <w:pPr>
                            <w:spacing w:after="0"/>
                            <w:rPr>
                              <w:rFonts w:ascii="Calibri" w:eastAsia="Calibri" w:hAnsi="Calibri" w:cs="Calibri"/>
                              <w:noProof/>
                              <w:color w:val="000000"/>
                              <w:sz w:val="20"/>
                              <w:szCs w:val="20"/>
                            </w:rPr>
                          </w:pPr>
                          <w:r w:rsidRPr="006066AA">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43A9D7" id="_x0000_t202" coordsize="21600,21600" o:spt="202" path="m,l,21600r21600,l21600,xe">
              <v:stroke joinstyle="miter"/>
              <v:path gradientshapeok="t" o:connecttype="rect"/>
            </v:shapetype>
            <v:shape id="Text Box 2" o:spid="_x0000_s1026" type="#_x0000_t202" alt="Official Use Only" style="position:absolute;margin-left:35.65pt;margin-top:0;width:86.8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2D3B93DC" w14:textId="61A4219B" w:rsidR="006066AA" w:rsidRPr="006066AA" w:rsidRDefault="006066AA" w:rsidP="006066AA">
                    <w:pPr>
                      <w:spacing w:after="0"/>
                      <w:rPr>
                        <w:rFonts w:ascii="Calibri" w:eastAsia="Calibri" w:hAnsi="Calibri" w:cs="Calibri"/>
                        <w:noProof/>
                        <w:color w:val="000000"/>
                        <w:sz w:val="20"/>
                        <w:szCs w:val="20"/>
                      </w:rPr>
                    </w:pPr>
                    <w:r w:rsidRPr="006066AA">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2CC5" w14:textId="5D794003" w:rsidR="006066AA" w:rsidRDefault="006066AA">
    <w:pPr>
      <w:pStyle w:val="Footer"/>
      <w:jc w:val="right"/>
    </w:pPr>
    <w:r>
      <w:rPr>
        <w:noProof/>
      </w:rPr>
      <mc:AlternateContent>
        <mc:Choice Requires="wps">
          <w:drawing>
            <wp:anchor distT="0" distB="0" distL="0" distR="0" simplePos="0" relativeHeight="251660288" behindDoc="0" locked="0" layoutInCell="1" allowOverlap="1" wp14:anchorId="0F99939A" wp14:editId="7A269467">
              <wp:simplePos x="914400" y="9229725"/>
              <wp:positionH relativeFrom="page">
                <wp:align>right</wp:align>
              </wp:positionH>
              <wp:positionV relativeFrom="page">
                <wp:align>bottom</wp:align>
              </wp:positionV>
              <wp:extent cx="1102995" cy="370205"/>
              <wp:effectExtent l="0" t="0" r="0" b="0"/>
              <wp:wrapNone/>
              <wp:docPr id="19020956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0FF8CE4C" w14:textId="570EFED8" w:rsidR="006066AA" w:rsidRPr="006066AA" w:rsidRDefault="006066AA" w:rsidP="006066AA">
                          <w:pPr>
                            <w:spacing w:after="0"/>
                            <w:rPr>
                              <w:rFonts w:ascii="Calibri" w:eastAsia="Calibri" w:hAnsi="Calibri" w:cs="Calibri"/>
                              <w:noProof/>
                              <w:color w:val="000000"/>
                              <w:sz w:val="20"/>
                              <w:szCs w:val="20"/>
                            </w:rPr>
                          </w:pPr>
                          <w:r w:rsidRPr="006066AA">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99939A" id="_x0000_t202" coordsize="21600,21600" o:spt="202" path="m,l,21600r21600,l21600,xe">
              <v:stroke joinstyle="miter"/>
              <v:path gradientshapeok="t" o:connecttype="rect"/>
            </v:shapetype>
            <v:shape id="Text Box 3" o:spid="_x0000_s1027" type="#_x0000_t202" alt="Official Use Only" style="position:absolute;left:0;text-align:left;margin-left:35.65pt;margin-top:0;width:86.8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0FF8CE4C" w14:textId="570EFED8" w:rsidR="006066AA" w:rsidRPr="006066AA" w:rsidRDefault="006066AA" w:rsidP="006066AA">
                    <w:pPr>
                      <w:spacing w:after="0"/>
                      <w:rPr>
                        <w:rFonts w:ascii="Calibri" w:eastAsia="Calibri" w:hAnsi="Calibri" w:cs="Calibri"/>
                        <w:noProof/>
                        <w:color w:val="000000"/>
                        <w:sz w:val="20"/>
                        <w:szCs w:val="20"/>
                      </w:rPr>
                    </w:pPr>
                    <w:r w:rsidRPr="006066AA">
                      <w:rPr>
                        <w:rFonts w:ascii="Calibri" w:eastAsia="Calibri" w:hAnsi="Calibri" w:cs="Calibri"/>
                        <w:noProof/>
                        <w:color w:val="000000"/>
                        <w:sz w:val="20"/>
                        <w:szCs w:val="20"/>
                      </w:rPr>
                      <w:t>Official Use Only</w:t>
                    </w:r>
                  </w:p>
                </w:txbxContent>
              </v:textbox>
              <w10:wrap anchorx="page" anchory="page"/>
            </v:shape>
          </w:pict>
        </mc:Fallback>
      </mc:AlternateContent>
    </w:r>
    <w:sdt>
      <w:sdtPr>
        <w:id w:val="-144037084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8789870" w14:textId="77777777" w:rsidR="006066AA" w:rsidRDefault="006066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CD17" w14:textId="2316647D" w:rsidR="006066AA" w:rsidRDefault="006066AA">
    <w:pPr>
      <w:pStyle w:val="Footer"/>
    </w:pPr>
    <w:r>
      <w:rPr>
        <w:noProof/>
      </w:rPr>
      <mc:AlternateContent>
        <mc:Choice Requires="wps">
          <w:drawing>
            <wp:anchor distT="0" distB="0" distL="0" distR="0" simplePos="0" relativeHeight="251658240" behindDoc="0" locked="0" layoutInCell="1" allowOverlap="1" wp14:anchorId="2D19C37D" wp14:editId="05947AFF">
              <wp:simplePos x="635" y="635"/>
              <wp:positionH relativeFrom="page">
                <wp:align>right</wp:align>
              </wp:positionH>
              <wp:positionV relativeFrom="page">
                <wp:align>bottom</wp:align>
              </wp:positionV>
              <wp:extent cx="1102995" cy="370205"/>
              <wp:effectExtent l="0" t="0" r="0" b="0"/>
              <wp:wrapNone/>
              <wp:docPr id="42775033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376AE3A8" w14:textId="1AAC79FA" w:rsidR="006066AA" w:rsidRPr="006066AA" w:rsidRDefault="006066AA" w:rsidP="006066AA">
                          <w:pPr>
                            <w:spacing w:after="0"/>
                            <w:rPr>
                              <w:rFonts w:ascii="Calibri" w:eastAsia="Calibri" w:hAnsi="Calibri" w:cs="Calibri"/>
                              <w:noProof/>
                              <w:color w:val="000000"/>
                              <w:sz w:val="20"/>
                              <w:szCs w:val="20"/>
                            </w:rPr>
                          </w:pPr>
                          <w:r w:rsidRPr="006066AA">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19C37D" id="_x0000_t202" coordsize="21600,21600" o:spt="202" path="m,l,21600r21600,l21600,xe">
              <v:stroke joinstyle="miter"/>
              <v:path gradientshapeok="t" o:connecttype="rect"/>
            </v:shapetype>
            <v:shape id="Text Box 1" o:spid="_x0000_s1028"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" filled="f" stroked="f">
              <v:textbox style="mso-fit-shape-to-text:t" inset="0,0,20pt,15pt">
                <w:txbxContent>
                  <w:p w14:paraId="376AE3A8" w14:textId="1AAC79FA" w:rsidR="006066AA" w:rsidRPr="006066AA" w:rsidRDefault="006066AA" w:rsidP="006066AA">
                    <w:pPr>
                      <w:spacing w:after="0"/>
                      <w:rPr>
                        <w:rFonts w:ascii="Calibri" w:eastAsia="Calibri" w:hAnsi="Calibri" w:cs="Calibri"/>
                        <w:noProof/>
                        <w:color w:val="000000"/>
                        <w:sz w:val="20"/>
                        <w:szCs w:val="20"/>
                      </w:rPr>
                    </w:pPr>
                    <w:r w:rsidRPr="006066AA">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C162" w14:textId="77777777" w:rsidR="00937748" w:rsidRDefault="00937748" w:rsidP="006066AA">
      <w:pPr>
        <w:spacing w:after="0" w:line="240" w:lineRule="auto"/>
      </w:pPr>
      <w:r>
        <w:separator/>
      </w:r>
    </w:p>
  </w:footnote>
  <w:footnote w:type="continuationSeparator" w:id="0">
    <w:p w14:paraId="08B1FE2C" w14:textId="77777777" w:rsidR="00937748" w:rsidRDefault="00937748" w:rsidP="00606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09EC"/>
    <w:multiLevelType w:val="multilevel"/>
    <w:tmpl w:val="8BB661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171B2"/>
    <w:multiLevelType w:val="multilevel"/>
    <w:tmpl w:val="376C9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33612">
    <w:abstractNumId w:val="0"/>
  </w:num>
  <w:num w:numId="2" w16cid:durableId="514996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6AA"/>
    <w:rsid w:val="000452A4"/>
    <w:rsid w:val="000D7F6D"/>
    <w:rsid w:val="001913DF"/>
    <w:rsid w:val="001B787C"/>
    <w:rsid w:val="003317BC"/>
    <w:rsid w:val="003A7B2C"/>
    <w:rsid w:val="00444B7F"/>
    <w:rsid w:val="006066AA"/>
    <w:rsid w:val="00852E0E"/>
    <w:rsid w:val="00937748"/>
    <w:rsid w:val="00965602"/>
    <w:rsid w:val="009B5833"/>
    <w:rsid w:val="009D2A4C"/>
    <w:rsid w:val="00A22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D63D"/>
  <w15:chartTrackingRefBased/>
  <w15:docId w15:val="{6DB25F78-01EC-4154-8510-FF257FCB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6AA"/>
    <w:rPr>
      <w:rFonts w:eastAsiaTheme="majorEastAsia" w:cstheme="majorBidi"/>
      <w:color w:val="272727" w:themeColor="text1" w:themeTint="D8"/>
    </w:rPr>
  </w:style>
  <w:style w:type="paragraph" w:styleId="Title">
    <w:name w:val="Title"/>
    <w:basedOn w:val="Normal"/>
    <w:next w:val="Normal"/>
    <w:link w:val="TitleChar"/>
    <w:uiPriority w:val="10"/>
    <w:qFormat/>
    <w:rsid w:val="00606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6AA"/>
    <w:pPr>
      <w:spacing w:before="160"/>
      <w:jc w:val="center"/>
    </w:pPr>
    <w:rPr>
      <w:i/>
      <w:iCs/>
      <w:color w:val="404040" w:themeColor="text1" w:themeTint="BF"/>
    </w:rPr>
  </w:style>
  <w:style w:type="character" w:customStyle="1" w:styleId="QuoteChar">
    <w:name w:val="Quote Char"/>
    <w:basedOn w:val="DefaultParagraphFont"/>
    <w:link w:val="Quote"/>
    <w:uiPriority w:val="29"/>
    <w:rsid w:val="006066AA"/>
    <w:rPr>
      <w:i/>
      <w:iCs/>
      <w:color w:val="404040" w:themeColor="text1" w:themeTint="BF"/>
    </w:rPr>
  </w:style>
  <w:style w:type="paragraph" w:styleId="ListParagraph">
    <w:name w:val="List Paragraph"/>
    <w:basedOn w:val="Normal"/>
    <w:uiPriority w:val="34"/>
    <w:qFormat/>
    <w:rsid w:val="006066AA"/>
    <w:pPr>
      <w:ind w:left="720"/>
      <w:contextualSpacing/>
    </w:pPr>
  </w:style>
  <w:style w:type="character" w:styleId="IntenseEmphasis">
    <w:name w:val="Intense Emphasis"/>
    <w:basedOn w:val="DefaultParagraphFont"/>
    <w:uiPriority w:val="21"/>
    <w:qFormat/>
    <w:rsid w:val="006066AA"/>
    <w:rPr>
      <w:i/>
      <w:iCs/>
      <w:color w:val="0F4761" w:themeColor="accent1" w:themeShade="BF"/>
    </w:rPr>
  </w:style>
  <w:style w:type="paragraph" w:styleId="IntenseQuote">
    <w:name w:val="Intense Quote"/>
    <w:basedOn w:val="Normal"/>
    <w:next w:val="Normal"/>
    <w:link w:val="IntenseQuoteChar"/>
    <w:uiPriority w:val="30"/>
    <w:qFormat/>
    <w:rsid w:val="00606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6AA"/>
    <w:rPr>
      <w:i/>
      <w:iCs/>
      <w:color w:val="0F4761" w:themeColor="accent1" w:themeShade="BF"/>
    </w:rPr>
  </w:style>
  <w:style w:type="character" w:styleId="IntenseReference">
    <w:name w:val="Intense Reference"/>
    <w:basedOn w:val="DefaultParagraphFont"/>
    <w:uiPriority w:val="32"/>
    <w:qFormat/>
    <w:rsid w:val="006066AA"/>
    <w:rPr>
      <w:b/>
      <w:bCs/>
      <w:smallCaps/>
      <w:color w:val="0F4761" w:themeColor="accent1" w:themeShade="BF"/>
      <w:spacing w:val="5"/>
    </w:rPr>
  </w:style>
  <w:style w:type="paragraph" w:styleId="Header">
    <w:name w:val="header"/>
    <w:basedOn w:val="Normal"/>
    <w:link w:val="HeaderChar"/>
    <w:uiPriority w:val="99"/>
    <w:unhideWhenUsed/>
    <w:rsid w:val="00606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6AA"/>
  </w:style>
  <w:style w:type="paragraph" w:styleId="Footer">
    <w:name w:val="footer"/>
    <w:basedOn w:val="Normal"/>
    <w:link w:val="FooterChar"/>
    <w:uiPriority w:val="99"/>
    <w:unhideWhenUsed/>
    <w:rsid w:val="00606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84998">
      <w:bodyDiv w:val="1"/>
      <w:marLeft w:val="0"/>
      <w:marRight w:val="0"/>
      <w:marTop w:val="0"/>
      <w:marBottom w:val="0"/>
      <w:divBdr>
        <w:top w:val="none" w:sz="0" w:space="0" w:color="auto"/>
        <w:left w:val="none" w:sz="0" w:space="0" w:color="auto"/>
        <w:bottom w:val="none" w:sz="0" w:space="0" w:color="auto"/>
        <w:right w:val="none" w:sz="0" w:space="0" w:color="auto"/>
      </w:divBdr>
      <w:divsChild>
        <w:div w:id="1949198945">
          <w:marLeft w:val="0"/>
          <w:marRight w:val="0"/>
          <w:marTop w:val="0"/>
          <w:marBottom w:val="0"/>
          <w:divBdr>
            <w:top w:val="none" w:sz="0" w:space="0" w:color="auto"/>
            <w:left w:val="none" w:sz="0" w:space="0" w:color="auto"/>
            <w:bottom w:val="none" w:sz="0" w:space="0" w:color="auto"/>
            <w:right w:val="none" w:sz="0" w:space="0" w:color="auto"/>
          </w:divBdr>
          <w:divsChild>
            <w:div w:id="1302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7468">
      <w:bodyDiv w:val="1"/>
      <w:marLeft w:val="0"/>
      <w:marRight w:val="0"/>
      <w:marTop w:val="0"/>
      <w:marBottom w:val="0"/>
      <w:divBdr>
        <w:top w:val="none" w:sz="0" w:space="0" w:color="auto"/>
        <w:left w:val="none" w:sz="0" w:space="0" w:color="auto"/>
        <w:bottom w:val="none" w:sz="0" w:space="0" w:color="auto"/>
        <w:right w:val="none" w:sz="0" w:space="0" w:color="auto"/>
      </w:divBdr>
      <w:divsChild>
        <w:div w:id="1561601143">
          <w:marLeft w:val="0"/>
          <w:marRight w:val="0"/>
          <w:marTop w:val="0"/>
          <w:marBottom w:val="0"/>
          <w:divBdr>
            <w:top w:val="none" w:sz="0" w:space="0" w:color="auto"/>
            <w:left w:val="none" w:sz="0" w:space="0" w:color="auto"/>
            <w:bottom w:val="none" w:sz="0" w:space="0" w:color="auto"/>
            <w:right w:val="none" w:sz="0" w:space="0" w:color="auto"/>
          </w:divBdr>
          <w:divsChild>
            <w:div w:id="9976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334</Words>
  <Characters>1983</Characters>
  <Application>Microsoft Office Word</Application>
  <DocSecurity>0</DocSecurity>
  <Lines>82</Lines>
  <Paragraphs>55</Paragraphs>
  <ScaleCrop>false</ScaleCrop>
  <Company>WBG</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Mahamadou Tounkara</dc:creator>
  <cp:keywords/>
  <dc:description/>
  <cp:lastModifiedBy>Gary Mahamadou Tounkara</cp:lastModifiedBy>
  <cp:revision>5</cp:revision>
  <dcterms:created xsi:type="dcterms:W3CDTF">2025-11-19T09:45:00Z</dcterms:created>
  <dcterms:modified xsi:type="dcterms:W3CDTF">2025-11-24T21:24:00Z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197ef3c1,346220af,715fad29</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2025-11-19T09:46:09Z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98373c03-54d2-42c4-a8aa-7eab23c5cf6d</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