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ED224" w14:textId="71C6DFB4" w:rsidR="00393817" w:rsidRPr="00924D72" w:rsidRDefault="00393817" w:rsidP="00924D72">
      <w:pPr>
        <w:spacing w:after="0"/>
        <w:jc w:val="center"/>
        <w:rPr>
          <w:rFonts w:ascii="Calibri" w:hAnsi="Calibri" w:cs="Calibri"/>
          <w:b/>
          <w:bCs/>
          <w:sz w:val="22"/>
          <w:szCs w:val="22"/>
          <w:lang w:val="fr-FR"/>
        </w:rPr>
      </w:pPr>
      <w:r w:rsidRPr="00924D72">
        <w:rPr>
          <w:rFonts w:ascii="Calibri" w:hAnsi="Calibri" w:cs="Calibri"/>
          <w:b/>
          <w:bCs/>
          <w:sz w:val="22"/>
          <w:szCs w:val="22"/>
          <w:lang w:val="fr-FR"/>
        </w:rPr>
        <w:t>Rapport sur la qualité et la complétude des données (METS)</w:t>
      </w:r>
    </w:p>
    <w:p w14:paraId="5A207CED" w14:textId="2E0AA43A"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br/>
        <w:t>Projet SSEQCU – Suivi du déploiement des équipements médicaux</w:t>
      </w:r>
      <w:r w:rsidRPr="00924D72">
        <w:rPr>
          <w:rFonts w:ascii="Calibri" w:hAnsi="Calibri" w:cs="Calibri"/>
          <w:sz w:val="22"/>
          <w:szCs w:val="22"/>
          <w:lang w:val="fr-FR"/>
        </w:rPr>
        <w:br/>
        <w:t>Période d’analyse : septembre 2025</w:t>
      </w:r>
    </w:p>
    <w:p w14:paraId="131B715B" w14:textId="77777777" w:rsidR="00924D72" w:rsidRDefault="00924D72" w:rsidP="00924D72">
      <w:pPr>
        <w:spacing w:after="0"/>
        <w:rPr>
          <w:rFonts w:ascii="Calibri" w:hAnsi="Calibri" w:cs="Calibri"/>
          <w:b/>
          <w:bCs/>
          <w:sz w:val="22"/>
          <w:szCs w:val="22"/>
          <w:lang w:val="fr-FR"/>
        </w:rPr>
      </w:pPr>
    </w:p>
    <w:p w14:paraId="70C85DE0" w14:textId="22FB05D5"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1. Résumé exécutif</w:t>
      </w:r>
    </w:p>
    <w:p w14:paraId="51C65FBF"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Ce rapport présente l’analyse de la qualité et de la complétude des données enregistrées dans le système METS (Medical Equipment Tracking System) lors du déploiement des équipements médicaux dans la région des Plateaux.</w:t>
      </w:r>
    </w:p>
    <w:p w14:paraId="42540884"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Globalement, la complétude des données est élevée (taux moyen d’environ 98 %), avec un bon niveau de cohérence entre les données papier et les données numériques. Quelques anomalies demeurent, notamment des équipements non scannés, des divergences ponctuelles entre les bordereaux de livraison et le tableau de bord, ainsi que des étiquettes qui s’effacent avec le temps.</w:t>
      </w:r>
    </w:p>
    <w:p w14:paraId="2CD77989"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Le rapport formule des recommandations à court, moyen et long terme pour renforcer la qualité des données, sécuriser la traçabilité des équipements et favoriser une utilisation optimale du système METS.</w:t>
      </w:r>
    </w:p>
    <w:p w14:paraId="70D954A2" w14:textId="77777777" w:rsidR="00924D72" w:rsidRDefault="00924D72" w:rsidP="00924D72">
      <w:pPr>
        <w:spacing w:after="0"/>
        <w:rPr>
          <w:rFonts w:ascii="Calibri" w:hAnsi="Calibri" w:cs="Calibri"/>
          <w:b/>
          <w:bCs/>
          <w:sz w:val="22"/>
          <w:szCs w:val="22"/>
          <w:lang w:val="fr-FR"/>
        </w:rPr>
      </w:pPr>
    </w:p>
    <w:p w14:paraId="778FD9FC" w14:textId="1ED873A5"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2. Méthodologie</w:t>
      </w:r>
    </w:p>
    <w:p w14:paraId="64AA8890"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L’analyse repose sur :</w:t>
      </w:r>
    </w:p>
    <w:p w14:paraId="7D45EB6E" w14:textId="77777777" w:rsidR="00393817" w:rsidRPr="00924D72" w:rsidRDefault="00393817" w:rsidP="00924D72">
      <w:pPr>
        <w:numPr>
          <w:ilvl w:val="0"/>
          <w:numId w:val="1"/>
        </w:numPr>
        <w:spacing w:after="0"/>
        <w:rPr>
          <w:rFonts w:ascii="Calibri" w:hAnsi="Calibri" w:cs="Calibri"/>
          <w:sz w:val="22"/>
          <w:szCs w:val="22"/>
          <w:lang w:val="fr-FR"/>
        </w:rPr>
      </w:pPr>
      <w:r w:rsidRPr="00924D72">
        <w:rPr>
          <w:rFonts w:ascii="Calibri" w:hAnsi="Calibri" w:cs="Calibri"/>
          <w:sz w:val="22"/>
          <w:szCs w:val="22"/>
          <w:lang w:val="fr-FR"/>
        </w:rPr>
        <w:t>les données issues du tableau de bord METS ;</w:t>
      </w:r>
    </w:p>
    <w:p w14:paraId="7E65C31C" w14:textId="77777777" w:rsidR="00393817" w:rsidRPr="00924D72" w:rsidRDefault="00393817" w:rsidP="00924D72">
      <w:pPr>
        <w:numPr>
          <w:ilvl w:val="0"/>
          <w:numId w:val="1"/>
        </w:numPr>
        <w:spacing w:after="0"/>
        <w:rPr>
          <w:rFonts w:ascii="Calibri" w:hAnsi="Calibri" w:cs="Calibri"/>
          <w:sz w:val="22"/>
          <w:szCs w:val="22"/>
          <w:lang w:val="fr-FR"/>
        </w:rPr>
      </w:pPr>
      <w:r w:rsidRPr="00924D72">
        <w:rPr>
          <w:rFonts w:ascii="Calibri" w:hAnsi="Calibri" w:cs="Calibri"/>
          <w:sz w:val="22"/>
          <w:szCs w:val="22"/>
          <w:lang w:val="fr-FR"/>
        </w:rPr>
        <w:t>les formulaires de réception des équipements dans les USP ;</w:t>
      </w:r>
    </w:p>
    <w:p w14:paraId="20FAF598" w14:textId="77777777" w:rsidR="00393817" w:rsidRPr="00924D72" w:rsidRDefault="00393817" w:rsidP="00924D72">
      <w:pPr>
        <w:numPr>
          <w:ilvl w:val="0"/>
          <w:numId w:val="1"/>
        </w:numPr>
        <w:spacing w:after="0"/>
        <w:rPr>
          <w:rFonts w:ascii="Calibri" w:hAnsi="Calibri" w:cs="Calibri"/>
          <w:sz w:val="22"/>
          <w:szCs w:val="22"/>
          <w:lang w:val="fr-FR"/>
        </w:rPr>
      </w:pPr>
      <w:r w:rsidRPr="00924D72">
        <w:rPr>
          <w:rFonts w:ascii="Calibri" w:hAnsi="Calibri" w:cs="Calibri"/>
          <w:sz w:val="22"/>
          <w:szCs w:val="22"/>
          <w:lang w:val="fr-FR"/>
        </w:rPr>
        <w:t>les scans QR réalisés au départ de la Plateforme Industrielle d’Adétikopé (PIA) et à l’arrivée dans les formations sanitaires ;</w:t>
      </w:r>
    </w:p>
    <w:p w14:paraId="56AC9BC3" w14:textId="268CA1D0" w:rsidR="00393817" w:rsidRPr="00924D72" w:rsidRDefault="00393817" w:rsidP="00924D72">
      <w:pPr>
        <w:numPr>
          <w:ilvl w:val="0"/>
          <w:numId w:val="1"/>
        </w:numPr>
        <w:spacing w:after="0"/>
        <w:rPr>
          <w:rFonts w:ascii="Calibri" w:hAnsi="Calibri" w:cs="Calibri"/>
          <w:sz w:val="22"/>
          <w:szCs w:val="22"/>
          <w:lang w:val="fr-FR"/>
        </w:rPr>
      </w:pPr>
      <w:r w:rsidRPr="00924D72">
        <w:rPr>
          <w:rFonts w:ascii="Calibri" w:hAnsi="Calibri" w:cs="Calibri"/>
          <w:sz w:val="22"/>
          <w:szCs w:val="22"/>
          <w:lang w:val="fr-FR"/>
        </w:rPr>
        <w:t>les bordereaux de livraison fournis par l</w:t>
      </w:r>
      <w:r w:rsidR="00C9182D">
        <w:rPr>
          <w:rFonts w:ascii="Calibri" w:hAnsi="Calibri" w:cs="Calibri"/>
          <w:sz w:val="22"/>
          <w:szCs w:val="22"/>
          <w:lang w:val="fr-FR"/>
        </w:rPr>
        <w:t>e SSEQCU</w:t>
      </w:r>
      <w:r w:rsidRPr="00924D72">
        <w:rPr>
          <w:rFonts w:ascii="Calibri" w:hAnsi="Calibri" w:cs="Calibri"/>
          <w:sz w:val="22"/>
          <w:szCs w:val="22"/>
          <w:lang w:val="fr-FR"/>
        </w:rPr>
        <w:t xml:space="preserve"> ;</w:t>
      </w:r>
    </w:p>
    <w:p w14:paraId="36E075FC" w14:textId="77777777" w:rsidR="00393817" w:rsidRPr="00924D72" w:rsidRDefault="00393817" w:rsidP="00924D72">
      <w:pPr>
        <w:numPr>
          <w:ilvl w:val="0"/>
          <w:numId w:val="1"/>
        </w:numPr>
        <w:spacing w:after="0"/>
        <w:rPr>
          <w:rFonts w:ascii="Calibri" w:hAnsi="Calibri" w:cs="Calibri"/>
          <w:sz w:val="22"/>
          <w:szCs w:val="22"/>
          <w:lang w:val="fr-FR"/>
        </w:rPr>
      </w:pPr>
      <w:r w:rsidRPr="00924D72">
        <w:rPr>
          <w:rFonts w:ascii="Calibri" w:hAnsi="Calibri" w:cs="Calibri"/>
          <w:sz w:val="22"/>
          <w:szCs w:val="22"/>
          <w:lang w:val="fr-FR"/>
        </w:rPr>
        <w:t>les échanges avec les équipes des districts sanitaires (DPS, points focaux, responsables d’USP).</w:t>
      </w:r>
    </w:p>
    <w:p w14:paraId="5C1B1ED6"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Trois dimensions principales ont été évaluées :</w:t>
      </w:r>
    </w:p>
    <w:p w14:paraId="177ACCDD" w14:textId="77777777" w:rsidR="00393817" w:rsidRPr="00924D72" w:rsidRDefault="00393817" w:rsidP="00924D72">
      <w:pPr>
        <w:numPr>
          <w:ilvl w:val="0"/>
          <w:numId w:val="2"/>
        </w:numPr>
        <w:spacing w:after="0"/>
        <w:rPr>
          <w:rFonts w:ascii="Calibri" w:hAnsi="Calibri" w:cs="Calibri"/>
          <w:sz w:val="22"/>
          <w:szCs w:val="22"/>
          <w:lang w:val="fr-FR"/>
        </w:rPr>
      </w:pPr>
      <w:r w:rsidRPr="00924D72">
        <w:rPr>
          <w:rFonts w:ascii="Calibri" w:hAnsi="Calibri" w:cs="Calibri"/>
          <w:b/>
          <w:bCs/>
          <w:sz w:val="22"/>
          <w:szCs w:val="22"/>
          <w:lang w:val="fr-FR"/>
        </w:rPr>
        <w:t>Complétude</w:t>
      </w:r>
      <w:r w:rsidRPr="00924D72">
        <w:rPr>
          <w:rFonts w:ascii="Calibri" w:hAnsi="Calibri" w:cs="Calibri"/>
          <w:sz w:val="22"/>
          <w:szCs w:val="22"/>
          <w:lang w:val="fr-FR"/>
        </w:rPr>
        <w:t xml:space="preserve"> : équipements scannés vs équipements livrés ;</w:t>
      </w:r>
    </w:p>
    <w:p w14:paraId="5D11FAF2" w14:textId="77777777" w:rsidR="00393817" w:rsidRPr="00924D72" w:rsidRDefault="00393817" w:rsidP="00924D72">
      <w:pPr>
        <w:numPr>
          <w:ilvl w:val="0"/>
          <w:numId w:val="2"/>
        </w:numPr>
        <w:spacing w:after="0"/>
        <w:rPr>
          <w:rFonts w:ascii="Calibri" w:hAnsi="Calibri" w:cs="Calibri"/>
          <w:sz w:val="22"/>
          <w:szCs w:val="22"/>
          <w:lang w:val="fr-FR"/>
        </w:rPr>
      </w:pPr>
      <w:r w:rsidRPr="00924D72">
        <w:rPr>
          <w:rFonts w:ascii="Calibri" w:hAnsi="Calibri" w:cs="Calibri"/>
          <w:b/>
          <w:bCs/>
          <w:sz w:val="22"/>
          <w:szCs w:val="22"/>
          <w:lang w:val="fr-FR"/>
        </w:rPr>
        <w:t>Qualité</w:t>
      </w:r>
      <w:r w:rsidRPr="00924D72">
        <w:rPr>
          <w:rFonts w:ascii="Calibri" w:hAnsi="Calibri" w:cs="Calibri"/>
          <w:sz w:val="22"/>
          <w:szCs w:val="22"/>
          <w:lang w:val="fr-FR"/>
        </w:rPr>
        <w:t xml:space="preserve"> : cohérence des identifiants (QR, numéros de série, libellés) ;</w:t>
      </w:r>
    </w:p>
    <w:p w14:paraId="15D50CC1" w14:textId="77777777" w:rsidR="00393817" w:rsidRPr="00924D72" w:rsidRDefault="00393817" w:rsidP="00924D72">
      <w:pPr>
        <w:numPr>
          <w:ilvl w:val="0"/>
          <w:numId w:val="2"/>
        </w:numPr>
        <w:spacing w:after="0"/>
        <w:rPr>
          <w:rFonts w:ascii="Calibri" w:hAnsi="Calibri" w:cs="Calibri"/>
          <w:sz w:val="22"/>
          <w:szCs w:val="22"/>
          <w:lang w:val="fr-FR"/>
        </w:rPr>
      </w:pPr>
      <w:r w:rsidRPr="00924D72">
        <w:rPr>
          <w:rFonts w:ascii="Calibri" w:hAnsi="Calibri" w:cs="Calibri"/>
          <w:b/>
          <w:bCs/>
          <w:sz w:val="22"/>
          <w:szCs w:val="22"/>
          <w:lang w:val="fr-FR"/>
        </w:rPr>
        <w:t>Exactitude</w:t>
      </w:r>
      <w:r w:rsidRPr="00924D72">
        <w:rPr>
          <w:rFonts w:ascii="Calibri" w:hAnsi="Calibri" w:cs="Calibri"/>
          <w:sz w:val="22"/>
          <w:szCs w:val="22"/>
          <w:lang w:val="fr-FR"/>
        </w:rPr>
        <w:t xml:space="preserve"> : concordance entre documents papier et données numériques.</w:t>
      </w:r>
    </w:p>
    <w:p w14:paraId="392C90DF" w14:textId="77777777" w:rsidR="00924D72" w:rsidRDefault="00924D72" w:rsidP="00924D72">
      <w:pPr>
        <w:spacing w:after="0"/>
        <w:rPr>
          <w:rFonts w:ascii="Calibri" w:hAnsi="Calibri" w:cs="Calibri"/>
          <w:b/>
          <w:bCs/>
          <w:sz w:val="22"/>
          <w:szCs w:val="22"/>
          <w:lang w:val="fr-FR"/>
        </w:rPr>
      </w:pPr>
    </w:p>
    <w:p w14:paraId="09775C19" w14:textId="5C90C6EE"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3. Résultats sur la complétude des données</w:t>
      </w:r>
    </w:p>
    <w:p w14:paraId="4314F0D7" w14:textId="77777777"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3.1 Taux de complétude par USP</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90"/>
        <w:gridCol w:w="2104"/>
        <w:gridCol w:w="2025"/>
        <w:gridCol w:w="1916"/>
      </w:tblGrid>
      <w:tr w:rsidR="00393817" w:rsidRPr="00924D72" w14:paraId="11C319E7" w14:textId="77777777" w:rsidTr="00924D72">
        <w:trPr>
          <w:tblHeader/>
          <w:tblCellSpacing w:w="15" w:type="dxa"/>
          <w:jc w:val="center"/>
        </w:trPr>
        <w:tc>
          <w:tcPr>
            <w:tcW w:w="0" w:type="auto"/>
            <w:vAlign w:val="center"/>
            <w:hideMark/>
          </w:tcPr>
          <w:p w14:paraId="5C54CB79" w14:textId="77777777"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USP</w:t>
            </w:r>
          </w:p>
        </w:tc>
        <w:tc>
          <w:tcPr>
            <w:tcW w:w="0" w:type="auto"/>
            <w:vAlign w:val="center"/>
            <w:hideMark/>
          </w:tcPr>
          <w:p w14:paraId="3C0EBDDE" w14:textId="77777777"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Équipements attendus</w:t>
            </w:r>
          </w:p>
        </w:tc>
        <w:tc>
          <w:tcPr>
            <w:tcW w:w="0" w:type="auto"/>
            <w:vAlign w:val="center"/>
            <w:hideMark/>
          </w:tcPr>
          <w:p w14:paraId="1C96D07B" w14:textId="77777777"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Équipements scannés</w:t>
            </w:r>
          </w:p>
        </w:tc>
        <w:tc>
          <w:tcPr>
            <w:tcW w:w="0" w:type="auto"/>
            <w:vAlign w:val="center"/>
            <w:hideMark/>
          </w:tcPr>
          <w:p w14:paraId="60C8C890" w14:textId="77777777"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Taux de complétude</w:t>
            </w:r>
          </w:p>
        </w:tc>
      </w:tr>
      <w:tr w:rsidR="00393817" w:rsidRPr="00924D72" w14:paraId="2CB72C6F" w14:textId="77777777" w:rsidTr="00924D72">
        <w:trPr>
          <w:tblCellSpacing w:w="15" w:type="dxa"/>
          <w:jc w:val="center"/>
        </w:trPr>
        <w:tc>
          <w:tcPr>
            <w:tcW w:w="0" w:type="auto"/>
            <w:vAlign w:val="center"/>
            <w:hideMark/>
          </w:tcPr>
          <w:p w14:paraId="04C56161"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Kpédikè</w:t>
            </w:r>
          </w:p>
        </w:tc>
        <w:tc>
          <w:tcPr>
            <w:tcW w:w="0" w:type="auto"/>
            <w:vAlign w:val="center"/>
            <w:hideMark/>
          </w:tcPr>
          <w:p w14:paraId="23356B08"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5357CC80"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6A4D25FC"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100 %</w:t>
            </w:r>
          </w:p>
        </w:tc>
      </w:tr>
      <w:tr w:rsidR="00393817" w:rsidRPr="00924D72" w14:paraId="03E0A804" w14:textId="77777777" w:rsidTr="00924D72">
        <w:trPr>
          <w:tblCellSpacing w:w="15" w:type="dxa"/>
          <w:jc w:val="center"/>
        </w:trPr>
        <w:tc>
          <w:tcPr>
            <w:tcW w:w="0" w:type="auto"/>
            <w:vAlign w:val="center"/>
            <w:hideMark/>
          </w:tcPr>
          <w:p w14:paraId="0A3069C8"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Glekope</w:t>
            </w:r>
          </w:p>
        </w:tc>
        <w:tc>
          <w:tcPr>
            <w:tcW w:w="0" w:type="auto"/>
            <w:vAlign w:val="center"/>
            <w:hideMark/>
          </w:tcPr>
          <w:p w14:paraId="7E56CDC2"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84</w:t>
            </w:r>
          </w:p>
        </w:tc>
        <w:tc>
          <w:tcPr>
            <w:tcW w:w="0" w:type="auto"/>
            <w:vAlign w:val="center"/>
            <w:hideMark/>
          </w:tcPr>
          <w:p w14:paraId="63207CD7"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82</w:t>
            </w:r>
          </w:p>
        </w:tc>
        <w:tc>
          <w:tcPr>
            <w:tcW w:w="0" w:type="auto"/>
            <w:vAlign w:val="center"/>
            <w:hideMark/>
          </w:tcPr>
          <w:p w14:paraId="70623D90"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98 %</w:t>
            </w:r>
          </w:p>
        </w:tc>
      </w:tr>
      <w:tr w:rsidR="00393817" w:rsidRPr="00924D72" w14:paraId="28AB5610" w14:textId="77777777" w:rsidTr="00924D72">
        <w:trPr>
          <w:tblCellSpacing w:w="15" w:type="dxa"/>
          <w:jc w:val="center"/>
        </w:trPr>
        <w:tc>
          <w:tcPr>
            <w:tcW w:w="0" w:type="auto"/>
            <w:vAlign w:val="center"/>
            <w:hideMark/>
          </w:tcPr>
          <w:p w14:paraId="5C9A47BD"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Kologan</w:t>
            </w:r>
          </w:p>
        </w:tc>
        <w:tc>
          <w:tcPr>
            <w:tcW w:w="0" w:type="auto"/>
            <w:vAlign w:val="center"/>
            <w:hideMark/>
          </w:tcPr>
          <w:p w14:paraId="25BF16E5"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2EDE24FC"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1B3DB090"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100 %</w:t>
            </w:r>
          </w:p>
        </w:tc>
      </w:tr>
      <w:tr w:rsidR="00393817" w:rsidRPr="00924D72" w14:paraId="37848937" w14:textId="77777777" w:rsidTr="00924D72">
        <w:trPr>
          <w:tblCellSpacing w:w="15" w:type="dxa"/>
          <w:jc w:val="center"/>
        </w:trPr>
        <w:tc>
          <w:tcPr>
            <w:tcW w:w="0" w:type="auto"/>
            <w:vAlign w:val="center"/>
            <w:hideMark/>
          </w:tcPr>
          <w:p w14:paraId="50115DCE"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Agoto</w:t>
            </w:r>
          </w:p>
        </w:tc>
        <w:tc>
          <w:tcPr>
            <w:tcW w:w="0" w:type="auto"/>
            <w:vAlign w:val="center"/>
            <w:hideMark/>
          </w:tcPr>
          <w:p w14:paraId="4548984E"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0D07B477"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80</w:t>
            </w:r>
          </w:p>
        </w:tc>
        <w:tc>
          <w:tcPr>
            <w:tcW w:w="0" w:type="auto"/>
            <w:vAlign w:val="center"/>
            <w:hideMark/>
          </w:tcPr>
          <w:p w14:paraId="7BA301AF"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96 %</w:t>
            </w:r>
          </w:p>
        </w:tc>
      </w:tr>
      <w:tr w:rsidR="00393817" w:rsidRPr="00924D72" w14:paraId="5D98E3B0" w14:textId="77777777" w:rsidTr="00924D72">
        <w:trPr>
          <w:tblCellSpacing w:w="15" w:type="dxa"/>
          <w:jc w:val="center"/>
        </w:trPr>
        <w:tc>
          <w:tcPr>
            <w:tcW w:w="0" w:type="auto"/>
            <w:vAlign w:val="center"/>
            <w:hideMark/>
          </w:tcPr>
          <w:p w14:paraId="7290D985"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Dindou</w:t>
            </w:r>
          </w:p>
        </w:tc>
        <w:tc>
          <w:tcPr>
            <w:tcW w:w="0" w:type="auto"/>
            <w:vAlign w:val="center"/>
            <w:hideMark/>
          </w:tcPr>
          <w:p w14:paraId="39F5BBA7"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232CC4B8"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07839286"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100 %</w:t>
            </w:r>
          </w:p>
        </w:tc>
      </w:tr>
      <w:tr w:rsidR="00393817" w:rsidRPr="00924D72" w14:paraId="6AD50C24" w14:textId="77777777" w:rsidTr="00924D72">
        <w:trPr>
          <w:tblCellSpacing w:w="15" w:type="dxa"/>
          <w:jc w:val="center"/>
        </w:trPr>
        <w:tc>
          <w:tcPr>
            <w:tcW w:w="0" w:type="auto"/>
            <w:vAlign w:val="center"/>
            <w:hideMark/>
          </w:tcPr>
          <w:p w14:paraId="4D63BBF1"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Oké-Ekpa</w:t>
            </w:r>
          </w:p>
        </w:tc>
        <w:tc>
          <w:tcPr>
            <w:tcW w:w="0" w:type="auto"/>
            <w:vAlign w:val="center"/>
            <w:hideMark/>
          </w:tcPr>
          <w:p w14:paraId="062DE0B3"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2911E5D5"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81</w:t>
            </w:r>
          </w:p>
        </w:tc>
        <w:tc>
          <w:tcPr>
            <w:tcW w:w="0" w:type="auto"/>
            <w:vAlign w:val="center"/>
            <w:hideMark/>
          </w:tcPr>
          <w:p w14:paraId="2EAAD5B3"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98 %</w:t>
            </w:r>
          </w:p>
        </w:tc>
      </w:tr>
      <w:tr w:rsidR="00393817" w:rsidRPr="00924D72" w14:paraId="07C920E3" w14:textId="77777777" w:rsidTr="00924D72">
        <w:trPr>
          <w:tblCellSpacing w:w="15" w:type="dxa"/>
          <w:jc w:val="center"/>
        </w:trPr>
        <w:tc>
          <w:tcPr>
            <w:tcW w:w="0" w:type="auto"/>
            <w:vAlign w:val="center"/>
            <w:hideMark/>
          </w:tcPr>
          <w:p w14:paraId="0A3FB24C"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Tchadome</w:t>
            </w:r>
          </w:p>
        </w:tc>
        <w:tc>
          <w:tcPr>
            <w:tcW w:w="0" w:type="auto"/>
            <w:vAlign w:val="center"/>
            <w:hideMark/>
          </w:tcPr>
          <w:p w14:paraId="48A7D2C5"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694D9C24"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616C0358"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100 %</w:t>
            </w:r>
          </w:p>
        </w:tc>
      </w:tr>
      <w:tr w:rsidR="00393817" w:rsidRPr="00924D72" w14:paraId="6ABF9B8C" w14:textId="77777777" w:rsidTr="00924D72">
        <w:trPr>
          <w:tblCellSpacing w:w="15" w:type="dxa"/>
          <w:jc w:val="center"/>
        </w:trPr>
        <w:tc>
          <w:tcPr>
            <w:tcW w:w="0" w:type="auto"/>
            <w:vAlign w:val="center"/>
            <w:hideMark/>
          </w:tcPr>
          <w:p w14:paraId="49FF56BE"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lastRenderedPageBreak/>
              <w:t>Daffo</w:t>
            </w:r>
          </w:p>
        </w:tc>
        <w:tc>
          <w:tcPr>
            <w:tcW w:w="0" w:type="auto"/>
            <w:vAlign w:val="center"/>
            <w:hideMark/>
          </w:tcPr>
          <w:p w14:paraId="63AF8C4A"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60A5E7D8"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79</w:t>
            </w:r>
          </w:p>
        </w:tc>
        <w:tc>
          <w:tcPr>
            <w:tcW w:w="0" w:type="auto"/>
            <w:vAlign w:val="center"/>
            <w:hideMark/>
          </w:tcPr>
          <w:p w14:paraId="57BC3810"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95 %</w:t>
            </w:r>
          </w:p>
        </w:tc>
      </w:tr>
      <w:tr w:rsidR="00393817" w:rsidRPr="00924D72" w14:paraId="136195C0" w14:textId="77777777" w:rsidTr="00924D72">
        <w:trPr>
          <w:tblCellSpacing w:w="15" w:type="dxa"/>
          <w:jc w:val="center"/>
        </w:trPr>
        <w:tc>
          <w:tcPr>
            <w:tcW w:w="0" w:type="auto"/>
            <w:vAlign w:val="center"/>
            <w:hideMark/>
          </w:tcPr>
          <w:p w14:paraId="53BF2C9D"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Agbonou</w:t>
            </w:r>
          </w:p>
        </w:tc>
        <w:tc>
          <w:tcPr>
            <w:tcW w:w="0" w:type="auto"/>
            <w:vAlign w:val="center"/>
            <w:hideMark/>
          </w:tcPr>
          <w:p w14:paraId="681F6C4F"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188AF469"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82</w:t>
            </w:r>
          </w:p>
        </w:tc>
        <w:tc>
          <w:tcPr>
            <w:tcW w:w="0" w:type="auto"/>
            <w:vAlign w:val="center"/>
            <w:hideMark/>
          </w:tcPr>
          <w:p w14:paraId="25CF0E3A"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99 %</w:t>
            </w:r>
          </w:p>
        </w:tc>
      </w:tr>
      <w:tr w:rsidR="00393817" w:rsidRPr="00924D72" w14:paraId="64C217A6" w14:textId="77777777" w:rsidTr="00924D72">
        <w:trPr>
          <w:tblCellSpacing w:w="15" w:type="dxa"/>
          <w:jc w:val="center"/>
        </w:trPr>
        <w:tc>
          <w:tcPr>
            <w:tcW w:w="0" w:type="auto"/>
            <w:vAlign w:val="center"/>
            <w:hideMark/>
          </w:tcPr>
          <w:p w14:paraId="21BA8F97"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Sada</w:t>
            </w:r>
          </w:p>
        </w:tc>
        <w:tc>
          <w:tcPr>
            <w:tcW w:w="0" w:type="auto"/>
            <w:vAlign w:val="center"/>
            <w:hideMark/>
          </w:tcPr>
          <w:p w14:paraId="0D23471C"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1D6BB9F1"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48C911F1"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100 %</w:t>
            </w:r>
          </w:p>
        </w:tc>
      </w:tr>
      <w:tr w:rsidR="00393817" w:rsidRPr="00924D72" w14:paraId="43E0A790" w14:textId="77777777" w:rsidTr="00924D72">
        <w:trPr>
          <w:tblCellSpacing w:w="15" w:type="dxa"/>
          <w:jc w:val="center"/>
        </w:trPr>
        <w:tc>
          <w:tcPr>
            <w:tcW w:w="0" w:type="auto"/>
            <w:vAlign w:val="center"/>
            <w:hideMark/>
          </w:tcPr>
          <w:p w14:paraId="051237FD"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Govie-Akpato</w:t>
            </w:r>
          </w:p>
        </w:tc>
        <w:tc>
          <w:tcPr>
            <w:tcW w:w="0" w:type="auto"/>
            <w:vAlign w:val="center"/>
            <w:hideMark/>
          </w:tcPr>
          <w:p w14:paraId="26FAA1FB"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83</w:t>
            </w:r>
          </w:p>
        </w:tc>
        <w:tc>
          <w:tcPr>
            <w:tcW w:w="0" w:type="auto"/>
            <w:vAlign w:val="center"/>
            <w:hideMark/>
          </w:tcPr>
          <w:p w14:paraId="7824CF14"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82</w:t>
            </w:r>
          </w:p>
        </w:tc>
        <w:tc>
          <w:tcPr>
            <w:tcW w:w="0" w:type="auto"/>
            <w:vAlign w:val="center"/>
            <w:hideMark/>
          </w:tcPr>
          <w:p w14:paraId="37293B9C"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99 %</w:t>
            </w:r>
          </w:p>
        </w:tc>
      </w:tr>
    </w:tbl>
    <w:p w14:paraId="12C8E7B9" w14:textId="77777777" w:rsidR="00924D72" w:rsidRDefault="00924D72" w:rsidP="00924D72">
      <w:pPr>
        <w:spacing w:after="0"/>
        <w:rPr>
          <w:rFonts w:ascii="Calibri" w:hAnsi="Calibri" w:cs="Calibri"/>
          <w:b/>
          <w:bCs/>
          <w:sz w:val="22"/>
          <w:szCs w:val="22"/>
          <w:lang w:val="fr-FR"/>
        </w:rPr>
      </w:pPr>
    </w:p>
    <w:p w14:paraId="1C891BA0" w14:textId="7DBE90E0" w:rsidR="00393817" w:rsidRPr="00924D72" w:rsidRDefault="00393817" w:rsidP="00924D72">
      <w:pPr>
        <w:spacing w:after="0"/>
        <w:rPr>
          <w:rFonts w:ascii="Calibri" w:hAnsi="Calibri" w:cs="Calibri"/>
          <w:sz w:val="22"/>
          <w:szCs w:val="22"/>
          <w:lang w:val="fr-FR"/>
        </w:rPr>
      </w:pPr>
      <w:r w:rsidRPr="00924D72">
        <w:rPr>
          <w:rFonts w:ascii="Calibri" w:hAnsi="Calibri" w:cs="Calibri"/>
          <w:b/>
          <w:bCs/>
          <w:sz w:val="22"/>
          <w:szCs w:val="22"/>
          <w:lang w:val="fr-FR"/>
        </w:rPr>
        <w:t>Taux moyen global : environ 98,1 %.</w:t>
      </w:r>
    </w:p>
    <w:p w14:paraId="6814B8FB" w14:textId="77777777" w:rsidR="00924D72" w:rsidRDefault="00924D72" w:rsidP="00924D72">
      <w:pPr>
        <w:spacing w:after="0"/>
        <w:rPr>
          <w:rFonts w:ascii="Calibri" w:hAnsi="Calibri" w:cs="Calibri"/>
          <w:b/>
          <w:bCs/>
          <w:sz w:val="22"/>
          <w:szCs w:val="22"/>
          <w:lang w:val="fr-FR"/>
        </w:rPr>
      </w:pPr>
    </w:p>
    <w:p w14:paraId="3337BDE3" w14:textId="406E71E8"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4. Qualité des données</w:t>
      </w:r>
    </w:p>
    <w:p w14:paraId="7C7C880D"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Les principaux types d’anomalies observés sont :</w:t>
      </w:r>
    </w:p>
    <w:p w14:paraId="507C4BB7" w14:textId="77777777" w:rsidR="00393817" w:rsidRPr="00924D72" w:rsidRDefault="00393817" w:rsidP="00924D72">
      <w:pPr>
        <w:numPr>
          <w:ilvl w:val="0"/>
          <w:numId w:val="3"/>
        </w:numPr>
        <w:spacing w:after="0"/>
        <w:rPr>
          <w:rFonts w:ascii="Calibri" w:hAnsi="Calibri" w:cs="Calibri"/>
          <w:sz w:val="22"/>
          <w:szCs w:val="22"/>
          <w:lang w:val="fr-FR"/>
        </w:rPr>
      </w:pPr>
      <w:r w:rsidRPr="00924D72">
        <w:rPr>
          <w:rFonts w:ascii="Calibri" w:hAnsi="Calibri" w:cs="Calibri"/>
          <w:b/>
          <w:bCs/>
          <w:sz w:val="22"/>
          <w:szCs w:val="22"/>
          <w:lang w:val="fr-FR"/>
        </w:rPr>
        <w:t>Écarts papier–dashboard</w:t>
      </w:r>
      <w:r w:rsidRPr="00924D72">
        <w:rPr>
          <w:rFonts w:ascii="Calibri" w:hAnsi="Calibri" w:cs="Calibri"/>
          <w:sz w:val="22"/>
          <w:szCs w:val="22"/>
          <w:lang w:val="fr-FR"/>
        </w:rPr>
        <w:t xml:space="preserve"> : un cas documenté (83 articles sur le bordereau vs 86 dans le système), corrigé sur place grâce au tableau de bord.</w:t>
      </w:r>
    </w:p>
    <w:p w14:paraId="4B718206" w14:textId="77777777" w:rsidR="00393817" w:rsidRPr="00924D72" w:rsidRDefault="00393817" w:rsidP="00924D72">
      <w:pPr>
        <w:numPr>
          <w:ilvl w:val="0"/>
          <w:numId w:val="3"/>
        </w:numPr>
        <w:spacing w:after="0"/>
        <w:rPr>
          <w:rFonts w:ascii="Calibri" w:hAnsi="Calibri" w:cs="Calibri"/>
          <w:sz w:val="22"/>
          <w:szCs w:val="22"/>
          <w:lang w:val="fr-FR"/>
        </w:rPr>
      </w:pPr>
      <w:r w:rsidRPr="00924D72">
        <w:rPr>
          <w:rFonts w:ascii="Calibri" w:hAnsi="Calibri" w:cs="Calibri"/>
          <w:b/>
          <w:bCs/>
          <w:sz w:val="22"/>
          <w:szCs w:val="22"/>
          <w:lang w:val="fr-FR"/>
        </w:rPr>
        <w:t>Équipements non scannés avant sortie du PIA</w:t>
      </w:r>
      <w:r w:rsidRPr="00924D72">
        <w:rPr>
          <w:rFonts w:ascii="Calibri" w:hAnsi="Calibri" w:cs="Calibri"/>
          <w:sz w:val="22"/>
          <w:szCs w:val="22"/>
          <w:lang w:val="fr-FR"/>
        </w:rPr>
        <w:t xml:space="preserve"> : quelques équipements livrés avant la standardisation du QR-codage, nécessitant un rattrapage (rétro-étiquetage).</w:t>
      </w:r>
    </w:p>
    <w:p w14:paraId="5C95F226" w14:textId="77777777" w:rsidR="00393817" w:rsidRPr="00924D72" w:rsidRDefault="00393817" w:rsidP="00924D72">
      <w:pPr>
        <w:numPr>
          <w:ilvl w:val="0"/>
          <w:numId w:val="3"/>
        </w:numPr>
        <w:spacing w:after="0"/>
        <w:rPr>
          <w:rFonts w:ascii="Calibri" w:hAnsi="Calibri" w:cs="Calibri"/>
          <w:sz w:val="22"/>
          <w:szCs w:val="22"/>
          <w:lang w:val="fr-FR"/>
        </w:rPr>
      </w:pPr>
      <w:r w:rsidRPr="00924D72">
        <w:rPr>
          <w:rFonts w:ascii="Calibri" w:hAnsi="Calibri" w:cs="Calibri"/>
          <w:b/>
          <w:bCs/>
          <w:sz w:val="22"/>
          <w:szCs w:val="22"/>
          <w:lang w:val="fr-FR"/>
        </w:rPr>
        <w:t>Étiquettes effacées</w:t>
      </w:r>
      <w:r w:rsidRPr="00924D72">
        <w:rPr>
          <w:rFonts w:ascii="Calibri" w:hAnsi="Calibri" w:cs="Calibri"/>
          <w:sz w:val="22"/>
          <w:szCs w:val="22"/>
          <w:lang w:val="fr-FR"/>
        </w:rPr>
        <w:t xml:space="preserve"> : certains équipements soumis à des cycles fréquents de nettoyage ou de stérilisation présentent une dégradation partielle de l’étiquette.</w:t>
      </w:r>
    </w:p>
    <w:p w14:paraId="7F779110" w14:textId="77777777" w:rsidR="00393817" w:rsidRPr="00924D72" w:rsidRDefault="00393817" w:rsidP="00924D72">
      <w:pPr>
        <w:numPr>
          <w:ilvl w:val="0"/>
          <w:numId w:val="3"/>
        </w:numPr>
        <w:spacing w:after="0"/>
        <w:rPr>
          <w:rFonts w:ascii="Calibri" w:hAnsi="Calibri" w:cs="Calibri"/>
          <w:sz w:val="22"/>
          <w:szCs w:val="22"/>
          <w:lang w:val="fr-FR"/>
        </w:rPr>
      </w:pPr>
      <w:r w:rsidRPr="00924D72">
        <w:rPr>
          <w:rFonts w:ascii="Calibri" w:hAnsi="Calibri" w:cs="Calibri"/>
          <w:b/>
          <w:bCs/>
          <w:sz w:val="22"/>
          <w:szCs w:val="22"/>
          <w:lang w:val="fr-FR"/>
        </w:rPr>
        <w:t>Identifiants incomplets</w:t>
      </w:r>
      <w:r w:rsidRPr="00924D72">
        <w:rPr>
          <w:rFonts w:ascii="Calibri" w:hAnsi="Calibri" w:cs="Calibri"/>
          <w:sz w:val="22"/>
          <w:szCs w:val="22"/>
          <w:lang w:val="fr-FR"/>
        </w:rPr>
        <w:t xml:space="preserve"> : dans un nombre limité de cas, le numéro de série ou des métadonnées techniques ne sont pas renseignés.</w:t>
      </w:r>
    </w:p>
    <w:p w14:paraId="0FAEDF04" w14:textId="77777777" w:rsidR="00924D72" w:rsidRDefault="00924D72" w:rsidP="00924D72">
      <w:pPr>
        <w:spacing w:after="0"/>
        <w:rPr>
          <w:rFonts w:ascii="Calibri" w:hAnsi="Calibri" w:cs="Calibri"/>
          <w:b/>
          <w:bCs/>
          <w:sz w:val="22"/>
          <w:szCs w:val="22"/>
          <w:lang w:val="fr-FR"/>
        </w:rPr>
      </w:pPr>
    </w:p>
    <w:p w14:paraId="44412068" w14:textId="64F7C0DE"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5. Exactitude et cohérence</w:t>
      </w:r>
    </w:p>
    <w:p w14:paraId="11851A0A" w14:textId="77777777" w:rsidR="00393817" w:rsidRPr="00924D72" w:rsidRDefault="00393817" w:rsidP="00924D72">
      <w:pPr>
        <w:numPr>
          <w:ilvl w:val="0"/>
          <w:numId w:val="4"/>
        </w:numPr>
        <w:spacing w:after="0"/>
        <w:rPr>
          <w:rFonts w:ascii="Calibri" w:hAnsi="Calibri" w:cs="Calibri"/>
          <w:sz w:val="22"/>
          <w:szCs w:val="22"/>
          <w:lang w:val="fr-FR"/>
        </w:rPr>
      </w:pPr>
      <w:r w:rsidRPr="00924D72">
        <w:rPr>
          <w:rFonts w:ascii="Calibri" w:hAnsi="Calibri" w:cs="Calibri"/>
          <w:sz w:val="22"/>
          <w:szCs w:val="22"/>
          <w:lang w:val="fr-FR"/>
        </w:rPr>
        <w:t xml:space="preserve">Environ </w:t>
      </w:r>
      <w:r w:rsidRPr="00924D72">
        <w:rPr>
          <w:rFonts w:ascii="Calibri" w:hAnsi="Calibri" w:cs="Calibri"/>
          <w:b/>
          <w:bCs/>
          <w:sz w:val="22"/>
          <w:szCs w:val="22"/>
          <w:lang w:val="fr-FR"/>
        </w:rPr>
        <w:t>98 %</w:t>
      </w:r>
      <w:r w:rsidRPr="00924D72">
        <w:rPr>
          <w:rFonts w:ascii="Calibri" w:hAnsi="Calibri" w:cs="Calibri"/>
          <w:sz w:val="22"/>
          <w:szCs w:val="22"/>
          <w:lang w:val="fr-FR"/>
        </w:rPr>
        <w:t xml:space="preserve"> des enregistrements scannés concordent avec les bordereaux de livraison.</w:t>
      </w:r>
    </w:p>
    <w:p w14:paraId="3A44A675" w14:textId="77777777" w:rsidR="00393817" w:rsidRPr="00924D72" w:rsidRDefault="00393817" w:rsidP="00924D72">
      <w:pPr>
        <w:numPr>
          <w:ilvl w:val="0"/>
          <w:numId w:val="4"/>
        </w:numPr>
        <w:spacing w:after="0"/>
        <w:rPr>
          <w:rFonts w:ascii="Calibri" w:hAnsi="Calibri" w:cs="Calibri"/>
          <w:sz w:val="22"/>
          <w:szCs w:val="22"/>
          <w:lang w:val="fr-FR"/>
        </w:rPr>
      </w:pPr>
      <w:r w:rsidRPr="00924D72">
        <w:rPr>
          <w:rFonts w:ascii="Calibri" w:hAnsi="Calibri" w:cs="Calibri"/>
          <w:sz w:val="22"/>
          <w:szCs w:val="22"/>
          <w:lang w:val="fr-FR"/>
        </w:rPr>
        <w:t xml:space="preserve">Les </w:t>
      </w:r>
      <w:r w:rsidRPr="00924D72">
        <w:rPr>
          <w:rFonts w:ascii="Calibri" w:hAnsi="Calibri" w:cs="Calibri"/>
          <w:b/>
          <w:bCs/>
          <w:sz w:val="22"/>
          <w:szCs w:val="22"/>
          <w:lang w:val="fr-FR"/>
        </w:rPr>
        <w:t>2 % restants</w:t>
      </w:r>
      <w:r w:rsidRPr="00924D72">
        <w:rPr>
          <w:rFonts w:ascii="Calibri" w:hAnsi="Calibri" w:cs="Calibri"/>
          <w:sz w:val="22"/>
          <w:szCs w:val="22"/>
          <w:lang w:val="fr-FR"/>
        </w:rPr>
        <w:t xml:space="preserve"> ont été identifiés comme nécessitant une vérification manuelle et une correction sur le terrain.</w:t>
      </w:r>
    </w:p>
    <w:p w14:paraId="76B2B283" w14:textId="77777777" w:rsidR="00393817" w:rsidRPr="00924D72" w:rsidRDefault="00393817" w:rsidP="00924D72">
      <w:pPr>
        <w:numPr>
          <w:ilvl w:val="0"/>
          <w:numId w:val="4"/>
        </w:numPr>
        <w:spacing w:after="0"/>
        <w:rPr>
          <w:rFonts w:ascii="Calibri" w:hAnsi="Calibri" w:cs="Calibri"/>
          <w:sz w:val="22"/>
          <w:szCs w:val="22"/>
          <w:lang w:val="fr-FR"/>
        </w:rPr>
      </w:pPr>
      <w:r w:rsidRPr="00924D72">
        <w:rPr>
          <w:rFonts w:ascii="Calibri" w:hAnsi="Calibri" w:cs="Calibri"/>
          <w:sz w:val="22"/>
          <w:szCs w:val="22"/>
          <w:lang w:val="fr-FR"/>
        </w:rPr>
        <w:t xml:space="preserve">Un exercice de </w:t>
      </w:r>
      <w:r w:rsidRPr="00924D72">
        <w:rPr>
          <w:rFonts w:ascii="Calibri" w:hAnsi="Calibri" w:cs="Calibri"/>
          <w:b/>
          <w:bCs/>
          <w:sz w:val="22"/>
          <w:szCs w:val="22"/>
          <w:lang w:val="fr-FR"/>
        </w:rPr>
        <w:t>rétro-tagging</w:t>
      </w:r>
      <w:r w:rsidRPr="00924D72">
        <w:rPr>
          <w:rFonts w:ascii="Calibri" w:hAnsi="Calibri" w:cs="Calibri"/>
          <w:sz w:val="22"/>
          <w:szCs w:val="22"/>
          <w:lang w:val="fr-FR"/>
        </w:rPr>
        <w:t xml:space="preserve"> est en préparation pour intégrer dans METS les équipements déjà déployés avant la mise en place systématique du QR-codage.</w:t>
      </w:r>
    </w:p>
    <w:p w14:paraId="486850FC" w14:textId="77777777" w:rsidR="00924D72" w:rsidRDefault="00924D72" w:rsidP="00924D72">
      <w:pPr>
        <w:spacing w:after="0"/>
        <w:rPr>
          <w:rFonts w:ascii="Calibri" w:hAnsi="Calibri" w:cs="Calibri"/>
          <w:b/>
          <w:bCs/>
          <w:sz w:val="22"/>
          <w:szCs w:val="22"/>
          <w:lang w:val="fr-FR"/>
        </w:rPr>
      </w:pPr>
    </w:p>
    <w:p w14:paraId="3BF3F8DF" w14:textId="7E095E01"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6. Recommandations</w:t>
      </w:r>
    </w:p>
    <w:p w14:paraId="199F6313"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b/>
          <w:bCs/>
          <w:sz w:val="22"/>
          <w:szCs w:val="22"/>
          <w:lang w:val="fr-FR"/>
        </w:rPr>
        <w:t>À court terme (0–3 mois)</w:t>
      </w:r>
    </w:p>
    <w:p w14:paraId="12A87E23" w14:textId="77777777" w:rsidR="00393817" w:rsidRPr="00924D72" w:rsidRDefault="00393817" w:rsidP="00924D72">
      <w:pPr>
        <w:numPr>
          <w:ilvl w:val="0"/>
          <w:numId w:val="5"/>
        </w:numPr>
        <w:spacing w:after="0"/>
        <w:rPr>
          <w:rFonts w:ascii="Calibri" w:hAnsi="Calibri" w:cs="Calibri"/>
          <w:sz w:val="22"/>
          <w:szCs w:val="22"/>
          <w:lang w:val="fr-FR"/>
        </w:rPr>
      </w:pPr>
      <w:r w:rsidRPr="00924D72">
        <w:rPr>
          <w:rFonts w:ascii="Calibri" w:hAnsi="Calibri" w:cs="Calibri"/>
          <w:sz w:val="22"/>
          <w:szCs w:val="22"/>
          <w:lang w:val="fr-FR"/>
        </w:rPr>
        <w:t>Finaliser le rétro-tagging pour tous les équipements déjà livrés.</w:t>
      </w:r>
    </w:p>
    <w:p w14:paraId="64FBBAF6" w14:textId="77777777" w:rsidR="00393817" w:rsidRPr="00924D72" w:rsidRDefault="00393817" w:rsidP="00924D72">
      <w:pPr>
        <w:numPr>
          <w:ilvl w:val="0"/>
          <w:numId w:val="5"/>
        </w:numPr>
        <w:spacing w:after="0"/>
        <w:rPr>
          <w:rFonts w:ascii="Calibri" w:hAnsi="Calibri" w:cs="Calibri"/>
          <w:sz w:val="22"/>
          <w:szCs w:val="22"/>
          <w:lang w:val="fr-FR"/>
        </w:rPr>
      </w:pPr>
      <w:r w:rsidRPr="00924D72">
        <w:rPr>
          <w:rFonts w:ascii="Calibri" w:hAnsi="Calibri" w:cs="Calibri"/>
          <w:sz w:val="22"/>
          <w:szCs w:val="22"/>
          <w:lang w:val="fr-FR"/>
        </w:rPr>
        <w:t>Mettre en place des rappels hebdomadaires (début et fin de semaine) aux points focaux pour encourager les scans réguliers.</w:t>
      </w:r>
    </w:p>
    <w:p w14:paraId="28405CB0" w14:textId="77777777" w:rsidR="00393817" w:rsidRPr="00924D72" w:rsidRDefault="00393817" w:rsidP="00924D72">
      <w:pPr>
        <w:numPr>
          <w:ilvl w:val="0"/>
          <w:numId w:val="5"/>
        </w:numPr>
        <w:spacing w:after="0"/>
        <w:rPr>
          <w:rFonts w:ascii="Calibri" w:hAnsi="Calibri" w:cs="Calibri"/>
          <w:sz w:val="22"/>
          <w:szCs w:val="22"/>
          <w:lang w:val="fr-FR"/>
        </w:rPr>
      </w:pPr>
      <w:r w:rsidRPr="00924D72">
        <w:rPr>
          <w:rFonts w:ascii="Calibri" w:hAnsi="Calibri" w:cs="Calibri"/>
          <w:sz w:val="22"/>
          <w:szCs w:val="22"/>
          <w:lang w:val="fr-FR"/>
        </w:rPr>
        <w:t>Renforcer la formation pratique sur le bon usage du QR code et du tableau de bord.</w:t>
      </w:r>
    </w:p>
    <w:p w14:paraId="4830A64D"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b/>
          <w:bCs/>
          <w:sz w:val="22"/>
          <w:szCs w:val="22"/>
          <w:lang w:val="fr-FR"/>
        </w:rPr>
        <w:t>À moyen terme (3–6 mois)</w:t>
      </w:r>
    </w:p>
    <w:p w14:paraId="0D68B410" w14:textId="77777777" w:rsidR="00393817" w:rsidRPr="00924D72" w:rsidRDefault="00393817" w:rsidP="00924D72">
      <w:pPr>
        <w:numPr>
          <w:ilvl w:val="0"/>
          <w:numId w:val="6"/>
        </w:numPr>
        <w:spacing w:after="0"/>
        <w:rPr>
          <w:rFonts w:ascii="Calibri" w:hAnsi="Calibri" w:cs="Calibri"/>
          <w:sz w:val="22"/>
          <w:szCs w:val="22"/>
          <w:lang w:val="fr-FR"/>
        </w:rPr>
      </w:pPr>
      <w:r w:rsidRPr="00924D72">
        <w:rPr>
          <w:rFonts w:ascii="Calibri" w:hAnsi="Calibri" w:cs="Calibri"/>
          <w:sz w:val="22"/>
          <w:szCs w:val="22"/>
          <w:lang w:val="fr-FR"/>
        </w:rPr>
        <w:t>Introduire des étiquettes plus résistantes à l’humidité, aux produits de nettoyage et aux cycles de stérilisation.</w:t>
      </w:r>
    </w:p>
    <w:p w14:paraId="04D0865C" w14:textId="77777777" w:rsidR="00393817" w:rsidRPr="00924D72" w:rsidRDefault="00393817" w:rsidP="00924D72">
      <w:pPr>
        <w:numPr>
          <w:ilvl w:val="0"/>
          <w:numId w:val="6"/>
        </w:numPr>
        <w:spacing w:after="0"/>
        <w:rPr>
          <w:rFonts w:ascii="Calibri" w:hAnsi="Calibri" w:cs="Calibri"/>
          <w:sz w:val="22"/>
          <w:szCs w:val="22"/>
          <w:lang w:val="fr-FR"/>
        </w:rPr>
      </w:pPr>
      <w:r w:rsidRPr="00924D72">
        <w:rPr>
          <w:rFonts w:ascii="Calibri" w:hAnsi="Calibri" w:cs="Calibri"/>
          <w:sz w:val="22"/>
          <w:szCs w:val="22"/>
          <w:lang w:val="fr-FR"/>
        </w:rPr>
        <w:t>Rendre obligatoire la remise d’un inventaire électronique complet par les fournisseurs (numéro de série, modèle, lot, garantie, etc.).</w:t>
      </w:r>
    </w:p>
    <w:p w14:paraId="4EBF21E8"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b/>
          <w:bCs/>
          <w:sz w:val="22"/>
          <w:szCs w:val="22"/>
          <w:lang w:val="fr-FR"/>
        </w:rPr>
        <w:t>À long terme (6–12 mois)</w:t>
      </w:r>
    </w:p>
    <w:p w14:paraId="15849AC0" w14:textId="77777777" w:rsidR="00393817" w:rsidRPr="00924D72" w:rsidRDefault="00393817" w:rsidP="00924D72">
      <w:pPr>
        <w:numPr>
          <w:ilvl w:val="0"/>
          <w:numId w:val="7"/>
        </w:numPr>
        <w:spacing w:after="0"/>
        <w:rPr>
          <w:rFonts w:ascii="Calibri" w:hAnsi="Calibri" w:cs="Calibri"/>
          <w:sz w:val="22"/>
          <w:szCs w:val="22"/>
          <w:lang w:val="fr-FR"/>
        </w:rPr>
      </w:pPr>
      <w:r w:rsidRPr="00924D72">
        <w:rPr>
          <w:rFonts w:ascii="Calibri" w:hAnsi="Calibri" w:cs="Calibri"/>
          <w:sz w:val="22"/>
          <w:szCs w:val="22"/>
          <w:lang w:val="fr-FR"/>
        </w:rPr>
        <w:t>Renforcer l’intégration entre METS et DHIS2, afin que les indicateurs de disponibilité et de mise en service soient consolidés automatiquement.</w:t>
      </w:r>
    </w:p>
    <w:p w14:paraId="1B316695" w14:textId="77777777" w:rsidR="00393817" w:rsidRPr="00924D72" w:rsidRDefault="00393817" w:rsidP="00924D72">
      <w:pPr>
        <w:numPr>
          <w:ilvl w:val="0"/>
          <w:numId w:val="7"/>
        </w:numPr>
        <w:spacing w:after="0"/>
        <w:rPr>
          <w:rFonts w:ascii="Calibri" w:hAnsi="Calibri" w:cs="Calibri"/>
          <w:sz w:val="22"/>
          <w:szCs w:val="22"/>
          <w:lang w:val="fr-FR"/>
        </w:rPr>
      </w:pPr>
      <w:r w:rsidRPr="00924D72">
        <w:rPr>
          <w:rFonts w:ascii="Calibri" w:hAnsi="Calibri" w:cs="Calibri"/>
          <w:sz w:val="22"/>
          <w:szCs w:val="22"/>
          <w:lang w:val="fr-FR"/>
        </w:rPr>
        <w:lastRenderedPageBreak/>
        <w:t>Instituer un audit trimestriel de la qualité et de la complétude des données METS au niveau national.</w:t>
      </w:r>
    </w:p>
    <w:p w14:paraId="1903EA32" w14:textId="77777777" w:rsidR="00393817" w:rsidRPr="00924D72" w:rsidRDefault="00393817" w:rsidP="00924D72">
      <w:pPr>
        <w:spacing w:after="0"/>
        <w:rPr>
          <w:rFonts w:ascii="Calibri" w:hAnsi="Calibri" w:cs="Calibri"/>
          <w:b/>
          <w:bCs/>
          <w:sz w:val="22"/>
          <w:szCs w:val="22"/>
          <w:lang w:val="fr-FR"/>
        </w:rPr>
      </w:pPr>
      <w:r w:rsidRPr="00924D72">
        <w:rPr>
          <w:rFonts w:ascii="Calibri" w:hAnsi="Calibri" w:cs="Calibri"/>
          <w:b/>
          <w:bCs/>
          <w:sz w:val="22"/>
          <w:szCs w:val="22"/>
          <w:lang w:val="fr-FR"/>
        </w:rPr>
        <w:t>7. Conclusion</w:t>
      </w:r>
    </w:p>
    <w:p w14:paraId="463C3729" w14:textId="77777777" w:rsidR="00393817" w:rsidRPr="00924D72" w:rsidRDefault="00393817" w:rsidP="00924D72">
      <w:pPr>
        <w:spacing w:after="0"/>
        <w:rPr>
          <w:rFonts w:ascii="Calibri" w:hAnsi="Calibri" w:cs="Calibri"/>
          <w:sz w:val="22"/>
          <w:szCs w:val="22"/>
          <w:lang w:val="fr-FR"/>
        </w:rPr>
      </w:pPr>
      <w:r w:rsidRPr="00924D72">
        <w:rPr>
          <w:rFonts w:ascii="Calibri" w:hAnsi="Calibri" w:cs="Calibri"/>
          <w:sz w:val="22"/>
          <w:szCs w:val="22"/>
          <w:lang w:val="fr-FR"/>
        </w:rPr>
        <w:t>La complétude et la qualité des données issues du système METS sont globalement encourageantes pour une première phase de déploiement. Quelques ajustements techniques et organisationnels sont néanmoins nécessaires pour atteindre une traçabilité complète et pérenne, notamment en ce qui concerne la mise en service effective des équipements, la robustesse des étiquettes et la capture systématique des informations contractuelles.</w:t>
      </w:r>
    </w:p>
    <w:p w14:paraId="062B3ADE" w14:textId="77777777" w:rsidR="00393817" w:rsidRPr="00924D72" w:rsidRDefault="00393817" w:rsidP="00924D72">
      <w:pPr>
        <w:spacing w:after="0"/>
        <w:rPr>
          <w:rFonts w:ascii="Calibri" w:hAnsi="Calibri" w:cs="Calibri"/>
          <w:sz w:val="22"/>
          <w:szCs w:val="22"/>
          <w:lang w:val="fr-FR"/>
        </w:rPr>
      </w:pPr>
    </w:p>
    <w:sectPr w:rsidR="00393817" w:rsidRPr="00924D72">
      <w:footerReference w:type="even" r:id="rId7"/>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8F7A0" w14:textId="77777777" w:rsidR="00C74CC9" w:rsidRDefault="00C74CC9" w:rsidP="00393817">
      <w:pPr>
        <w:spacing w:after="0" w:line="240" w:lineRule="auto"/>
      </w:pPr>
      <w:r>
        <w:separator/>
      </w:r>
    </w:p>
  </w:endnote>
  <w:endnote w:type="continuationSeparator" w:id="0">
    <w:p w14:paraId="6DE4133B" w14:textId="77777777" w:rsidR="00C74CC9" w:rsidRDefault="00C74CC9" w:rsidP="003938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486C2" w14:textId="680ADCD3" w:rsidR="00393817" w:rsidRDefault="00393817">
    <w:pPr>
      <w:pStyle w:val="Footer"/>
    </w:pPr>
    <w:r>
      <w:rPr>
        <w:noProof/>
      </w:rPr>
      <mc:AlternateContent>
        <mc:Choice Requires="wps">
          <w:drawing>
            <wp:anchor distT="0" distB="0" distL="0" distR="0" simplePos="0" relativeHeight="251659264" behindDoc="0" locked="0" layoutInCell="1" allowOverlap="1" wp14:anchorId="03C67C8C" wp14:editId="4060902C">
              <wp:simplePos x="635" y="635"/>
              <wp:positionH relativeFrom="page">
                <wp:align>right</wp:align>
              </wp:positionH>
              <wp:positionV relativeFrom="page">
                <wp:align>bottom</wp:align>
              </wp:positionV>
              <wp:extent cx="1102995" cy="370205"/>
              <wp:effectExtent l="0" t="0" r="0" b="0"/>
              <wp:wrapNone/>
              <wp:docPr id="1792991642"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370205"/>
                      </a:xfrm>
                      <a:prstGeom prst="rect">
                        <a:avLst/>
                      </a:prstGeom>
                      <a:noFill/>
                      <a:ln>
                        <a:noFill/>
                      </a:ln>
                    </wps:spPr>
                    <wps:txbx>
                      <w:txbxContent>
                        <w:p w14:paraId="461A334D" w14:textId="762ED8D3" w:rsidR="00393817" w:rsidRPr="00393817" w:rsidRDefault="00393817" w:rsidP="00393817">
                          <w:pPr>
                            <w:spacing w:after="0"/>
                            <w:rPr>
                              <w:rFonts w:ascii="Calibri" w:eastAsia="Calibri" w:hAnsi="Calibri" w:cs="Calibri"/>
                              <w:noProof/>
                              <w:color w:val="000000"/>
                              <w:sz w:val="20"/>
                              <w:szCs w:val="20"/>
                            </w:rPr>
                          </w:pPr>
                          <w:r w:rsidRPr="00393817">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3C67C8C" id="_x0000_t202" coordsize="21600,21600" o:spt="202" path="m,l,21600r21600,l21600,xe">
              <v:stroke joinstyle="miter"/>
              <v:path gradientshapeok="t" o:connecttype="rect"/>
            </v:shapetype>
            <v:shape id="Text Box 2" o:spid="_x0000_s1026" type="#_x0000_t202" alt="Official Use Only" style="position:absolute;margin-left:35.65pt;margin-top:0;width:86.85pt;height:29.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" filled="f" stroked="f">
              <v:fill o:detectmouseclick="t"/>
              <v:textbox style="mso-fit-shape-to-text:t" inset="0,0,20pt,15pt">
                <w:txbxContent>
                  <w:p w14:paraId="461A334D" w14:textId="762ED8D3" w:rsidR="00393817" w:rsidRPr="00393817" w:rsidRDefault="00393817" w:rsidP="00393817">
                    <w:pPr>
                      <w:spacing w:after="0"/>
                      <w:rPr>
                        <w:rFonts w:ascii="Calibri" w:eastAsia="Calibri" w:hAnsi="Calibri" w:cs="Calibri"/>
                        <w:noProof/>
                        <w:color w:val="000000"/>
                        <w:sz w:val="20"/>
                        <w:szCs w:val="20"/>
                      </w:rPr>
                    </w:pPr>
                    <w:r w:rsidRPr="00393817">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9606102"/>
      <w:docPartObj>
        <w:docPartGallery w:val="Page Numbers (Bottom of Page)"/>
        <w:docPartUnique/>
      </w:docPartObj>
    </w:sdtPr>
    <w:sdtEndPr>
      <w:rPr>
        <w:noProof/>
      </w:rPr>
    </w:sdtEndPr>
    <w:sdtContent>
      <w:p w14:paraId="0A918014" w14:textId="3027DD63" w:rsidR="009B3B82" w:rsidRDefault="009B3B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55273E" w14:textId="794C98DE" w:rsidR="00393817" w:rsidRDefault="003938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AEA67" w14:textId="21166E97" w:rsidR="00393817" w:rsidRDefault="00393817">
    <w:pPr>
      <w:pStyle w:val="Footer"/>
    </w:pPr>
    <w:r>
      <w:rPr>
        <w:noProof/>
      </w:rPr>
      <mc:AlternateContent>
        <mc:Choice Requires="wps">
          <w:drawing>
            <wp:anchor distT="0" distB="0" distL="0" distR="0" simplePos="0" relativeHeight="251658240" behindDoc="0" locked="0" layoutInCell="1" allowOverlap="1" wp14:anchorId="749D4CCD" wp14:editId="0A28D5B4">
              <wp:simplePos x="635" y="635"/>
              <wp:positionH relativeFrom="page">
                <wp:align>right</wp:align>
              </wp:positionH>
              <wp:positionV relativeFrom="page">
                <wp:align>bottom</wp:align>
              </wp:positionV>
              <wp:extent cx="1102995" cy="370205"/>
              <wp:effectExtent l="0" t="0" r="0" b="0"/>
              <wp:wrapNone/>
              <wp:docPr id="1435017991"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370205"/>
                      </a:xfrm>
                      <a:prstGeom prst="rect">
                        <a:avLst/>
                      </a:prstGeom>
                      <a:noFill/>
                      <a:ln>
                        <a:noFill/>
                      </a:ln>
                    </wps:spPr>
                    <wps:txbx>
                      <w:txbxContent>
                        <w:p w14:paraId="2C3A4DD3" w14:textId="53C85E29" w:rsidR="00393817" w:rsidRPr="00393817" w:rsidRDefault="00393817" w:rsidP="00393817">
                          <w:pPr>
                            <w:spacing w:after="0"/>
                            <w:rPr>
                              <w:rFonts w:ascii="Calibri" w:eastAsia="Calibri" w:hAnsi="Calibri" w:cs="Calibri"/>
                              <w:noProof/>
                              <w:color w:val="000000"/>
                              <w:sz w:val="20"/>
                              <w:szCs w:val="20"/>
                            </w:rPr>
                          </w:pPr>
                          <w:r w:rsidRPr="00393817">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49D4CCD" id="_x0000_t202" coordsize="21600,21600" o:spt="202" path="m,l,21600r21600,l21600,xe">
              <v:stroke joinstyle="miter"/>
              <v:path gradientshapeok="t" o:connecttype="rect"/>
            </v:shapetype>
            <v:shape id="Text Box 1" o:spid="_x0000_s1027" type="#_x0000_t202" alt="Official Use Only" style="position:absolute;margin-left:35.65pt;margin-top:0;width:86.8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" filled="f" stroked="f">
              <v:fill o:detectmouseclick="t"/>
              <v:textbox style="mso-fit-shape-to-text:t" inset="0,0,20pt,15pt">
                <w:txbxContent>
                  <w:p w14:paraId="2C3A4DD3" w14:textId="53C85E29" w:rsidR="00393817" w:rsidRPr="00393817" w:rsidRDefault="00393817" w:rsidP="00393817">
                    <w:pPr>
                      <w:spacing w:after="0"/>
                      <w:rPr>
                        <w:rFonts w:ascii="Calibri" w:eastAsia="Calibri" w:hAnsi="Calibri" w:cs="Calibri"/>
                        <w:noProof/>
                        <w:color w:val="000000"/>
                        <w:sz w:val="20"/>
                        <w:szCs w:val="20"/>
                      </w:rPr>
                    </w:pPr>
                    <w:r w:rsidRPr="00393817">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287F5" w14:textId="77777777" w:rsidR="00C74CC9" w:rsidRDefault="00C74CC9" w:rsidP="00393817">
      <w:pPr>
        <w:spacing w:after="0" w:line="240" w:lineRule="auto"/>
      </w:pPr>
      <w:r>
        <w:separator/>
      </w:r>
    </w:p>
  </w:footnote>
  <w:footnote w:type="continuationSeparator" w:id="0">
    <w:p w14:paraId="303FE916" w14:textId="77777777" w:rsidR="00C74CC9" w:rsidRDefault="00C74CC9" w:rsidP="003938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737E0"/>
    <w:multiLevelType w:val="multilevel"/>
    <w:tmpl w:val="8024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AB4755"/>
    <w:multiLevelType w:val="multilevel"/>
    <w:tmpl w:val="9F30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810F7B"/>
    <w:multiLevelType w:val="multilevel"/>
    <w:tmpl w:val="2AEC1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1541E6"/>
    <w:multiLevelType w:val="multilevel"/>
    <w:tmpl w:val="CCD2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9373CD"/>
    <w:multiLevelType w:val="multilevel"/>
    <w:tmpl w:val="9B34A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8E468B"/>
    <w:multiLevelType w:val="multilevel"/>
    <w:tmpl w:val="FF5E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5876B7"/>
    <w:multiLevelType w:val="multilevel"/>
    <w:tmpl w:val="339C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8143639">
    <w:abstractNumId w:val="2"/>
  </w:num>
  <w:num w:numId="2" w16cid:durableId="1119488295">
    <w:abstractNumId w:val="4"/>
  </w:num>
  <w:num w:numId="3" w16cid:durableId="614169518">
    <w:abstractNumId w:val="6"/>
  </w:num>
  <w:num w:numId="4" w16cid:durableId="109471859">
    <w:abstractNumId w:val="1"/>
  </w:num>
  <w:num w:numId="5" w16cid:durableId="233778723">
    <w:abstractNumId w:val="5"/>
  </w:num>
  <w:num w:numId="6" w16cid:durableId="2036533908">
    <w:abstractNumId w:val="3"/>
  </w:num>
  <w:num w:numId="7" w16cid:durableId="1491212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817"/>
    <w:rsid w:val="000D7F6D"/>
    <w:rsid w:val="00117FEC"/>
    <w:rsid w:val="001B787C"/>
    <w:rsid w:val="00393817"/>
    <w:rsid w:val="003C2D90"/>
    <w:rsid w:val="003D0E7A"/>
    <w:rsid w:val="005D72DC"/>
    <w:rsid w:val="00924D72"/>
    <w:rsid w:val="009A344F"/>
    <w:rsid w:val="009B3B82"/>
    <w:rsid w:val="009B5833"/>
    <w:rsid w:val="00C74CC9"/>
    <w:rsid w:val="00C9182D"/>
    <w:rsid w:val="00F23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C80DD"/>
  <w15:chartTrackingRefBased/>
  <w15:docId w15:val="{CF08C648-56CF-4BE5-BF8C-369CD829A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8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8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8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8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8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8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8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8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8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8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8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8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8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8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8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817"/>
    <w:rPr>
      <w:rFonts w:eastAsiaTheme="majorEastAsia" w:cstheme="majorBidi"/>
      <w:color w:val="272727" w:themeColor="text1" w:themeTint="D8"/>
    </w:rPr>
  </w:style>
  <w:style w:type="paragraph" w:styleId="Title">
    <w:name w:val="Title"/>
    <w:basedOn w:val="Normal"/>
    <w:next w:val="Normal"/>
    <w:link w:val="TitleChar"/>
    <w:uiPriority w:val="10"/>
    <w:qFormat/>
    <w:rsid w:val="00393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8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8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8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817"/>
    <w:pPr>
      <w:spacing w:before="160"/>
      <w:jc w:val="center"/>
    </w:pPr>
    <w:rPr>
      <w:i/>
      <w:iCs/>
      <w:color w:val="404040" w:themeColor="text1" w:themeTint="BF"/>
    </w:rPr>
  </w:style>
  <w:style w:type="character" w:customStyle="1" w:styleId="QuoteChar">
    <w:name w:val="Quote Char"/>
    <w:basedOn w:val="DefaultParagraphFont"/>
    <w:link w:val="Quote"/>
    <w:uiPriority w:val="29"/>
    <w:rsid w:val="00393817"/>
    <w:rPr>
      <w:i/>
      <w:iCs/>
      <w:color w:val="404040" w:themeColor="text1" w:themeTint="BF"/>
    </w:rPr>
  </w:style>
  <w:style w:type="paragraph" w:styleId="ListParagraph">
    <w:name w:val="List Paragraph"/>
    <w:basedOn w:val="Normal"/>
    <w:uiPriority w:val="34"/>
    <w:qFormat/>
    <w:rsid w:val="00393817"/>
    <w:pPr>
      <w:ind w:left="720"/>
      <w:contextualSpacing/>
    </w:pPr>
  </w:style>
  <w:style w:type="character" w:styleId="IntenseEmphasis">
    <w:name w:val="Intense Emphasis"/>
    <w:basedOn w:val="DefaultParagraphFont"/>
    <w:uiPriority w:val="21"/>
    <w:qFormat/>
    <w:rsid w:val="00393817"/>
    <w:rPr>
      <w:i/>
      <w:iCs/>
      <w:color w:val="0F4761" w:themeColor="accent1" w:themeShade="BF"/>
    </w:rPr>
  </w:style>
  <w:style w:type="paragraph" w:styleId="IntenseQuote">
    <w:name w:val="Intense Quote"/>
    <w:basedOn w:val="Normal"/>
    <w:next w:val="Normal"/>
    <w:link w:val="IntenseQuoteChar"/>
    <w:uiPriority w:val="30"/>
    <w:qFormat/>
    <w:rsid w:val="00393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817"/>
    <w:rPr>
      <w:i/>
      <w:iCs/>
      <w:color w:val="0F4761" w:themeColor="accent1" w:themeShade="BF"/>
    </w:rPr>
  </w:style>
  <w:style w:type="character" w:styleId="IntenseReference">
    <w:name w:val="Intense Reference"/>
    <w:basedOn w:val="DefaultParagraphFont"/>
    <w:uiPriority w:val="32"/>
    <w:qFormat/>
    <w:rsid w:val="00393817"/>
    <w:rPr>
      <w:b/>
      <w:bCs/>
      <w:smallCaps/>
      <w:color w:val="0F4761" w:themeColor="accent1" w:themeShade="BF"/>
      <w:spacing w:val="5"/>
    </w:rPr>
  </w:style>
  <w:style w:type="paragraph" w:styleId="Footer">
    <w:name w:val="footer"/>
    <w:basedOn w:val="Normal"/>
    <w:link w:val="FooterChar"/>
    <w:uiPriority w:val="99"/>
    <w:unhideWhenUsed/>
    <w:rsid w:val="003938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3817"/>
  </w:style>
  <w:style w:type="paragraph" w:styleId="Header">
    <w:name w:val="header"/>
    <w:basedOn w:val="Normal"/>
    <w:link w:val="HeaderChar"/>
    <w:uiPriority w:val="99"/>
    <w:unhideWhenUsed/>
    <w:rsid w:val="009B3B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B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238925">
      <w:bodyDiv w:val="1"/>
      <w:marLeft w:val="0"/>
      <w:marRight w:val="0"/>
      <w:marTop w:val="0"/>
      <w:marBottom w:val="0"/>
      <w:divBdr>
        <w:top w:val="none" w:sz="0" w:space="0" w:color="auto"/>
        <w:left w:val="none" w:sz="0" w:space="0" w:color="auto"/>
        <w:bottom w:val="none" w:sz="0" w:space="0" w:color="auto"/>
        <w:right w:val="none" w:sz="0" w:space="0" w:color="auto"/>
      </w:divBdr>
      <w:divsChild>
        <w:div w:id="1658416718">
          <w:marLeft w:val="0"/>
          <w:marRight w:val="0"/>
          <w:marTop w:val="0"/>
          <w:marBottom w:val="0"/>
          <w:divBdr>
            <w:top w:val="none" w:sz="0" w:space="0" w:color="auto"/>
            <w:left w:val="none" w:sz="0" w:space="0" w:color="auto"/>
            <w:bottom w:val="none" w:sz="0" w:space="0" w:color="auto"/>
            <w:right w:val="none" w:sz="0" w:space="0" w:color="auto"/>
          </w:divBdr>
          <w:divsChild>
            <w:div w:id="19746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8032">
      <w:bodyDiv w:val="1"/>
      <w:marLeft w:val="0"/>
      <w:marRight w:val="0"/>
      <w:marTop w:val="0"/>
      <w:marBottom w:val="0"/>
      <w:divBdr>
        <w:top w:val="none" w:sz="0" w:space="0" w:color="auto"/>
        <w:left w:val="none" w:sz="0" w:space="0" w:color="auto"/>
        <w:bottom w:val="none" w:sz="0" w:space="0" w:color="auto"/>
        <w:right w:val="none" w:sz="0" w:space="0" w:color="auto"/>
      </w:divBdr>
      <w:divsChild>
        <w:div w:id="1783961925">
          <w:marLeft w:val="0"/>
          <w:marRight w:val="0"/>
          <w:marTop w:val="0"/>
          <w:marBottom w:val="0"/>
          <w:divBdr>
            <w:top w:val="none" w:sz="0" w:space="0" w:color="auto"/>
            <w:left w:val="none" w:sz="0" w:space="0" w:color="auto"/>
            <w:bottom w:val="none" w:sz="0" w:space="0" w:color="auto"/>
            <w:right w:val="none" w:sz="0" w:space="0" w:color="auto"/>
          </w:divBdr>
          <w:divsChild>
            <w:div w:id="58065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683</Words>
  <Characters>3719</Characters>
  <Application>Microsoft Office Word</Application>
  <DocSecurity>0</DocSecurity>
  <Lines>122</Lines>
  <Paragraphs>91</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Mahamadou Tounkara</dc:creator>
  <cp:keywords/>
  <dc:description/>
  <cp:lastModifiedBy>Gary Mahamadou Tounkara</cp:lastModifiedBy>
  <cp:revision>5</cp:revision>
  <dcterms:created xsi:type="dcterms:W3CDTF">2025-11-19T09:43:00Z</dcterms:created>
  <dcterms:modified xsi:type="dcterms:W3CDTF">2025-12-03T21:53:00Z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5588a307,6adee19a,3348e5f3</vt:lpwstr>
  </property>
  <property fmtid="{D5CDD505-2E9C-101B-9397-08002B2CF9AE}" pid="3" name="ClassificationContentMarkingFooterFontProps">
    <vt:lpwstr>#000000,10,Calibri</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2025-11-19T09:43:56Z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9d8010b6-2af8-4236-838b-6c8b0fb6d402</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