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Supplemental Materials</w:t>
      </w:r>
    </w:p>
    <w:p>
      <w:pPr>
        <w:jc w:val="center"/>
      </w:pPr>
      <w:r>
        <w:rPr>
          <w:i/>
        </w:rPr>
        <w:t>Machine Learning Surrogates of Three-Dimensional Finite Element Analysis for Layer-Wise Critical Strains, Fatigue and Rutting Life of Flexible Pavements</w:t>
      </w:r>
    </w:p>
    <w:p>
      <w:pPr>
        <w:jc w:val="center"/>
      </w:pPr>
      <w:r>
        <w:t>Touqeer Ali Rind, Shiraz Ahmed, Hafiz Ahmed Waqas and Muhammad Arsalan Khan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410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life_distribu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</w:t>
      </w:r>
      <w:r>
        <w:t>S1. Distributions of the fatigue life and the two rutting lives (log₁₀ repetitions) in the 3,465 runs used for learning.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scatter_K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</w:t>
      </w:r>
      <w:r>
        <w:t>S2. Predicted against FE tensile strain at the bottom of the asphalt base course for the k-nearest neighbours model: training (2,425 runs) and testing (521 runs), with the equality line and ±10% deviation 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597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direct_vs_str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Fig. </w:t>
      </w:r>
      <w:r>
        <w:t>S3. Test RMSE of log₁₀ Nf obtained from the predicted strain through the transfer function and by learning log₁₀ Nf directly, for each model (single network and five-network ensemble shown separately).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