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onsolas" w:cs="Consolas" w:eastAsia="Consolas" w:hAnsi="Consolas"/>
          <w:color w:val="B8862A"/>
          <w:spacing w:val="60"/>
          <w:sz w:val="20"/>
          <w:szCs w:val="20"/>
        </w:rPr>
        <w:t xml:space="preserve">ALYKOIRA</w:t>
      </w:r>
    </w:p>
    <w:p>
      <w:pPr>
        <w:spacing w:after="480" w:before="120"/>
        <w:jc w:val="center"/>
      </w:pPr>
      <w:r>
        <w:rPr>
          <w:rFonts w:ascii="Georgia" w:cs="Georgia" w:eastAsia="Georgia" w:hAnsi="Georgia"/>
          <w:b/>
          <w:bCs/>
          <w:color w:val="2A1F12"/>
          <w:sz w:val="56"/>
          <w:szCs w:val="56"/>
        </w:rPr>
        <w:t xml:space="preserve">Définitions des termes songhay</w:t>
      </w:r>
    </w:p>
    <w:p>
      <w:pPr>
        <w:spacing w:after="600" w:before="120"/>
        <w:jc w:val="center"/>
      </w:pPr>
      <w:r>
        <w:rPr>
          <w:rFonts w:ascii="Georgia" w:cs="Georgia" w:eastAsia="Georgia" w:hAnsi="Georgia"/>
          <w:i/>
          <w:iCs/>
          <w:color w:val="B8862A"/>
          <w:sz w:val="26"/>
          <w:szCs w:val="26"/>
        </w:rPr>
        <w:t xml:space="preserve">Source du composant SonghayTerm</w:t>
      </w:r>
    </w:p>
    <w:p>
      <w:pPr>
        <w:spacing w:after="200" w:before="120"/>
        <w:jc w:val="center"/>
      </w:pPr>
      <w:r>
        <w:rPr>
          <w:rFonts w:ascii="Arial" w:cs="Arial" w:eastAsia="Arial" w:hAnsi="Arial"/>
          <w:color w:val="6B5A40"/>
          <w:sz w:val="22"/>
          <w:szCs w:val="22"/>
        </w:rPr>
        <w:t xml:space="preserve">Dialecte </w:t>
      </w:r>
      <w:r>
        <w:rPr>
          <w:rFonts w:ascii="Georgia" w:cs="Georgia" w:eastAsia="Georgia" w:hAnsi="Georgia"/>
          <w:i/>
          <w:iCs/>
          <w:color w:val="B8862A"/>
          <w:sz w:val="22"/>
          <w:szCs w:val="22"/>
        </w:rPr>
        <w:t xml:space="preserve">koroboro senni</w:t>
      </w:r>
      <w:r>
        <w:rPr>
          <w:rFonts w:ascii="Arial" w:cs="Arial" w:eastAsia="Arial" w:hAnsi="Arial"/>
          <w:color w:val="6B5A40"/>
          <w:sz w:val="22"/>
          <w:szCs w:val="22"/>
        </w:rPr>
        <w:t xml:space="preserve"> — Gao, Mali</w:t>
      </w:r>
    </w:p>
    <w:p>
      <w:pPr>
        <w:spacing w:after="120" w:before="600"/>
        <w:jc w:val="center"/>
      </w:pPr>
      <w:r>
        <w:rPr>
          <w:rFonts w:ascii="Arial" w:cs="Arial" w:eastAsia="Arial" w:hAnsi="Arial"/>
          <w:color w:val="A39480"/>
          <w:spacing w:val="30"/>
          <w:sz w:val="20"/>
          <w:szCs w:val="20"/>
        </w:rPr>
        <w:t xml:space="preserve">17 termes · 6 catégories</w:t>
      </w:r>
    </w:p>
    <w:p>
      <w:r>
        <w:br/>
        <w:t xml:space="preserve"/>
      </w:r>
    </w:p>
    <w:p>
      <w:pPr>
        <w:pStyle w:val="Heading1"/>
        <w:pageBreakBefore/>
        <w:spacing w:after="240" w:before="0"/>
      </w:pPr>
      <w:r>
        <w:rPr>
          <w:rFonts w:ascii="Georgia" w:cs="Georgia" w:eastAsia="Georgia" w:hAnsi="Georgia"/>
          <w:b/>
          <w:bCs/>
          <w:color w:val="2A1F12"/>
          <w:sz w:val="40"/>
          <w:szCs w:val="40"/>
        </w:rPr>
        <w:t xml:space="preserve">Préambule</w:t>
      </w:r>
    </w:p>
    <w:p>
      <w:pPr>
        <w:spacing w:after="160" w:before="80" w:line="320"/>
      </w:pPr>
      <w:r>
        <w:rPr>
          <w:rFonts w:ascii="Arial" w:cs="Arial" w:eastAsia="Arial" w:hAnsi="Arial"/>
          <w:color w:val="2A1F12"/>
          <w:sz w:val="22"/>
          <w:szCs w:val="22"/>
        </w:rPr>
        <w:t xml:space="preserve">Ce document contient les définitions pédagogiques des 17 termes songhay utilisés par Alykoira pour annoter les liens de parenté calculés et affichés dans la fiche personne. Chaque définition sera rendue sous forme de tooltip au survol du terme dans l'interface, via le composant réutilisable SonghayTerm.</w:t>
      </w:r>
    </w:p>
    <w:p>
      <w:pPr>
        <w:spacing w:after="160" w:before="80" w:line="320"/>
      </w:pPr>
      <w:r>
        <w:rPr>
          <w:rFonts w:ascii="Arial" w:cs="Arial" w:eastAsia="Arial" w:hAnsi="Arial"/>
          <w:color w:val="2A1F12"/>
          <w:sz w:val="22"/>
          <w:szCs w:val="22"/>
        </w:rPr>
        <w:t xml:space="preserve">Les définitions sont rédigées à partir du document de spécification algorithme-parente-songhay.md, de la bibliographie anthropologique (Olivier de Sardan 1982, Heath 1998–1999, Bisilliat et Laya 1992, Radcliffe-Brown 1924), et calibrées pour le dialecte koroboro senni parlé à Gao. Le registre est pédagogique et concis : 2 à 3 phrases par tooltip, évitant le jargon anthropologique quand un mot simple suffit.</w:t>
      </w:r>
    </w:p>
    <w:p>
      <w:pPr>
        <w:spacing w:after="160" w:before="80" w:line="320"/>
      </w:pPr>
      <w:r>
        <w:rPr>
          <w:rFonts w:ascii="Arial" w:cs="Arial" w:eastAsia="Arial" w:hAnsi="Arial"/>
          <w:b/>
          <w:bCs/>
          <w:color w:val="2A1F12"/>
          <w:sz w:val="22"/>
          <w:szCs w:val="22"/>
        </w:rPr>
        <w:t xml:space="preserve">Une relecture par un locuteur natif du koroboro senni est attendue avant intégration, notamment sur les nuances d'usage propres à la famille Aly Koïra de Gao qui peuvent différer des usages zarma du Niger documentés dans la littérature.</w:t>
      </w:r>
    </w:p>
    <w:p>
      <w:pPr>
        <w:pStyle w:val="Heading2"/>
        <w:spacing w:after="180" w:before="360"/>
      </w:pPr>
      <w:r>
        <w:rPr>
          <w:rFonts w:ascii="Georgia" w:cs="Georgia" w:eastAsia="Georgia" w:hAnsi="Georgia"/>
          <w:b/>
          <w:bCs/>
          <w:color w:val="B8862A"/>
          <w:sz w:val="30"/>
          <w:szCs w:val="30"/>
        </w:rPr>
        <w:t xml:space="preserve">Structure des entrées</w:t>
      </w:r>
    </w:p>
    <w:p>
      <w:pPr>
        <w:spacing w:after="160" w:before="80" w:line="320"/>
      </w:pPr>
      <w:r>
        <w:rPr>
          <w:rFonts w:ascii="Arial" w:cs="Arial" w:eastAsia="Arial" w:hAnsi="Arial"/>
          <w:color w:val="2A1F12"/>
          <w:sz w:val="22"/>
          <w:szCs w:val="22"/>
        </w:rPr>
        <w:t xml:space="preserve">Chaque entrée est structurée pour être mappée directement à l'interface TypeScript suivante :</w:t>
      </w:r>
    </w:p>
    <w:p>
      <w:pPr>
        <w:shd w:fill="F2EAD4" w:val="clear"/>
        <w:spacing w:after="0" w:before="120" w:line="260"/>
        <w:ind w:left="240" w:right="240"/>
      </w:pPr>
      <w:r>
        <w:rPr>
          <w:rFonts w:ascii="Consolas" w:cs="Consolas" w:eastAsia="Consolas" w:hAnsi="Consolas"/>
          <w:color w:val="2A1F12"/>
          <w:sz w:val="20"/>
          <w:szCs w:val="20"/>
        </w:rPr>
        <w:t xml:space="preserve">interface SonghayTermDefinition {</w:t>
      </w:r>
    </w:p>
    <w:p>
      <w:pPr>
        <w:shd w:fill="F2EAD4" w:val="clear"/>
        <w:spacing w:after="0" w:before="0" w:line="260"/>
        <w:ind w:left="240" w:right="240"/>
      </w:pPr>
      <w:r>
        <w:rPr>
          <w:rFonts w:ascii="Consolas" w:cs="Consolas" w:eastAsia="Consolas" w:hAnsi="Consolas"/>
          <w:color w:val="2A1F12"/>
          <w:sz w:val="20"/>
          <w:szCs w:val="20"/>
        </w:rPr>
        <w:t xml:space="preserve">  term: string;       // forme affichée</w:t>
      </w:r>
    </w:p>
    <w:p>
      <w:pPr>
        <w:shd w:fill="F2EAD4" w:val="clear"/>
        <w:spacing w:after="0" w:before="0" w:line="260"/>
        <w:ind w:left="240" w:right="240"/>
      </w:pPr>
      <w:r>
        <w:rPr>
          <w:rFonts w:ascii="Consolas" w:cs="Consolas" w:eastAsia="Consolas" w:hAnsi="Consolas"/>
          <w:color w:val="2A1F12"/>
          <w:sz w:val="20"/>
          <w:szCs w:val="20"/>
        </w:rPr>
        <w:t xml:space="preserve">  short: string;      // traduction courte</w:t>
      </w:r>
    </w:p>
    <w:p>
      <w:pPr>
        <w:shd w:fill="F2EAD4" w:val="clear"/>
        <w:spacing w:after="0" w:before="0" w:line="260"/>
        <w:ind w:left="240" w:right="240"/>
      </w:pPr>
      <w:r>
        <w:rPr>
          <w:rFonts w:ascii="Consolas" w:cs="Consolas" w:eastAsia="Consolas" w:hAnsi="Consolas"/>
          <w:color w:val="2A1F12"/>
          <w:sz w:val="20"/>
          <w:szCs w:val="20"/>
        </w:rPr>
        <w:t xml:space="preserve">  long: string;       // définition pédagogique</w:t>
      </w:r>
    </w:p>
    <w:p>
      <w:pPr>
        <w:shd w:fill="F2EAD4" w:val="clear"/>
        <w:spacing w:after="0" w:before="0" w:line="260"/>
        <w:ind w:left="240" w:right="240"/>
      </w:pPr>
      <w:r>
        <w:rPr>
          <w:rFonts w:ascii="Consolas" w:cs="Consolas" w:eastAsia="Consolas" w:hAnsi="Consolas"/>
          <w:color w:val="2A1F12"/>
          <w:sz w:val="20"/>
          <w:szCs w:val="20"/>
        </w:rPr>
        <w:t xml:space="preserve">  category: 'ligne-directe' | 'fratrie' | 'avunculat'</w:t>
      </w:r>
    </w:p>
    <w:p>
      <w:pPr>
        <w:shd w:fill="F2EAD4" w:val="clear"/>
        <w:spacing w:after="0" w:before="0" w:line="260"/>
        <w:ind w:left="240" w:right="240"/>
      </w:pPr>
      <w:r>
        <w:rPr>
          <w:rFonts w:ascii="Consolas" w:cs="Consolas" w:eastAsia="Consolas" w:hAnsi="Consolas"/>
          <w:color w:val="2A1F12"/>
          <w:sz w:val="20"/>
          <w:szCs w:val="20"/>
        </w:rPr>
        <w:t xml:space="preserve">          | 'ancetres' | 'foyer' | 'social';</w:t>
      </w:r>
    </w:p>
    <w:p>
      <w:pPr>
        <w:shd w:fill="F2EAD4" w:val="clear"/>
        <w:spacing w:after="240" w:before="0" w:line="260"/>
        <w:ind w:left="240" w:right="240"/>
      </w:pPr>
      <w:r>
        <w:rPr>
          <w:rFonts w:ascii="Consolas" w:cs="Consolas" w:eastAsia="Consolas" w:hAnsi="Consolas"/>
          <w:color w:val="2A1F12"/>
          <w:sz w:val="20"/>
          <w:szCs w:val="20"/>
        </w:rPr>
        <w:t xml:space="preserve">}</w:t>
      </w:r>
    </w:p>
    <w:p>
      <w:pPr>
        <w:spacing w:after="160" w:before="80" w:line="320"/>
      </w:pPr>
      <w:r>
        <w:rPr>
          <w:rFonts w:ascii="Arial" w:cs="Arial" w:eastAsia="Arial" w:hAnsi="Arial"/>
          <w:color w:val="2A1F12"/>
          <w:sz w:val="22"/>
          <w:szCs w:val="22"/>
        </w:rPr>
        <w:t xml:space="preserve">Les trois valeurs (court, long, catégorie) apparaissent pour chaque terme dans les pages suivantes. L'ordre de présentation suit une progression logique du système de parenté : ligne directe, puis fratrie, puis avunculat, puis ancêtres et descendants éloignés, puis suffixes de précision, puis termes de la vie sociale.</w:t>
      </w:r>
    </w:p>
    <w:p>
      <w:pPr>
        <w:pStyle w:val="Heading1"/>
        <w:spacing w:after="240" w:before="480"/>
      </w:pPr>
      <w:r>
        <w:rPr>
          <w:rFonts w:ascii="Georgia" w:cs="Georgia" w:eastAsia="Georgia" w:hAnsi="Georgia"/>
          <w:b/>
          <w:bCs/>
          <w:color w:val="2A1F12"/>
          <w:sz w:val="40"/>
          <w:szCs w:val="40"/>
        </w:rPr>
        <w:t xml:space="preserve">1. Termes de la ligne directe</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baba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Père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Père biologique, ou frère-équivalent de même sexe que le père. Le terme s'applique aussi à l'oncle paternel parallèle (frère du père) et à ses équivalents plus éloignés dans la lignée, selon le principe de fusion caractéristique du système songhay.</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ligne-directe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gna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Mère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Mère biologique, ou sœur-équivalente de la mère. Le terme désigne aussi la tante maternelle parallèle (sœur de la mère) et ses équivalentes, qui sont considérées socialement comme des mères au même titre que la mère biologique.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ligne-directe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izé</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Enfant</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Enfant biologique, ou enfant d'un frère-équivalent (pour un homme) ou d'une sœur-équivalente (pour une femme). Les variantes izô, izé woy et iza arou précisent le genre ou la forme selon le dialecte. Dans le système songhay, l'enfant d'un frère parallèle est linguistiquement traité comme son propre enfant.</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ligne-directe</w:t>
      </w:r>
    </w:p>
    <w:p>
      <w:pPr>
        <w:pStyle w:val="Heading1"/>
        <w:spacing w:after="240" w:before="480"/>
      </w:pPr>
      <w:r>
        <w:rPr>
          <w:rFonts w:ascii="Georgia" w:cs="Georgia" w:eastAsia="Georgia" w:hAnsi="Georgia"/>
          <w:b/>
          <w:bCs/>
          <w:color w:val="2A1F12"/>
          <w:sz w:val="40"/>
          <w:szCs w:val="40"/>
        </w:rPr>
        <w:t xml:space="preserve">2. Fratrie et cousins</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arma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Frère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Frère, demi-frère, ou cousin parallèle masculin — c'est-à-dire fils d'un frère du père ou d'une sœur de la mère. Cette fusion entre frères biologiques et cousins parallèles est la marque centrale du système songhay : elle efface la distinction entre famille nucléaire et famille étendue pour les relations de même génération.</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woyma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Sœur</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Sœur, demi-sœur, ou cousine parallèle féminine — fille d'un frère du père ou d'une sœur de la mère. Comme pour arma, le terme englobe toutes les femmes de même génération issues de parents de même sexe que les parents d'ego, qui sont considérées comme des sœurs à part entière.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baassa arou</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Cousin croisé</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Cousin masculin issu de parents de sexes opposés — fils d'une sœur du père ou d'un frère de la mère. Contrairement aux cousins parallèles assimilés à des frères, les cousins croisés portent un terme dédié qui marque leur altérité sociale et permet les relations de plaisanterie caractéristiques du baasetaray.</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baassa woy</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Cousine croisée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Cousine féminine par parents de sexes opposés — fille d'une sœur du père ou d'un frère de la mère. Ce terme est symétrique de baassa arou et marque la même distance sociale, fondement historique des alliances matrimoniales préférentielles dans les sociétés soudaniennes.</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Style w:val="Heading1"/>
        <w:spacing w:after="240" w:before="480"/>
      </w:pPr>
      <w:r>
        <w:rPr>
          <w:rFonts w:ascii="Georgia" w:cs="Georgia" w:eastAsia="Georgia" w:hAnsi="Georgia"/>
          <w:b/>
          <w:bCs/>
          <w:color w:val="2A1F12"/>
          <w:sz w:val="40"/>
          <w:szCs w:val="40"/>
        </w:rPr>
        <w:t xml:space="preserve">3. Oncles, tantes, neveux (avunculat)</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hassa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Oncle maternel</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Frère de la mère, ou frère-équivalent masculin de la mère. L'oncle maternel occupe un rôle social particulièrement valorisé en pays songhay : il est à la fois protecteur et confident, souvent consulté pour les décisions importantes concernant ses neveux et nièces, et peut participer au transfert de la dot. Cette importance structurelle justifie qu'il porte un terme dédié, distinct du simple baba.</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avunculat</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touba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Neveu ou nièce d'un oncle maternel</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Enfant de la sœur, tel qu'appelé par le frère de celle-ci. Le terme est réciproque de hassa : là où l'oncle maternel porte un nom spécifique, son neveu ou sa nièce en porte un également, ce qui souligne la force du lien avunculaire dans la société songhay.</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avunculat</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hawa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Tante paternelle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Sœur du père, ou sœur-équivalente féminine du père. Contrairement à la symétrie parfaite attendue, la tante paternelle porte un terme dédié (hawa) mais son neveu ou sa nièce reste simplement izé — asymétrie typique du système songhay qui distingue l'avunculat matrilatéral (marqué des deux côtés) de la relation amitale patrilatérale (marquée d'un seul côté).</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avunculat</w:t>
      </w:r>
    </w:p>
    <w:p>
      <w:pPr>
        <w:pStyle w:val="Heading1"/>
        <w:spacing w:after="240" w:before="480"/>
      </w:pPr>
      <w:r>
        <w:rPr>
          <w:rFonts w:ascii="Georgia" w:cs="Georgia" w:eastAsia="Georgia" w:hAnsi="Georgia"/>
          <w:b/>
          <w:bCs/>
          <w:color w:val="2A1F12"/>
          <w:sz w:val="40"/>
          <w:szCs w:val="40"/>
        </w:rPr>
        <w:t xml:space="preserve">4. Ancêtres et descendants éloignés</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kaga arou</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Grand-père (ou ancêtre masculin)</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Grand-père biologique, ou tout ancêtre masculin indirect au-delà de deux générations. La répétition du mot kaga permet de préciser la profondeur : kaga kaga arou pour l'arrière-grand-père, kaga kaga kaga arou pour l'arrière-arrière-grand-père, et ainsi de suite.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ancetres</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kaga woy</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Grand-mère (ou ancêtre féminine)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Grand-mère biologique, ou toute ancêtre féminine indirecte au-delà de deux générations. Le suffixe coté baba ou coté gna se joint au terme pour préciser la branche par laquelle on remonte : paternelle (coté baba) ou maternelle (coté gna).</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ancetres</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haama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Petit-enfant (ou descendant)</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Petit-fils, petite-fille, ou tout descendant indirect au-delà de deux générations. Comme kaga, la répétition précise la profondeur : haama haama pour l'arrière-petit-enfant, et ainsi de suite. Le terme est de genre neutre et s'applique aux descendants masculins comme féminins.</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ancetres</w:t>
      </w:r>
    </w:p>
    <w:p>
      <w:pPr>
        <w:pStyle w:val="Heading1"/>
        <w:spacing w:after="240" w:before="480"/>
      </w:pPr>
      <w:r>
        <w:rPr>
          <w:rFonts w:ascii="Georgia" w:cs="Georgia" w:eastAsia="Georgia" w:hAnsi="Georgia"/>
          <w:b/>
          <w:bCs/>
          <w:color w:val="2A1F12"/>
          <w:sz w:val="40"/>
          <w:szCs w:val="40"/>
        </w:rPr>
        <w:t xml:space="preserve">5. Suffixes et précisions</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coté baba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Côté paternel</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Suffixe qui s'ajoute aux termes kaga arou et kaga woy pour indiquer que l'ancêtre est rattaché à ego par la branche paternelle. Par exemple, kaga woy coté baba désigne une grand-mère atteinte en passant d'abord par le père.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ancetres</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coté gna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Côté maternel</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Suffixe symétrique de coté baba, qui indique que l'ancêtre est rattaché par la branche maternelle. Par exemple, kaga arou coté gna désigne un grand-père atteint en passant d'abord par la mère.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ancetres</w:t>
      </w:r>
    </w:p>
    <w:p>
      <w:pPr>
        <w:pStyle w:val="Heading1"/>
        <w:spacing w:after="240" w:before="480"/>
      </w:pPr>
      <w:r>
        <w:rPr>
          <w:rFonts w:ascii="Georgia" w:cs="Georgia" w:eastAsia="Georgia" w:hAnsi="Georgia"/>
          <w:b/>
          <w:bCs/>
          <w:color w:val="2A1F12"/>
          <w:sz w:val="40"/>
          <w:szCs w:val="40"/>
        </w:rPr>
        <w:t xml:space="preserve">6. Termes de la vie sociale et familiale</w:t>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windi</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Foyer, concession</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Unité domestique de base de la société songhay-zarma, traditionnellement patrilinéaire et patrilocale. Le windi regroupe sous l'autorité du patriarche plusieurs générations, les frères cadets, leurs épouses et leurs enfants, dans un espace délimité — la concession. Dans Alykoira, chaque foyer (épouse et sa descendance) correspond à une unité windi au sein de la vie d'un homme.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foyer</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koda</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Benjamin, dernier-né</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Dernier-né d'une fratrie, souvent objet d'attentions particulières dans la famille songhay. Le statut de koda est d'abord biologique mais peut aussi se transmettre socialement — lorsque le dernier-né biologique est décédé jeune, le titre peut passer à un autre enfant. Le koda est traditionnellement entouré, parfois gâté, et garde tout au long de sa vie un lien affectif particulier avec ses aînés.</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social</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arrou hinka izey</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Enfants de deux hommes</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Désigne les enfants nés de deux frères, qui sont donc cousins parallèles et que la société songhay considère comme des frères et sœurs à part entière. L'expression littérale — « les enfants des deux hommes » — rappelle la logique du système de parenté où les cousins parallèles issus de pères frères sont fusionnés avec la fratrie.</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Bdr>
          <w:bottom w:val="single" w:color="D4C4A0" w:sz="4" w:space="1"/>
        </w:pBdr>
        <w:spacing w:after="120" w:before="120"/>
      </w:pPr>
      <w:r>
        <w:t xml:space="preserve"/>
      </w:r>
    </w:p>
    <w:p>
      <w:pPr>
        <w:pStyle w:val="Heading3"/>
        <w:pBdr>
          <w:bottom w:val="single" w:color="B8862A" w:sz="4" w:space="4"/>
        </w:pBdr>
        <w:spacing w:after="80" w:before="280"/>
      </w:pPr>
      <w:r>
        <w:rPr>
          <w:rFonts w:ascii="Georgia" w:cs="Georgia" w:eastAsia="Georgia" w:hAnsi="Georgia"/>
          <w:b/>
          <w:bCs/>
          <w:i/>
          <w:iCs/>
          <w:color w:val="2A1F12"/>
          <w:sz w:val="28"/>
          <w:szCs w:val="28"/>
        </w:rPr>
        <w:t xml:space="preserve">hassey-zee n'da hawey-zee</w:t>
      </w:r>
    </w:p>
    <w:p>
      <w:pPr>
        <w:spacing w:after="60" w:before="120"/>
      </w:pPr>
      <w:r>
        <w:rPr>
          <w:rFonts w:ascii="Arial" w:cs="Arial" w:eastAsia="Arial" w:hAnsi="Arial"/>
          <w:b/>
          <w:bCs/>
          <w:caps/>
          <w:color w:val="6B5A40"/>
          <w:sz w:val="18"/>
          <w:szCs w:val="18"/>
        </w:rPr>
        <w:t xml:space="preserve">TRADUCTION COURTE  </w:t>
      </w:r>
      <w:r>
        <w:rPr>
          <w:rFonts w:ascii="Arial" w:cs="Arial" w:eastAsia="Arial" w:hAnsi="Arial"/>
          <w:color w:val="2A1F12"/>
          <w:sz w:val="22"/>
          <w:szCs w:val="22"/>
        </w:rPr>
        <w:t xml:space="preserve">Enfants d'oncle maternel et de tante paternelle</w:t>
      </w:r>
    </w:p>
    <w:p>
      <w:pPr>
        <w:spacing w:after="60" w:before="120"/>
      </w:pPr>
      <w:r>
        <w:rPr>
          <w:rFonts w:ascii="Arial" w:cs="Arial" w:eastAsia="Arial" w:hAnsi="Arial"/>
          <w:b/>
          <w:bCs/>
          <w:caps/>
          <w:color w:val="6B5A40"/>
          <w:sz w:val="18"/>
          <w:szCs w:val="18"/>
        </w:rPr>
        <w:t xml:space="preserve">DÉFINITION</w:t>
      </w:r>
    </w:p>
    <w:p>
      <w:pPr>
        <w:spacing w:after="160" w:before="100" w:line="320"/>
      </w:pPr>
      <w:r>
        <w:rPr>
          <w:rFonts w:ascii="Arial" w:cs="Arial" w:eastAsia="Arial" w:hAnsi="Arial"/>
          <w:color w:val="2A1F12"/>
          <w:sz w:val="22"/>
          <w:szCs w:val="22"/>
        </w:rPr>
        <w:t xml:space="preserve">Formule qui associe les cousins croisés des deux côtés : ceux issus d'un hassa (oncle maternel) et ceux issus d'une hawa (tante paternelle). Ce sont les cousins baassa au sens large, partenaires traditionnels des relations à plaisanterie (baasetaray) et historiquement des alliances matrimoniales préférentielles.</w:t>
      </w:r>
    </w:p>
    <w:p>
      <w:pPr>
        <w:spacing w:after="240" w:before="60"/>
      </w:pPr>
      <w:r>
        <w:rPr>
          <w:rFonts w:ascii="Arial" w:cs="Arial" w:eastAsia="Arial" w:hAnsi="Arial"/>
          <w:b/>
          <w:bCs/>
          <w:caps/>
          <w:color w:val="6B5A40"/>
          <w:sz w:val="18"/>
          <w:szCs w:val="18"/>
        </w:rPr>
        <w:t xml:space="preserve">CATÉGORIE  </w:t>
      </w:r>
      <w:r>
        <w:rPr>
          <w:rFonts w:ascii="Consolas" w:cs="Consolas" w:eastAsia="Consolas" w:hAnsi="Consolas"/>
          <w:color w:val="B8862A"/>
          <w:sz w:val="18"/>
          <w:szCs w:val="18"/>
        </w:rPr>
        <w:t xml:space="preserve">fratrie</w:t>
      </w:r>
    </w:p>
    <w:p>
      <w:pPr>
        <w:pStyle w:val="Heading1"/>
        <w:pageBreakBefore/>
        <w:spacing w:after="240" w:before="0"/>
      </w:pPr>
      <w:r>
        <w:rPr>
          <w:rFonts w:ascii="Georgia" w:cs="Georgia" w:eastAsia="Georgia" w:hAnsi="Georgia"/>
          <w:b/>
          <w:bCs/>
          <w:color w:val="2A1F12"/>
          <w:sz w:val="40"/>
          <w:szCs w:val="40"/>
        </w:rPr>
        <w:t xml:space="preserve">Annexe — Points à confirmer</w:t>
      </w:r>
    </w:p>
    <w:p>
      <w:pPr>
        <w:spacing w:after="160" w:before="80" w:line="320"/>
      </w:pPr>
      <w:r>
        <w:rPr>
          <w:rFonts w:ascii="Georgia" w:cs="Georgia" w:eastAsia="Georgia" w:hAnsi="Georgia"/>
          <w:i/>
          <w:iCs/>
          <w:color w:val="6B5A40"/>
          <w:sz w:val="22"/>
          <w:szCs w:val="22"/>
        </w:rPr>
        <w:t xml:space="preserve">Les trois points ci-dessous sont des extrapolations depuis la littérature anthropologique générale. Ils demandent une confirmation par un locuteur natif et connaisseur de la tradition familiale Aly Koïra.</w:t>
      </w:r>
    </w:p>
    <w:p>
      <w:pPr>
        <w:pStyle w:val="Heading2"/>
        <w:spacing w:after="180" w:before="360"/>
      </w:pPr>
      <w:r>
        <w:rPr>
          <w:rFonts w:ascii="Georgia" w:cs="Georgia" w:eastAsia="Georgia" w:hAnsi="Georgia"/>
          <w:b/>
          <w:bCs/>
          <w:color w:val="B8862A"/>
          <w:sz w:val="30"/>
          <w:szCs w:val="30"/>
        </w:rPr>
        <w:t xml:space="preserve">1. Transmissibilité du statut koda</w:t>
      </w:r>
    </w:p>
    <w:p>
      <w:pPr>
        <w:spacing w:after="160" w:before="80" w:line="320"/>
      </w:pPr>
      <w:r>
        <w:rPr>
          <w:rFonts w:ascii="Arial" w:cs="Arial" w:eastAsia="Arial" w:hAnsi="Arial"/>
          <w:color w:val="2A1F12"/>
          <w:sz w:val="22"/>
          <w:szCs w:val="22"/>
        </w:rPr>
        <w:t xml:space="preserve">La définition indique que le statut de koda peut passer socialement à un autre enfant lorsque le dernier-né biologique est décédé jeune. Cette nuance est tirée de la littérature générale sur l'avunculat africain et sur la vie cérémonielle des sociétés soudaniennes. Il reste à confirmer si cette transmissibilité sociale est effectivement pratiquée dans la tradition Aly Koïra de Gao, ou si le koda est strictement défini par la position biologique dans la fratrie.</w:t>
      </w:r>
    </w:p>
    <w:p>
      <w:pPr>
        <w:pStyle w:val="Heading2"/>
        <w:spacing w:after="180" w:before="360"/>
      </w:pPr>
      <w:r>
        <w:rPr>
          <w:rFonts w:ascii="Georgia" w:cs="Georgia" w:eastAsia="Georgia" w:hAnsi="Georgia"/>
          <w:b/>
          <w:bCs/>
          <w:color w:val="B8862A"/>
          <w:sz w:val="30"/>
          <w:szCs w:val="30"/>
        </w:rPr>
        <w:t xml:space="preserve">2. Rôle du hassa dans le transfert de la dot</w:t>
      </w:r>
    </w:p>
    <w:p>
      <w:pPr>
        <w:spacing w:after="160" w:before="80" w:line="320"/>
      </w:pPr>
      <w:r>
        <w:rPr>
          <w:rFonts w:ascii="Arial" w:cs="Arial" w:eastAsia="Arial" w:hAnsi="Arial"/>
          <w:color w:val="2A1F12"/>
          <w:sz w:val="22"/>
          <w:szCs w:val="22"/>
        </w:rPr>
        <w:t xml:space="preserve">La définition mentionne que l'oncle maternel peut participer au transfert de la dot. Cette pratique est documentée dans plusieurs sociétés avunculaires d'Afrique de l'Ouest, mais le rôle concret du hassa lors du mariage en pays songhay mérite d'être précisé : participe-t-il aux négociations, reçoit-il une part de la dot, tranche-t-il en cas de litige ? Cette nuance affecte directement la profondeur sociologique du tooltip.</w:t>
      </w:r>
    </w:p>
    <w:p>
      <w:pPr>
        <w:pStyle w:val="Heading2"/>
        <w:spacing w:after="180" w:before="360"/>
      </w:pPr>
      <w:r>
        <w:rPr>
          <w:rFonts w:ascii="Georgia" w:cs="Georgia" w:eastAsia="Georgia" w:hAnsi="Georgia"/>
          <w:b/>
          <w:bCs/>
          <w:color w:val="B8862A"/>
          <w:sz w:val="30"/>
          <w:szCs w:val="30"/>
        </w:rPr>
        <w:t xml:space="preserve">3. Étymologie littérale de arrou hinka izey</w:t>
      </w:r>
    </w:p>
    <w:p>
      <w:pPr>
        <w:spacing w:after="160" w:before="80" w:line="320"/>
      </w:pPr>
      <w:r>
        <w:rPr>
          <w:rFonts w:ascii="Arial" w:cs="Arial" w:eastAsia="Arial" w:hAnsi="Arial"/>
          <w:color w:val="2A1F12"/>
          <w:sz w:val="22"/>
          <w:szCs w:val="22"/>
        </w:rPr>
        <w:t xml:space="preserve">La définition donne pour arrou hinka izey la traduction littérale « les enfants des deux hommes ». Cette analyse morphologique semble cohérente avec le lexique koroboro senni documenté par Heath (arrou = homme, hinka = deux, izey = enfants/progéniture), mais elle suppose que l'expression est effectivement comprise et employée comme un composé transparent par les locuteurs, et non comme une formule figée dont le sens s'est lexicalisé indépendamment de l'étymologie.</w:t>
      </w:r>
    </w:p>
    <w:p>
      <w:r>
        <w:br/>
        <w:br/>
        <w:t xml:space="preserve"/>
      </w:r>
    </w:p>
    <w:p>
      <w:pPr>
        <w:pBdr>
          <w:bottom w:val="single" w:color="D4C4A0" w:sz="4" w:space="1"/>
        </w:pBdr>
        <w:spacing w:after="120" w:before="120"/>
      </w:pPr>
      <w:r>
        <w:t xml:space="preserve"/>
      </w:r>
    </w:p>
    <w:p>
      <w:pPr>
        <w:spacing w:after="120" w:before="240"/>
        <w:jc w:val="center"/>
      </w:pPr>
      <w:r>
        <w:rPr>
          <w:rFonts w:ascii="Arial" w:cs="Arial" w:eastAsia="Arial" w:hAnsi="Arial"/>
          <w:i/>
          <w:iCs/>
          <w:color w:val="A39480"/>
          <w:sz w:val="18"/>
          <w:szCs w:val="18"/>
        </w:rPr>
        <w:t xml:space="preserve">Document généré pour Alykoira · Famille Aly Koïra · Gao, Mali</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39480"/>
        <w:sz w:val="16"/>
        <w:szCs w:val="16"/>
      </w:rPr>
      <w:t xml:space="preserve">— </w:t>
    </w:r>
    <w:r>
      <w:rPr>
        <w:rFonts w:ascii="Arial" w:cs="Arial" w:eastAsia="Arial" w:hAnsi="Arial"/>
        <w:color w:val="A39480"/>
        <w:sz w:val="16"/>
        <w:szCs w:val="16"/>
      </w:rPr>
      <w:fldChar w:fldCharType="begin"/>
      <w:instrText xml:space="preserve">PAGE</w:instrText>
      <w:fldChar w:fldCharType="separate"/>
      <w:fldChar w:fldCharType="end"/>
    </w:r>
    <w:r>
      <w:rPr>
        <w:rFonts w:ascii="Arial" w:cs="Arial" w:eastAsia="Arial" w:hAnsi="Arial"/>
        <w:color w:val="A394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4A0" w:sz="4" w:space="6"/>
      </w:pBdr>
      <w:jc w:val="left"/>
    </w:pPr>
    <w:r>
      <w:rPr>
        <w:rFonts w:ascii="Arial" w:cs="Arial" w:eastAsia="Arial" w:hAnsi="Arial"/>
        <w:color w:val="A39480"/>
        <w:sz w:val="16"/>
        <w:szCs w:val="16"/>
      </w:rPr>
      <w:t xml:space="preserve">Alykoira  ·  </w:t>
    </w:r>
    <w:r>
      <w:rPr>
        <w:rFonts w:ascii="Georgia" w:cs="Georgia" w:eastAsia="Georgia" w:hAnsi="Georgia"/>
        <w:i/>
        <w:iCs/>
        <w:color w:val="B8862A"/>
        <w:sz w:val="16"/>
        <w:szCs w:val="16"/>
      </w:rPr>
      <w:t xml:space="preserve">termes songhay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A1F12"/>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B8862A"/>
      <w:sz w:val="30"/>
      <w:szCs w:val="30"/>
    </w:rPr>
  </w:style>
  <w:style w:type="paragraph" w:styleId="Heading3">
    <w:name w:val="Heading 3"/>
    <w:basedOn w:val="Normal"/>
    <w:next w:val="Normal"/>
    <w:qFormat/>
    <w:pPr>
      <w:spacing w:after="80" w:before="280"/>
      <w:outlineLvl w:val="2"/>
    </w:pPr>
    <w:rPr>
      <w:rFonts w:ascii="Georgia" w:cs="Georgia" w:eastAsia="Georgia" w:hAnsi="Georgia"/>
      <w:b/>
      <w:bCs/>
      <w:i/>
      <w:iCs/>
      <w:color w:val="2A1F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Définitions des termes songhay</dc:title>
  <dc:creator>Alykoira</dc:creator>
  <dc:description>Source du composant SonghayTerm — dialecte koroboro senni de Gao</dc:description>
  <cp:lastModifiedBy>Un-named</cp:lastModifiedBy>
  <cp:revision>1</cp:revision>
  <dcterms:created xsi:type="dcterms:W3CDTF">2026-04-21T14:54:53.618Z</dcterms:created>
  <dcterms:modified xsi:type="dcterms:W3CDTF">2026-04-21T14:54:53.619Z</dcterms:modified>
</cp:coreProperties>
</file>

<file path=docProps/custom.xml><?xml version="1.0" encoding="utf-8"?>
<Properties xmlns="http://schemas.openxmlformats.org/officeDocument/2006/custom-properties" xmlns:vt="http://schemas.openxmlformats.org/officeDocument/2006/docPropsVTypes"/>
</file>