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s/font1.odttf" ContentType="application/vnd.openxmlformats-officedocument.obfuscatedFont"/>
  <Override PartName="/word/fonts/font9.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pBdr/>
        <w:shd w:val="clear" w:fill="auto"/>
        <w:spacing w:lineRule="auto" w:line="273"/>
        <w:rPr>
          <w:rFonts w:ascii="Arial" w:hAnsi="Arial" w:eastAsia="Arial" w:cs="Arial"/>
          <w:b/>
          <w:b/>
          <w:bCs/>
          <w:color w:val="1F1F1F"/>
        </w:rPr>
      </w:pPr>
      <w:r>
        <w:rPr>
          <w:rFonts w:eastAsia="Arial" w:cs="Arial"/>
          <w:b/>
          <w:bCs/>
          <w:color w:val="1F1F1F"/>
        </w:rPr>
        <w:t>Politique de Confidentialité et de Protection des Données de Santé – Géripharma (Conformité Belgique / Union Européenne et Afrique de l'Ouest)</w:t>
      </w:r>
    </w:p>
    <w:p>
      <w:pPr>
        <w:pStyle w:val="Normal1"/>
        <w:pBdr/>
        <w:shd w:val="clear" w:fill="auto"/>
        <w:spacing w:lineRule="auto" w:line="273"/>
        <w:rPr>
          <w:b/>
          <w:b/>
          <w:bCs/>
          <w:color w:val="1F1F1F"/>
        </w:rPr>
      </w:pPr>
      <w:r>
        <w:rPr>
          <w:b/>
          <w:bCs/>
          <w:color w:val="1F1F1F"/>
        </w:rPr>
      </w:r>
    </w:p>
    <w:p>
      <w:pPr>
        <w:pStyle w:val="Normal1"/>
        <w:pBdr/>
        <w:shd w:val="clear" w:fill="auto"/>
        <w:spacing w:lineRule="auto" w:line="273"/>
        <w:rPr>
          <w:rFonts w:ascii="Arial" w:hAnsi="Arial" w:eastAsia="Arial" w:cs="Arial"/>
          <w:b/>
          <w:b/>
          <w:bCs/>
          <w:color w:val="1F1F1F"/>
        </w:rPr>
      </w:pPr>
      <w:r>
        <w:rPr>
          <w:rFonts w:eastAsia="Arial" w:cs="Arial"/>
          <w:b/>
          <w:bCs/>
          <w:color w:val="1F1F1F"/>
        </w:rPr>
        <w:t>1. Préambule et Champ d'Application</w:t>
      </w:r>
    </w:p>
    <w:p>
      <w:pPr>
        <w:pStyle w:val="Normal1"/>
        <w:pBdr/>
        <w:shd w:val="clear" w:fill="auto"/>
        <w:spacing w:lineRule="auto" w:line="273"/>
        <w:rPr>
          <w:rFonts w:ascii="Arial" w:hAnsi="Arial" w:eastAsia="Arial" w:cs="Arial"/>
          <w:color w:val="1F1F1F"/>
        </w:rPr>
      </w:pPr>
      <w:r>
        <w:rPr>
          <w:rFonts w:eastAsia="Arial" w:cs="Arial"/>
          <w:color w:val="1F1F1F"/>
        </w:rPr>
        <w:t xml:space="preserve">Géripharma s'engage à protéger la vie privée et les données personnelles de ses utilisateurs, en particulier les données de santé sensibles collectées via l'application et les objets connectés associés (gérontomètre, bracelet de télémétrie). Cette politique décrit la manière dont les informations (telles que les scores ADL, IADL, MMSE, CFS, les constantes vitales et la pharmacothérapie) sont collectées, traitées et sécurisées conformément au Règlement Général sur la Protection des Données (RGPD), aux lois belges applicables en matière de santé, ainsi qu'aux cadres juridiques de protection des données en vigueur en </w:t>
      </w:r>
      <w:r>
        <w:rPr>
          <w:rFonts w:eastAsia="Arial" w:cs="Arial"/>
          <w:b/>
          <w:bCs/>
          <w:color w:val="1F1F1F"/>
        </w:rPr>
        <w:t>Afrique de l'Ouest</w:t>
      </w:r>
      <w:r>
        <w:rPr>
          <w:rFonts w:eastAsia="Arial" w:cs="Arial"/>
          <w:color w:val="1F1F1F"/>
        </w:rPr>
        <w:t xml:space="preserve"> (conformité aux réglementations nationales de la zone UEMOA/CEDEAO, telles que les lois sur la protection des données personnelles au Sénégal, en Côte d'Ivoire et au Mali).</w:t>
      </w:r>
    </w:p>
    <w:p>
      <w:pPr>
        <w:pStyle w:val="Normal1"/>
        <w:pBdr/>
        <w:shd w:val="clear" w:fill="auto"/>
        <w:spacing w:lineRule="auto" w:line="273"/>
        <w:rPr>
          <w:color w:val="1F1F1F"/>
        </w:rPr>
      </w:pPr>
      <w:r>
        <w:rPr>
          <w:color w:val="1F1F1F"/>
        </w:rPr>
      </w:r>
    </w:p>
    <w:p>
      <w:pPr>
        <w:pStyle w:val="Normal1"/>
        <w:pBdr/>
        <w:shd w:val="clear" w:fill="auto"/>
        <w:spacing w:lineRule="auto" w:line="273"/>
        <w:rPr>
          <w:rFonts w:ascii="Arial" w:hAnsi="Arial" w:eastAsia="Arial" w:cs="Arial"/>
          <w:b/>
          <w:b/>
          <w:bCs/>
          <w:color w:val="1F1F1F"/>
        </w:rPr>
      </w:pPr>
      <w:r>
        <w:rPr>
          <w:rFonts w:eastAsia="Arial" w:cs="Arial"/>
          <w:b/>
          <w:bCs/>
          <w:color w:val="1F1F1F"/>
        </w:rPr>
        <w:t>2. Données Collectées</w:t>
      </w:r>
    </w:p>
    <w:p>
      <w:pPr>
        <w:pStyle w:val="Normal1"/>
        <w:pBdr/>
        <w:shd w:val="clear" w:fill="auto"/>
        <w:spacing w:lineRule="auto" w:line="273"/>
        <w:rPr>
          <w:rFonts w:ascii="Arial" w:hAnsi="Arial" w:eastAsia="Arial" w:cs="Arial"/>
          <w:color w:val="1F1F1F"/>
        </w:rPr>
      </w:pPr>
      <w:r>
        <w:rPr>
          <w:rFonts w:eastAsia="Arial" w:cs="Arial"/>
          <w:color w:val="1F1F1F"/>
        </w:rPr>
        <w:t>Dans le cadre de l'utilisation de Géripharma, les catégories de données suivantes sont enregistrées :</w:t>
      </w:r>
    </w:p>
    <w:p>
      <w:pPr>
        <w:pStyle w:val="Normal1"/>
        <w:numPr>
          <w:ilvl w:val="0"/>
          <w:numId w:val="1"/>
        </w:numPr>
        <w:pBdr/>
        <w:shd w:val="clear" w:fill="auto"/>
        <w:spacing w:lineRule="auto" w:line="273"/>
        <w:ind w:left="590" w:hanging="360"/>
        <w:rPr/>
      </w:pPr>
      <w:r>
        <w:rPr>
          <w:rFonts w:eastAsia="Arial" w:cs="Arial"/>
          <w:b/>
          <w:bCs/>
          <w:color w:val="1F1F1F"/>
        </w:rPr>
        <w:t>Données d'identification et profil :</w:t>
      </w:r>
      <w:r>
        <w:rPr>
          <w:rFonts w:eastAsia="Arial" w:cs="Arial"/>
          <w:color w:val="1F1F1F"/>
        </w:rPr>
        <w:t xml:space="preserve"> Nom, prénom, date de naissance, genre, poids, taille et main dominante.</w:t>
      </w:r>
    </w:p>
    <w:p>
      <w:pPr>
        <w:pStyle w:val="Normal1"/>
        <w:numPr>
          <w:ilvl w:val="0"/>
          <w:numId w:val="1"/>
        </w:numPr>
        <w:pBdr/>
        <w:shd w:val="clear" w:fill="auto"/>
        <w:spacing w:lineRule="auto" w:line="273"/>
        <w:ind w:left="590" w:hanging="360"/>
        <w:rPr/>
      </w:pPr>
      <w:r>
        <w:rPr>
          <w:rFonts w:eastAsia="Arial" w:cs="Arial"/>
          <w:b/>
          <w:bCs/>
          <w:color w:val="1F1F1F"/>
        </w:rPr>
        <w:t>Données cliniques et gérontologiques :</w:t>
      </w:r>
      <w:r>
        <w:rPr>
          <w:rFonts w:eastAsia="Arial" w:cs="Arial"/>
          <w:color w:val="1F1F1F"/>
        </w:rPr>
        <w:t xml:space="preserve"> Scores d'autonomie et de cognition (ADL, IADL, MMSE, CFS), nombre de pathologies chroniques et historique des mesures du gérontomètre (force de préhension, force de miction, rythme des selles, apports caloriques).</w:t>
      </w:r>
    </w:p>
    <w:p>
      <w:pPr>
        <w:pStyle w:val="Normal1"/>
        <w:numPr>
          <w:ilvl w:val="0"/>
          <w:numId w:val="1"/>
        </w:numPr>
        <w:pBdr/>
        <w:shd w:val="clear" w:fill="auto"/>
        <w:spacing w:lineRule="auto" w:line="273"/>
        <w:ind w:left="590" w:hanging="360"/>
        <w:rPr/>
      </w:pPr>
      <w:r>
        <w:rPr>
          <w:rFonts w:eastAsia="Arial" w:cs="Arial"/>
          <w:b/>
          <w:bCs/>
          <w:color w:val="1F1F1F"/>
        </w:rPr>
        <w:t>Données de télémétrie (via bracelet connecté) :</w:t>
      </w:r>
      <w:r>
        <w:rPr>
          <w:rFonts w:eastAsia="Arial" w:cs="Arial"/>
          <w:color w:val="1F1F1F"/>
        </w:rPr>
        <w:t xml:space="preserve"> Fréquence cardiaque, tension artérielle, saturation en oxygène ($SpO_2$), nombre de pas quotidiens et détection de mouvements ou de chutes.</w:t>
      </w:r>
    </w:p>
    <w:p>
      <w:pPr>
        <w:pStyle w:val="Normal1"/>
        <w:numPr>
          <w:ilvl w:val="0"/>
          <w:numId w:val="1"/>
        </w:numPr>
        <w:pBdr/>
        <w:shd w:val="clear" w:fill="auto"/>
        <w:spacing w:lineRule="auto" w:line="273"/>
        <w:ind w:left="590" w:hanging="360"/>
        <w:rPr/>
      </w:pPr>
      <w:r>
        <w:rPr>
          <w:rFonts w:eastAsia="Arial" w:cs="Arial"/>
          <w:b/>
          <w:bCs/>
          <w:color w:val="1F1F1F"/>
        </w:rPr>
        <w:t>Données de traitement :</w:t>
      </w:r>
      <w:r>
        <w:rPr>
          <w:rFonts w:eastAsia="Arial" w:cs="Arial"/>
          <w:color w:val="1F1F1F"/>
        </w:rPr>
        <w:t xml:space="preserve"> Historique des prescriptions médicamenteuses, observance et gestion de la polypharmacie.</w:t>
      </w:r>
    </w:p>
    <w:p>
      <w:pPr>
        <w:pStyle w:val="Normal1"/>
        <w:pBdr/>
        <w:shd w:val="clear" w:fill="auto"/>
        <w:spacing w:lineRule="auto" w:line="273"/>
        <w:ind w:left="590" w:hanging="0"/>
        <w:rPr>
          <w:color w:val="1F1F1F"/>
        </w:rPr>
      </w:pPr>
      <w:r>
        <w:rPr>
          <w:color w:val="1F1F1F"/>
        </w:rPr>
      </w:r>
    </w:p>
    <w:p>
      <w:pPr>
        <w:pStyle w:val="Normal1"/>
        <w:pBdr/>
        <w:shd w:val="clear" w:fill="auto"/>
        <w:spacing w:lineRule="auto" w:line="273"/>
        <w:rPr>
          <w:rFonts w:ascii="Arial" w:hAnsi="Arial" w:eastAsia="Arial" w:cs="Arial"/>
          <w:b/>
          <w:b/>
          <w:bCs/>
          <w:color w:val="1F1F1F"/>
        </w:rPr>
      </w:pPr>
      <w:r>
        <w:rPr>
          <w:rFonts w:eastAsia="Arial" w:cs="Arial"/>
          <w:b/>
          <w:bCs/>
          <w:color w:val="1F1F1F"/>
        </w:rPr>
        <w:t>3. Finalités du Traitement des Données</w:t>
      </w:r>
    </w:p>
    <w:p>
      <w:pPr>
        <w:pStyle w:val="Normal1"/>
        <w:pBdr/>
        <w:shd w:val="clear" w:fill="auto"/>
        <w:spacing w:lineRule="auto" w:line="273"/>
        <w:rPr>
          <w:rFonts w:ascii="Arial" w:hAnsi="Arial" w:eastAsia="Arial" w:cs="Arial"/>
          <w:color w:val="1F1F1F"/>
        </w:rPr>
      </w:pPr>
      <w:r>
        <w:rPr>
          <w:rFonts w:eastAsia="Arial" w:cs="Arial"/>
          <w:color w:val="1F1F1F"/>
        </w:rPr>
        <w:t>Les données de santé recueillies servent exclusivement à :</w:t>
      </w:r>
    </w:p>
    <w:p>
      <w:pPr>
        <w:pStyle w:val="Normal1"/>
        <w:numPr>
          <w:ilvl w:val="0"/>
          <w:numId w:val="2"/>
        </w:numPr>
        <w:pBdr/>
        <w:shd w:val="clear" w:fill="auto"/>
        <w:spacing w:lineRule="auto" w:line="273"/>
        <w:ind w:left="590" w:hanging="360"/>
        <w:rPr/>
      </w:pPr>
      <w:r>
        <w:rPr>
          <w:rFonts w:eastAsia="Arial" w:cs="Arial"/>
          <w:color w:val="1F1F1F"/>
        </w:rPr>
        <w:t>Assurer le suivi gériatrique préventif et personnalisé du patient.</w:t>
      </w:r>
    </w:p>
    <w:p>
      <w:pPr>
        <w:pStyle w:val="Normal1"/>
        <w:numPr>
          <w:ilvl w:val="0"/>
          <w:numId w:val="2"/>
        </w:numPr>
        <w:pBdr/>
        <w:shd w:val="clear" w:fill="auto"/>
        <w:spacing w:lineRule="auto" w:line="273"/>
        <w:ind w:left="590" w:hanging="360"/>
        <w:rPr/>
      </w:pPr>
      <w:r>
        <w:rPr>
          <w:rFonts w:eastAsia="Arial" w:cs="Arial"/>
          <w:color w:val="1F1F1F"/>
        </w:rPr>
        <w:t>Alimenter le tableau de bord clinique et calculer les indicateurs de fragilité (alerte précoce de sarcopénie ou de risque de chute).</w:t>
      </w:r>
    </w:p>
    <w:p>
      <w:pPr>
        <w:pStyle w:val="Normal1"/>
        <w:numPr>
          <w:ilvl w:val="0"/>
          <w:numId w:val="2"/>
        </w:numPr>
        <w:pBdr/>
        <w:shd w:val="clear" w:fill="auto"/>
        <w:spacing w:lineRule="auto" w:line="273"/>
        <w:ind w:left="590" w:hanging="360"/>
        <w:rPr/>
      </w:pPr>
      <w:r>
        <w:rPr>
          <w:rFonts w:eastAsia="Arial" w:cs="Arial"/>
          <w:color w:val="1F1F1F"/>
        </w:rPr>
        <w:t>Faciliter la communication sécurisée des rapports de synthèse entre le patient, ses aidants autorisés et les professionnels de santé référents (médecins, kinésithérapeutes).</w:t>
      </w:r>
    </w:p>
    <w:p>
      <w:pPr>
        <w:pStyle w:val="Normal1"/>
        <w:numPr>
          <w:ilvl w:val="0"/>
          <w:numId w:val="2"/>
        </w:numPr>
        <w:pBdr/>
        <w:shd w:val="clear" w:fill="auto"/>
        <w:spacing w:lineRule="auto" w:line="273"/>
        <w:ind w:left="590" w:hanging="360"/>
        <w:rPr/>
      </w:pPr>
      <w:r>
        <w:rPr>
          <w:rFonts w:eastAsia="Arial" w:cs="Arial"/>
          <w:color w:val="1F1F1F"/>
        </w:rPr>
        <w:t>Optimiser l'observance thérapeutique et la sécurité des médicaments administrés.</w:t>
      </w:r>
    </w:p>
    <w:p>
      <w:pPr>
        <w:pStyle w:val="Normal1"/>
        <w:pBdr/>
        <w:shd w:val="clear" w:fill="auto"/>
        <w:spacing w:lineRule="auto" w:line="273"/>
        <w:ind w:left="590" w:hanging="0"/>
        <w:rPr>
          <w:color w:val="1F1F1F"/>
        </w:rPr>
      </w:pPr>
      <w:r>
        <w:rPr>
          <w:color w:val="1F1F1F"/>
        </w:rPr>
      </w:r>
    </w:p>
    <w:p>
      <w:pPr>
        <w:pStyle w:val="Normal1"/>
        <w:pBdr/>
        <w:shd w:val="clear" w:fill="auto"/>
        <w:spacing w:lineRule="auto" w:line="273"/>
        <w:rPr>
          <w:rFonts w:ascii="Arial" w:hAnsi="Arial" w:eastAsia="Arial" w:cs="Arial"/>
          <w:b/>
          <w:b/>
          <w:bCs/>
          <w:color w:val="1F1F1F"/>
        </w:rPr>
      </w:pPr>
      <w:r>
        <w:rPr>
          <w:rFonts w:eastAsia="Arial" w:cs="Arial"/>
          <w:b/>
          <w:bCs/>
          <w:color w:val="1F1F1F"/>
        </w:rPr>
        <w:t>4. Hébergement et Sécurité des Données (Belgique et Conformité Régionale Ouest-Africaine)</w:t>
      </w:r>
    </w:p>
    <w:p>
      <w:pPr>
        <w:pStyle w:val="Normal1"/>
        <w:numPr>
          <w:ilvl w:val="0"/>
          <w:numId w:val="3"/>
        </w:numPr>
        <w:pBdr/>
        <w:shd w:val="clear" w:fill="auto"/>
        <w:spacing w:lineRule="auto" w:line="273"/>
        <w:ind w:left="590" w:hanging="360"/>
        <w:rPr/>
      </w:pPr>
      <w:r>
        <w:rPr>
          <w:rFonts w:eastAsia="Arial" w:cs="Arial"/>
          <w:b/>
          <w:bCs/>
          <w:color w:val="1F1F1F"/>
        </w:rPr>
        <w:t>Localisation et souveraineté :</w:t>
      </w:r>
      <w:r>
        <w:rPr>
          <w:rFonts w:eastAsia="Arial" w:cs="Arial"/>
          <w:color w:val="1F1F1F"/>
        </w:rPr>
        <w:t xml:space="preserve"> L'ensemble des données de santé à caractère personnel est </w:t>
      </w:r>
      <w:r>
        <w:rPr>
          <w:rFonts w:eastAsia="Arial" w:cs="Arial"/>
          <w:b/>
          <w:bCs/>
          <w:color w:val="1F1F1F"/>
        </w:rPr>
        <w:t>hébergé de manière sécurisée en Belgique</w:t>
      </w:r>
      <w:r>
        <w:rPr>
          <w:rFonts w:eastAsia="Arial" w:cs="Arial"/>
          <w:color w:val="1F1F1F"/>
        </w:rPr>
        <w:t xml:space="preserve"> (et au sein de l'Union Européenne), tout en respectant les exigences de circulation transfrontalière et de protection des données applicables dans les pays d'utilisation en Afrique de l'Ouest. Les transferts internationaux font l'objet de garanties contractuelles strictes et conformes aux autorités de régulation locales (telles que la CDP, l'ARTCI ou équivalents).</w:t>
      </w:r>
    </w:p>
    <w:p>
      <w:pPr>
        <w:pStyle w:val="Normal1"/>
        <w:pBdr/>
        <w:shd w:val="clear" w:fill="auto"/>
        <w:spacing w:lineRule="auto" w:line="273"/>
        <w:ind w:left="590" w:hanging="0"/>
        <w:rPr>
          <w:color w:val="1F1F1F"/>
        </w:rPr>
      </w:pPr>
      <w:r>
        <w:rPr>
          <w:color w:val="1F1F1F"/>
        </w:rPr>
      </w:r>
    </w:p>
    <w:p>
      <w:pPr>
        <w:pStyle w:val="Normal1"/>
        <w:numPr>
          <w:ilvl w:val="0"/>
          <w:numId w:val="3"/>
        </w:numPr>
        <w:pBdr/>
        <w:shd w:val="clear" w:fill="auto"/>
        <w:spacing w:lineRule="auto" w:line="273"/>
        <w:ind w:left="590" w:hanging="360"/>
        <w:rPr/>
      </w:pPr>
      <w:r>
        <w:rPr>
          <w:rFonts w:eastAsia="Arial" w:cs="Arial"/>
          <w:b/>
          <w:bCs/>
          <w:color w:val="1F1F1F"/>
        </w:rPr>
        <w:t>Chiffrement et intégrité :</w:t>
      </w:r>
      <w:r>
        <w:rPr>
          <w:rFonts w:eastAsia="Arial" w:cs="Arial"/>
          <w:color w:val="1F1F1F"/>
        </w:rPr>
        <w:t xml:space="preserve"> Toutes les données de santé stockées dans les bases de données de l'application sont cryptées à la fois en transit (via protocoles HTTPS/TLS) et au repos.</w:t>
      </w:r>
    </w:p>
    <w:p>
      <w:pPr>
        <w:pStyle w:val="Normal1"/>
        <w:numPr>
          <w:ilvl w:val="0"/>
          <w:numId w:val="3"/>
        </w:numPr>
        <w:pBdr/>
        <w:shd w:val="clear" w:fill="auto"/>
        <w:spacing w:lineRule="auto" w:line="273"/>
        <w:ind w:left="590" w:hanging="360"/>
        <w:rPr/>
      </w:pPr>
      <w:r>
        <w:rPr>
          <w:rFonts w:eastAsia="Arial" w:cs="Arial"/>
          <w:b/>
          <w:bCs/>
          <w:color w:val="1F1F1F"/>
        </w:rPr>
        <w:t>Accès restreint :</w:t>
      </w:r>
      <w:r>
        <w:rPr>
          <w:rFonts w:eastAsia="Arial" w:cs="Arial"/>
          <w:color w:val="1F1F1F"/>
        </w:rPr>
        <w:t xml:space="preserve"> L'accès aux informations du patient est strictement limité aux professionnels de santé habilités et aux personnes explicitement autorisées par le patient.</w:t>
      </w:r>
    </w:p>
    <w:p>
      <w:pPr>
        <w:pStyle w:val="Normal1"/>
        <w:pBdr/>
        <w:shd w:val="clear" w:fill="auto"/>
        <w:spacing w:lineRule="auto" w:line="273"/>
        <w:rPr>
          <w:rFonts w:ascii="Arial" w:hAnsi="Arial" w:eastAsia="Arial" w:cs="Arial"/>
          <w:b/>
          <w:b/>
          <w:bCs/>
          <w:color w:val="1F1F1F"/>
        </w:rPr>
      </w:pPr>
      <w:r>
        <w:rPr>
          <w:rFonts w:eastAsia="Arial" w:cs="Arial"/>
          <w:b/>
          <w:bCs/>
          <w:color w:val="1F1F1F"/>
        </w:rPr>
        <w:t>5. Durée de Conservation des Données</w:t>
      </w:r>
    </w:p>
    <w:p>
      <w:pPr>
        <w:pStyle w:val="Normal1"/>
        <w:pBdr/>
        <w:shd w:val="clear" w:fill="auto"/>
        <w:spacing w:lineRule="auto" w:line="273"/>
        <w:rPr>
          <w:rFonts w:ascii="Arial" w:hAnsi="Arial" w:eastAsia="Arial" w:cs="Arial"/>
          <w:color w:val="1F1F1F"/>
        </w:rPr>
      </w:pPr>
      <w:r>
        <w:rPr>
          <w:rFonts w:eastAsia="Arial" w:cs="Arial"/>
          <w:color w:val="1F1F1F"/>
        </w:rPr>
        <w:t>Conformément à la législation européenne (RGPD), aux normes belges applicables en matière de conservation des dossiers de santé et aux principes de minimisation édictés par les législations ouest-africaines, les données à caractère personnel et médical traitées par Géripharma sont conservées uniquement pendant la durée nécessaire aux finalités pour lesquelles elles ont été collectées :</w:t>
      </w:r>
    </w:p>
    <w:p>
      <w:pPr>
        <w:pStyle w:val="Normal1"/>
        <w:numPr>
          <w:ilvl w:val="0"/>
          <w:numId w:val="4"/>
        </w:numPr>
        <w:pBdr/>
        <w:shd w:val="clear" w:fill="auto"/>
        <w:spacing w:lineRule="auto" w:line="273"/>
        <w:ind w:left="590" w:hanging="360"/>
        <w:rPr/>
      </w:pPr>
      <w:r>
        <w:rPr>
          <w:rFonts w:eastAsia="Arial" w:cs="Arial"/>
          <w:b/>
          <w:bCs/>
          <w:color w:val="1F1F1F"/>
        </w:rPr>
        <w:t>Données de santé et dossiers cliniques (scores ADL, IADL, MMSE, CFS, gérontomètre) :</w:t>
      </w:r>
      <w:r>
        <w:rPr>
          <w:rFonts w:eastAsia="Arial" w:cs="Arial"/>
          <w:color w:val="1F1F1F"/>
        </w:rPr>
        <w:t xml:space="preserve"> Conservées pendant la durée de la relation de soin, puis archivées conformément aux obligations légales de conservation des dossiers médicaux (durée minimale de 30 ans à compter de la dernière consultation ou du dernier contact médical, afin d'assurer la continuité des soins et la traçabilité gériatrique).</w:t>
      </w:r>
    </w:p>
    <w:p>
      <w:pPr>
        <w:pStyle w:val="Normal1"/>
        <w:numPr>
          <w:ilvl w:val="0"/>
          <w:numId w:val="4"/>
        </w:numPr>
        <w:pBdr/>
        <w:shd w:val="clear" w:fill="auto"/>
        <w:spacing w:lineRule="auto" w:line="273"/>
        <w:ind w:left="590" w:hanging="360"/>
        <w:rPr/>
      </w:pPr>
      <w:r>
        <w:rPr>
          <w:rFonts w:eastAsia="Arial" w:cs="Arial"/>
          <w:b/>
          <w:bCs/>
          <w:color w:val="1F1F1F"/>
        </w:rPr>
        <w:t>Données de télémétrie continue (bracelet connecté - pas, fréquence cardiaque, saturation) :</w:t>
      </w:r>
      <w:r>
        <w:rPr>
          <w:rFonts w:eastAsia="Arial" w:cs="Arial"/>
          <w:color w:val="1F1F1F"/>
        </w:rPr>
        <w:t xml:space="preserve"> Conservées pour une durée glissante de 12 mois dans le tableau de bord actif, les données agrégées à long terme étant anonymisées ou purgées selon le consentement de l'utilisateur.</w:t>
      </w:r>
    </w:p>
    <w:p>
      <w:pPr>
        <w:pStyle w:val="Normal1"/>
        <w:numPr>
          <w:ilvl w:val="0"/>
          <w:numId w:val="4"/>
        </w:numPr>
        <w:pBdr/>
        <w:shd w:val="clear" w:fill="auto"/>
        <w:spacing w:lineRule="auto" w:line="273"/>
        <w:ind w:left="590" w:hanging="360"/>
        <w:rPr/>
      </w:pPr>
      <w:r>
        <w:rPr>
          <w:rFonts w:eastAsia="Arial" w:cs="Arial"/>
          <w:b/>
          <w:bCs/>
          <w:color w:val="1F1F1F"/>
        </w:rPr>
        <w:t>Données de compte et de profil :</w:t>
      </w:r>
      <w:r>
        <w:rPr>
          <w:rFonts w:eastAsia="Arial" w:cs="Arial"/>
          <w:color w:val="1F1F1F"/>
        </w:rPr>
        <w:t xml:space="preserve"> Conservées pendant toute la durée d'utilisation de l'application par le patient, et supprimées ou anonymisées dans un délai maximum de 30 jours suivant une demande formelle d'effacement ou de clôture du compte, sous réserve des impératifs légaux de conservation des données médicales.</w:t>
      </w:r>
    </w:p>
    <w:p>
      <w:pPr>
        <w:pStyle w:val="Normal1"/>
        <w:pBdr/>
        <w:shd w:val="clear" w:fill="auto"/>
        <w:spacing w:lineRule="auto" w:line="273"/>
        <w:ind w:left="590" w:hanging="0"/>
        <w:rPr>
          <w:color w:val="1F1F1F"/>
        </w:rPr>
      </w:pPr>
      <w:r>
        <w:rPr>
          <w:color w:val="1F1F1F"/>
        </w:rPr>
      </w:r>
    </w:p>
    <w:p>
      <w:pPr>
        <w:pStyle w:val="Normal1"/>
        <w:pBdr/>
        <w:shd w:val="clear" w:fill="auto"/>
        <w:spacing w:lineRule="auto" w:line="273"/>
        <w:rPr>
          <w:rFonts w:ascii="Arial" w:hAnsi="Arial" w:eastAsia="Arial" w:cs="Arial"/>
          <w:b/>
          <w:b/>
          <w:bCs/>
          <w:color w:val="1F1F1F"/>
        </w:rPr>
      </w:pPr>
      <w:r>
        <w:rPr>
          <w:rFonts w:eastAsia="Arial" w:cs="Arial"/>
          <w:b/>
          <w:bCs/>
          <w:color w:val="1F1F1F"/>
        </w:rPr>
        <w:t>6. Droits des Utilisateurs</w:t>
      </w:r>
    </w:p>
    <w:p>
      <w:pPr>
        <w:pStyle w:val="Normal1"/>
        <w:pBdr/>
        <w:shd w:val="clear" w:fill="auto"/>
        <w:spacing w:lineRule="auto" w:line="273"/>
        <w:rPr>
          <w:rFonts w:ascii="Arial" w:hAnsi="Arial" w:eastAsia="Arial" w:cs="Arial"/>
          <w:color w:val="1F1F1F"/>
        </w:rPr>
      </w:pPr>
      <w:r>
        <w:rPr>
          <w:rFonts w:eastAsia="Arial" w:cs="Arial"/>
          <w:color w:val="1F1F1F"/>
        </w:rPr>
        <w:t>Conformément au RGPD, à la législation belge et aux lois de protection des données personnelles en Afrique de l'Ouest, l'utilisateur (ou son représentant légal, en intégrant les spécificités du consentement familial et communautaire propre au contexte gérontologique) dispose des droits suivants :</w:t>
      </w:r>
    </w:p>
    <w:p>
      <w:pPr>
        <w:pStyle w:val="Normal1"/>
        <w:numPr>
          <w:ilvl w:val="0"/>
          <w:numId w:val="5"/>
        </w:numPr>
        <w:pBdr/>
        <w:shd w:val="clear" w:fill="auto"/>
        <w:spacing w:lineRule="auto" w:line="273"/>
        <w:ind w:left="590" w:hanging="360"/>
        <w:rPr/>
      </w:pPr>
      <w:r>
        <w:rPr>
          <w:rFonts w:eastAsia="Arial" w:cs="Arial"/>
          <w:b/>
          <w:bCs/>
          <w:color w:val="1F1F1F"/>
        </w:rPr>
        <w:t>Droit d'accès et de rectification :</w:t>
      </w:r>
      <w:r>
        <w:rPr>
          <w:rFonts w:eastAsia="Arial" w:cs="Arial"/>
          <w:color w:val="1F1F1F"/>
        </w:rPr>
        <w:t xml:space="preserve"> Consulter l'ensemble des données cliniques, scores et constantes enregistrés, et demander leur correction en cas d'inexactitude.</w:t>
      </w:r>
    </w:p>
    <w:p>
      <w:pPr>
        <w:pStyle w:val="Normal1"/>
        <w:numPr>
          <w:ilvl w:val="0"/>
          <w:numId w:val="5"/>
        </w:numPr>
        <w:pBdr/>
        <w:shd w:val="clear" w:fill="auto"/>
        <w:spacing w:lineRule="auto" w:line="273"/>
        <w:ind w:left="590" w:hanging="360"/>
        <w:rPr/>
      </w:pPr>
      <w:r>
        <w:rPr>
          <w:rFonts w:eastAsia="Arial" w:cs="Arial"/>
          <w:b/>
          <w:bCs/>
          <w:color w:val="1F1F1F"/>
        </w:rPr>
        <w:t>Droit à l'effacement (ou droit à l'oubli) :</w:t>
      </w:r>
      <w:r>
        <w:rPr>
          <w:rFonts w:eastAsia="Arial" w:cs="Arial"/>
          <w:color w:val="1F1F1F"/>
        </w:rPr>
        <w:t xml:space="preserve"> Demander la suppression des données personnelles, sous réserve des obligations légales de conservation des dossiers médicaux.</w:t>
      </w:r>
    </w:p>
    <w:p>
      <w:pPr>
        <w:pStyle w:val="Normal1"/>
        <w:numPr>
          <w:ilvl w:val="0"/>
          <w:numId w:val="5"/>
        </w:numPr>
        <w:pBdr/>
        <w:shd w:val="clear" w:fill="auto"/>
        <w:spacing w:lineRule="auto" w:line="273"/>
        <w:ind w:left="590" w:hanging="360"/>
        <w:rPr/>
      </w:pPr>
      <w:r>
        <w:rPr>
          <w:rFonts w:eastAsia="Arial" w:cs="Arial"/>
          <w:b/>
          <w:bCs/>
          <w:color w:val="1F1F1F"/>
        </w:rPr>
        <w:t>Droit à la portabilité :</w:t>
      </w:r>
      <w:r>
        <w:rPr>
          <w:rFonts w:eastAsia="Arial" w:cs="Arial"/>
          <w:color w:val="1F1F1F"/>
        </w:rPr>
        <w:t xml:space="preserve"> Récupérer ses données de santé dans un format structuré et lisible par machine.</w:t>
      </w:r>
    </w:p>
    <w:p>
      <w:pPr>
        <w:pStyle w:val="Normal1"/>
        <w:numPr>
          <w:ilvl w:val="0"/>
          <w:numId w:val="5"/>
        </w:numPr>
        <w:pBdr/>
        <w:shd w:val="clear" w:fill="auto"/>
        <w:spacing w:lineRule="auto" w:line="273"/>
        <w:ind w:left="590" w:hanging="360"/>
        <w:rPr/>
      </w:pPr>
      <w:r>
        <w:rPr>
          <w:rFonts w:eastAsia="Arial" w:cs="Arial"/>
          <w:b/>
          <w:bCs/>
          <w:color w:val="1F1F1F"/>
        </w:rPr>
        <w:t>Droit d'opposition :</w:t>
      </w:r>
      <w:r>
        <w:rPr>
          <w:rFonts w:eastAsia="Arial" w:cs="Arial"/>
          <w:color w:val="1F1F1F"/>
        </w:rPr>
        <w:t xml:space="preserve"> S'opposer à tout traitement non essentiel des données.</w:t>
      </w:r>
    </w:p>
    <w:p>
      <w:pPr>
        <w:pStyle w:val="Normal1"/>
        <w:pBdr/>
        <w:shd w:val="clear" w:fill="auto"/>
        <w:spacing w:lineRule="auto" w:line="273"/>
        <w:ind w:left="590" w:hanging="0"/>
        <w:rPr>
          <w:color w:val="1F1F1F"/>
        </w:rPr>
      </w:pPr>
      <w:r>
        <w:rPr>
          <w:color w:val="1F1F1F"/>
        </w:rPr>
      </w:r>
    </w:p>
    <w:p>
      <w:pPr>
        <w:pStyle w:val="Normal1"/>
        <w:pBdr/>
        <w:shd w:val="clear" w:fill="auto"/>
        <w:spacing w:lineRule="auto" w:line="273"/>
        <w:rPr>
          <w:rFonts w:ascii="Arial" w:hAnsi="Arial" w:eastAsia="Arial" w:cs="Arial"/>
          <w:b/>
          <w:b/>
          <w:bCs/>
          <w:color w:val="1F1F1F"/>
        </w:rPr>
      </w:pPr>
      <w:r>
        <w:rPr>
          <w:rFonts w:eastAsia="Arial" w:cs="Arial"/>
          <w:b/>
          <w:bCs/>
          <w:color w:val="1F1F1F"/>
        </w:rPr>
        <w:t>7. Contact et Délégué à la Protection des Données (DPO)</w:t>
      </w:r>
    </w:p>
    <w:p>
      <w:pPr>
        <w:pStyle w:val="Normal1"/>
        <w:pBdr/>
        <w:shd w:val="clear" w:fill="auto"/>
        <w:spacing w:lineRule="auto" w:line="273"/>
        <w:rPr/>
      </w:pPr>
      <w:r>
        <w:rPr>
          <w:rFonts w:eastAsia="Arial" w:cs="Arial"/>
          <w:color w:val="1F1F1F"/>
        </w:rPr>
        <w:t>Pour toute question relative à cette politique de confidentialité, à l'hébergement ou pour exercer vos droits, vous pouvez contacter l'équipe de gestion de la conformité de Géripharma directement via l'espace de support de l'application ou par le biais du centre d'assistance dédié.</w:t>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59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1">
      <w:start w:val="1"/>
      <w:numFmt w:val="bullet"/>
      <w:lvlText w:val="○"/>
      <w:lvlJc w:val="left"/>
      <w:pPr>
        <w:ind w:left="14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2">
      <w:start w:val="1"/>
      <w:numFmt w:val="bullet"/>
      <w:lvlText w:val="■"/>
      <w:lvlJc w:val="left"/>
      <w:pPr>
        <w:ind w:left="21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3">
      <w:start w:val="1"/>
      <w:numFmt w:val="bullet"/>
      <w:lvlText w:val="■"/>
      <w:lvlJc w:val="left"/>
      <w:pPr>
        <w:ind w:left="28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4">
      <w:start w:val="1"/>
      <w:numFmt w:val="bullet"/>
      <w:lvlText w:val="■"/>
      <w:lvlJc w:val="left"/>
      <w:pPr>
        <w:ind w:left="360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5">
      <w:start w:val="1"/>
      <w:numFmt w:val="bullet"/>
      <w:lvlText w:val="■"/>
      <w:lvlJc w:val="left"/>
      <w:pPr>
        <w:ind w:left="43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6">
      <w:start w:val="1"/>
      <w:numFmt w:val="bullet"/>
      <w:lvlText w:val="■"/>
      <w:lvlJc w:val="left"/>
      <w:pPr>
        <w:ind w:left="50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7">
      <w:start w:val="1"/>
      <w:numFmt w:val="bullet"/>
      <w:lvlText w:val="■"/>
      <w:lvlJc w:val="left"/>
      <w:pPr>
        <w:ind w:left="57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8">
      <w:start w:val="1"/>
      <w:numFmt w:val="bullet"/>
      <w:lvlText w:val="■"/>
      <w:lvlJc w:val="left"/>
      <w:pPr>
        <w:ind w:left="64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abstractNum>
  <w:abstractNum w:abstractNumId="2">
    <w:lvl w:ilvl="0">
      <w:start w:val="1"/>
      <w:numFmt w:val="bullet"/>
      <w:lvlText w:val="●"/>
      <w:lvlJc w:val="left"/>
      <w:pPr>
        <w:ind w:left="59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1">
      <w:start w:val="1"/>
      <w:numFmt w:val="bullet"/>
      <w:lvlText w:val="○"/>
      <w:lvlJc w:val="left"/>
      <w:pPr>
        <w:ind w:left="14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2">
      <w:start w:val="1"/>
      <w:numFmt w:val="bullet"/>
      <w:lvlText w:val="■"/>
      <w:lvlJc w:val="left"/>
      <w:pPr>
        <w:ind w:left="21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3">
      <w:start w:val="1"/>
      <w:numFmt w:val="bullet"/>
      <w:lvlText w:val="■"/>
      <w:lvlJc w:val="left"/>
      <w:pPr>
        <w:ind w:left="28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4">
      <w:start w:val="1"/>
      <w:numFmt w:val="bullet"/>
      <w:lvlText w:val="■"/>
      <w:lvlJc w:val="left"/>
      <w:pPr>
        <w:ind w:left="360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5">
      <w:start w:val="1"/>
      <w:numFmt w:val="bullet"/>
      <w:lvlText w:val="■"/>
      <w:lvlJc w:val="left"/>
      <w:pPr>
        <w:ind w:left="43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6">
      <w:start w:val="1"/>
      <w:numFmt w:val="bullet"/>
      <w:lvlText w:val="■"/>
      <w:lvlJc w:val="left"/>
      <w:pPr>
        <w:ind w:left="50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7">
      <w:start w:val="1"/>
      <w:numFmt w:val="bullet"/>
      <w:lvlText w:val="■"/>
      <w:lvlJc w:val="left"/>
      <w:pPr>
        <w:ind w:left="57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8">
      <w:start w:val="1"/>
      <w:numFmt w:val="bullet"/>
      <w:lvlText w:val="■"/>
      <w:lvlJc w:val="left"/>
      <w:pPr>
        <w:ind w:left="64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abstractNum>
  <w:abstractNum w:abstractNumId="3">
    <w:lvl w:ilvl="0">
      <w:start w:val="1"/>
      <w:numFmt w:val="bullet"/>
      <w:lvlText w:val="●"/>
      <w:lvlJc w:val="left"/>
      <w:pPr>
        <w:ind w:left="59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1">
      <w:start w:val="1"/>
      <w:numFmt w:val="bullet"/>
      <w:lvlText w:val="○"/>
      <w:lvlJc w:val="left"/>
      <w:pPr>
        <w:ind w:left="14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2">
      <w:start w:val="1"/>
      <w:numFmt w:val="bullet"/>
      <w:lvlText w:val="■"/>
      <w:lvlJc w:val="left"/>
      <w:pPr>
        <w:ind w:left="21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3">
      <w:start w:val="1"/>
      <w:numFmt w:val="bullet"/>
      <w:lvlText w:val="■"/>
      <w:lvlJc w:val="left"/>
      <w:pPr>
        <w:ind w:left="28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4">
      <w:start w:val="1"/>
      <w:numFmt w:val="bullet"/>
      <w:lvlText w:val="■"/>
      <w:lvlJc w:val="left"/>
      <w:pPr>
        <w:ind w:left="360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5">
      <w:start w:val="1"/>
      <w:numFmt w:val="bullet"/>
      <w:lvlText w:val="■"/>
      <w:lvlJc w:val="left"/>
      <w:pPr>
        <w:ind w:left="43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6">
      <w:start w:val="1"/>
      <w:numFmt w:val="bullet"/>
      <w:lvlText w:val="■"/>
      <w:lvlJc w:val="left"/>
      <w:pPr>
        <w:ind w:left="50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7">
      <w:start w:val="1"/>
      <w:numFmt w:val="bullet"/>
      <w:lvlText w:val="■"/>
      <w:lvlJc w:val="left"/>
      <w:pPr>
        <w:ind w:left="57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8">
      <w:start w:val="1"/>
      <w:numFmt w:val="bullet"/>
      <w:lvlText w:val="■"/>
      <w:lvlJc w:val="left"/>
      <w:pPr>
        <w:ind w:left="64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abstractNum>
  <w:abstractNum w:abstractNumId="4">
    <w:lvl w:ilvl="0">
      <w:start w:val="1"/>
      <w:numFmt w:val="bullet"/>
      <w:lvlText w:val="●"/>
      <w:lvlJc w:val="left"/>
      <w:pPr>
        <w:ind w:left="59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1">
      <w:start w:val="1"/>
      <w:numFmt w:val="bullet"/>
      <w:lvlText w:val="○"/>
      <w:lvlJc w:val="left"/>
      <w:pPr>
        <w:ind w:left="14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2">
      <w:start w:val="1"/>
      <w:numFmt w:val="bullet"/>
      <w:lvlText w:val="■"/>
      <w:lvlJc w:val="left"/>
      <w:pPr>
        <w:ind w:left="21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3">
      <w:start w:val="1"/>
      <w:numFmt w:val="bullet"/>
      <w:lvlText w:val="■"/>
      <w:lvlJc w:val="left"/>
      <w:pPr>
        <w:ind w:left="28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4">
      <w:start w:val="1"/>
      <w:numFmt w:val="bullet"/>
      <w:lvlText w:val="■"/>
      <w:lvlJc w:val="left"/>
      <w:pPr>
        <w:ind w:left="360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5">
      <w:start w:val="1"/>
      <w:numFmt w:val="bullet"/>
      <w:lvlText w:val="■"/>
      <w:lvlJc w:val="left"/>
      <w:pPr>
        <w:ind w:left="43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6">
      <w:start w:val="1"/>
      <w:numFmt w:val="bullet"/>
      <w:lvlText w:val="■"/>
      <w:lvlJc w:val="left"/>
      <w:pPr>
        <w:ind w:left="50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7">
      <w:start w:val="1"/>
      <w:numFmt w:val="bullet"/>
      <w:lvlText w:val="■"/>
      <w:lvlJc w:val="left"/>
      <w:pPr>
        <w:ind w:left="57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8">
      <w:start w:val="1"/>
      <w:numFmt w:val="bullet"/>
      <w:lvlText w:val="■"/>
      <w:lvlJc w:val="left"/>
      <w:pPr>
        <w:ind w:left="64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abstractNum>
  <w:abstractNum w:abstractNumId="5">
    <w:lvl w:ilvl="0">
      <w:start w:val="1"/>
      <w:numFmt w:val="bullet"/>
      <w:lvlText w:val="●"/>
      <w:lvlJc w:val="left"/>
      <w:pPr>
        <w:ind w:left="59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1">
      <w:start w:val="1"/>
      <w:numFmt w:val="bullet"/>
      <w:lvlText w:val="○"/>
      <w:lvlJc w:val="left"/>
      <w:pPr>
        <w:ind w:left="14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2">
      <w:start w:val="1"/>
      <w:numFmt w:val="bullet"/>
      <w:lvlText w:val="■"/>
      <w:lvlJc w:val="left"/>
      <w:pPr>
        <w:ind w:left="21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3">
      <w:start w:val="1"/>
      <w:numFmt w:val="bullet"/>
      <w:lvlText w:val="■"/>
      <w:lvlJc w:val="left"/>
      <w:pPr>
        <w:ind w:left="28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4">
      <w:start w:val="1"/>
      <w:numFmt w:val="bullet"/>
      <w:lvlText w:val="■"/>
      <w:lvlJc w:val="left"/>
      <w:pPr>
        <w:ind w:left="360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5">
      <w:start w:val="1"/>
      <w:numFmt w:val="bullet"/>
      <w:lvlText w:val="■"/>
      <w:lvlJc w:val="left"/>
      <w:pPr>
        <w:ind w:left="43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6">
      <w:start w:val="1"/>
      <w:numFmt w:val="bullet"/>
      <w:lvlText w:val="■"/>
      <w:lvlJc w:val="left"/>
      <w:pPr>
        <w:ind w:left="50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7">
      <w:start w:val="1"/>
      <w:numFmt w:val="bullet"/>
      <w:lvlText w:val="■"/>
      <w:lvlJc w:val="left"/>
      <w:pPr>
        <w:ind w:left="57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lvl w:ilvl="8">
      <w:start w:val="1"/>
      <w:numFmt w:val="bullet"/>
      <w:lvlText w:val="■"/>
      <w:lvlJc w:val="left"/>
      <w:pPr>
        <w:ind w:left="64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rFonts w:cs="Arial"/>
        <w:color w:val="000000"/>
      </w:rPr>
    </w:lvl>
  </w:abstractNum>
  <w:abstractNum w:abstractNumId="6">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BE" w:eastAsia="zh-CN" w:bidi="hi-IN"/>
      </w:rPr>
    </w:rPrDefault>
    <w:pPrDefault>
      <w:pPr/>
    </w:pPrDefault>
  </w:docDefaults>
  <w:style w:type="paragraph" w:styleId="Normal">
    <w:name w:val="Normal"/>
    <w:qFormat/>
    <w:pPr>
      <w:widowControl w:val="false"/>
      <w:bidi w:val="0"/>
      <w:spacing w:before="0" w:after="0"/>
      <w:jc w:val="left"/>
    </w:pPr>
    <w:rPr>
      <w:rFonts w:ascii="Arial" w:hAnsi="Arial" w:eastAsia="Arial" w:cs="Arial"/>
      <w:color w:val="auto"/>
      <w:kern w:val="0"/>
      <w:sz w:val="22"/>
      <w:szCs w:val="22"/>
      <w:lang w:val="fr-BE" w:eastAsia="zh-CN" w:bidi="hi-IN"/>
    </w:rPr>
  </w:style>
  <w:style w:type="paragraph" w:styleId="Titre1">
    <w:name w:val="Heading 1"/>
    <w:basedOn w:val="Normal1"/>
    <w:next w:val="Normal1"/>
    <w:qFormat/>
    <w:pPr>
      <w:pBdr/>
      <w:shd w:val="clear" w:fill="auto"/>
      <w:spacing w:lineRule="auto" w:line="240" w:before="240" w:after="240"/>
    </w:pPr>
    <w:rPr>
      <w:b/>
      <w:bCs/>
      <w:i w:val="false"/>
      <w:iCs w:val="false"/>
      <w:sz w:val="48"/>
      <w:szCs w:val="48"/>
    </w:rPr>
  </w:style>
  <w:style w:type="paragraph" w:styleId="Titre2">
    <w:name w:val="Heading 2"/>
    <w:basedOn w:val="Normal1"/>
    <w:next w:val="Normal1"/>
    <w:qFormat/>
    <w:pPr>
      <w:pBdr/>
      <w:shd w:val="clear" w:fill="auto"/>
      <w:spacing w:lineRule="auto" w:line="240" w:before="225" w:after="225"/>
    </w:pPr>
    <w:rPr>
      <w:b/>
      <w:bCs/>
      <w:i w:val="false"/>
      <w:iCs w:val="false"/>
      <w:sz w:val="36"/>
      <w:szCs w:val="36"/>
    </w:rPr>
  </w:style>
  <w:style w:type="paragraph" w:styleId="Titre3">
    <w:name w:val="Heading 3"/>
    <w:basedOn w:val="Normal1"/>
    <w:next w:val="Normal1"/>
    <w:qFormat/>
    <w:pPr>
      <w:pBdr/>
      <w:shd w:val="clear" w:fill="auto"/>
      <w:spacing w:lineRule="auto" w:line="240" w:before="240" w:after="240"/>
    </w:pPr>
    <w:rPr>
      <w:b/>
      <w:bCs/>
      <w:i w:val="false"/>
      <w:iCs w:val="false"/>
      <w:sz w:val="28"/>
      <w:szCs w:val="28"/>
    </w:rPr>
  </w:style>
  <w:style w:type="paragraph" w:styleId="Titre4">
    <w:name w:val="Heading 4"/>
    <w:basedOn w:val="Normal1"/>
    <w:next w:val="Normal1"/>
    <w:qFormat/>
    <w:pPr>
      <w:pBdr/>
      <w:shd w:val="clear" w:fill="auto"/>
      <w:spacing w:lineRule="auto" w:line="240" w:before="255" w:after="255"/>
    </w:pPr>
    <w:rPr>
      <w:b/>
      <w:bCs/>
      <w:i w:val="false"/>
      <w:iCs w:val="false"/>
      <w:sz w:val="24"/>
      <w:szCs w:val="24"/>
    </w:rPr>
  </w:style>
  <w:style w:type="paragraph" w:styleId="Titre5">
    <w:name w:val="Heading 5"/>
    <w:basedOn w:val="Normal1"/>
    <w:next w:val="Normal1"/>
    <w:qFormat/>
    <w:pPr>
      <w:pBdr/>
      <w:shd w:val="clear" w:fill="auto"/>
      <w:spacing w:lineRule="auto" w:line="240" w:before="255" w:after="255"/>
    </w:pPr>
    <w:rPr>
      <w:b/>
      <w:bCs/>
      <w:i w:val="false"/>
      <w:iCs w:val="false"/>
      <w:sz w:val="18"/>
      <w:szCs w:val="18"/>
    </w:rPr>
  </w:style>
  <w:style w:type="paragraph" w:styleId="Titre6">
    <w:name w:val="Heading 6"/>
    <w:basedOn w:val="Normal1"/>
    <w:next w:val="Normal1"/>
    <w:qFormat/>
    <w:pPr>
      <w:pBdr/>
      <w:shd w:val="clear" w:fill="auto"/>
      <w:spacing w:lineRule="auto" w:line="240" w:before="360" w:after="360"/>
    </w:pPr>
    <w:rPr>
      <w:b/>
      <w:bCs/>
      <w:i w:val="false"/>
      <w:iCs w:val="false"/>
      <w:sz w:val="16"/>
      <w:szCs w:val="16"/>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LO-normal"/>
    <w:qFormat/>
    <w:pPr>
      <w:widowControl w:val="false"/>
      <w:bidi w:val="0"/>
      <w:spacing w:before="0" w:after="0"/>
      <w:jc w:val="left"/>
    </w:pPr>
    <w:rPr>
      <w:rFonts w:ascii="Arial" w:hAnsi="Arial" w:eastAsia="Arial" w:cs="Arial"/>
      <w:color w:val="auto"/>
      <w:kern w:val="0"/>
      <w:sz w:val="22"/>
      <w:szCs w:val="22"/>
      <w:lang w:val="fr-BE" w:eastAsia="zh-CN" w:bidi="hi-IN"/>
    </w:rPr>
  </w:style>
  <w:style w:type="paragraph" w:styleId="Titreprincipal">
    <w:name w:val="Title"/>
    <w:basedOn w:val="Normal1"/>
    <w:next w:val="Normal1"/>
    <w:qFormat/>
    <w:pPr>
      <w:keepNext w:val="true"/>
      <w:keepLines/>
      <w:pageBreakBefore w:val="false"/>
      <w:spacing w:lineRule="auto" w:line="240" w:before="480" w:after="120"/>
    </w:pPr>
    <w:rPr>
      <w:b/>
      <w:bCs/>
      <w:sz w:val="72"/>
      <w:szCs w:val="72"/>
    </w:rPr>
  </w:style>
  <w:style w:type="paragraph" w:styleId="Soustitr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LibreOffice/6.3.4.2$Windows_X86_64 LibreOffice_project/60da17e045e08f1793c57c00ba83cdfce946d0aa</Application>
  <Pages>2</Pages>
  <Words>863</Words>
  <Characters>5037</Characters>
  <CharactersWithSpaces>5851</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fr-BE</dc:language>
  <cp:lastModifiedBy/>
  <cp:revision>0</cp:revision>
  <dc:subject/>
  <dc:title/>
</cp:coreProperties>
</file>