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78"/>
          <w:sz w:val="40"/>
        </w:rPr>
        <w:t>Turismo Esportivo Ativo: Quem Participa?</w:t>
      </w:r>
    </w:p>
    <w:p>
      <w:pPr>
        <w:spacing w:after="240"/>
        <w:jc w:val="center"/>
      </w:pPr>
      <w:r>
        <w:rPr>
          <w:rFonts w:ascii="Calibri" w:hAnsi="Calibri"/>
          <w:i/>
          <w:color w:val="595959"/>
          <w:sz w:val="20"/>
        </w:rPr>
        <w:t>HEATHER J. GIBSON</w:t>
        <w:br/>
        <w:t>Department of Recreation, Parks and Tourism, University of Florida, Gainesville, FL 32611, USA</w:t>
      </w:r>
    </w:p>
    <w:p>
      <w:pPr>
        <w:spacing w:after="120" w:line="276" w:lineRule="auto"/>
        <w:jc w:val="both"/>
      </w:pPr>
      <w:r>
        <w:rPr>
          <w:rFonts w:ascii="Calibri" w:hAnsi="Calibri"/>
          <w:color w:val="333333"/>
          <w:sz w:val="22"/>
        </w:rPr>
        <w:t>O turismo esportivo é um dos setores que mais cresce na indústria do turismo. Este artigo analisa o status do turismo esportivo ativo nos EUA. Tomando como ponto de partida os sociólogos do esporte que têm demonstrado repetidamente que o esporte nos EUA ainda é estratificado com base em gênero, classe e raça, entre outros, este artigo examina a noção de que, por sua evasividade, o turismo esportivo ativo ganhou apelo de massa. Quem é o turista esportivo ativo? Os homens têm maior probabilidade de ser turistas esportivos ativos do que as mulheres? O turismo esportivo ativo tornou-se democratizado? Homem, afluente e com ensino superior são características que descrevem o turista esportivo ativo típico. Uma discussão focada em gênero, raça e classe social é usada para examinar os padrões de participação no turismo esportivo ativo e para sugerir futuros caminhos para pesquisa.</w:t>
      </w:r>
    </w:p>
    <w:p>
      <w:pPr>
        <w:keepNext/>
        <w:spacing w:before="320" w:after="120"/>
        <w:jc w:val="left"/>
      </w:pPr>
      <w:r>
        <w:rPr>
          <w:rFonts w:ascii="Calibri" w:hAnsi="Calibri"/>
          <w:b/>
          <w:color w:val="1F4E78"/>
          <w:sz w:val="32"/>
        </w:rPr>
        <w:t>Introdução</w:t>
      </w:r>
    </w:p>
    <w:p>
      <w:pPr>
        <w:spacing w:after="120" w:line="276" w:lineRule="auto"/>
        <w:jc w:val="both"/>
      </w:pPr>
      <w:r>
        <w:rPr>
          <w:rFonts w:ascii="Calibri" w:hAnsi="Calibri"/>
          <w:color w:val="333333"/>
          <w:sz w:val="22"/>
        </w:rPr>
        <w:t>O turismo é a maior indústria do mundo e prevê-se que continue a crescer bem adentro do século XXI (World Travel and Tourism Council, 1993). Cada vez mais, a importância econômica do turismo tem sido reconhecida por governos em todo o mundo. Ao mesmo tempo, a indústria do turismo tornou-se mais sofisticada em seu desenvolvimento e marketing de novas formas de turismo. Termos como turismo de interesse especial (Weiler e Hall, 1992), turismo centrado em atividades (Wahab, 1975; Gartner, 1996) e papéis turísticos (Cohen, 1972; Pearce, 1985; Yiannakis e Gibson, 1992) têm sido usados para descrever a gama crescentemente diversa de tipos de turismo. Priestley (1995) observa que desde a década de 1980 tem havido uma demanda crescente por férias ativas. De fato, um dos segmentos de maior crescimento na indústria do turismo é a viagem relacionada ao esporte e à atividade física. Uma pesquisa recente encomendada pela Marriott International (Elrick e Lavidge, Inc., 1994) constatou que, embora as férias tradicionais de praia e turismo panorâmico continuem a predominar, 22% dos entrevistados relataram que as oportunidades de participar de esportes foram importantes ao selecionar umas férias. Redmond (1991) vai tão longe a ponto de sugerir que "uma relação simbiótica" agora existe entre o esporte e o turismo (p. 107). Uma relação muito lucrativa sob todos os aspectos, já que Lavalle (1997) estima que o turismo esportivo seja uma indústria de 45 bilhões de dólares (EUA).</w:t>
      </w:r>
    </w:p>
    <w:p>
      <w:pPr>
        <w:spacing w:after="120" w:line="276" w:lineRule="auto"/>
        <w:jc w:val="both"/>
      </w:pPr>
      <w:r>
        <w:rPr>
          <w:rFonts w:ascii="Calibri" w:hAnsi="Calibri"/>
          <w:color w:val="333333"/>
          <w:sz w:val="22"/>
        </w:rPr>
        <w:t>O termo turismo esportivo tem sido adotado nos últimos anos para descrever viagens de lazer relacionadas ao esporte (Redmond, 1991; Kurtzman e Zauhar, 1995). Devido à recente conceptualização do turismo esportivo como um assunto digno de atenção acadêmica, a pesquisa ainda é relativamente escassa1. Livros e edições especiais de turismo esportivo de vários periódicos estão por vir, mas no momento o material publicado é limitado. Além disso, poucos acadêmicos adotaram uma visão crítica sobre esta forma emergente de turismo. Entre aqueles que o fizeram, De Knop (1987) alerta para o potencial conflito ambiental e entre residentes e turistas à medida que o turismo esportivo cresce em popularidade. Whitson e Macintosh (1996) adotaram uma perspectiva crítica em sua análise dos benefícios para as cidades decorrentes de sediar eventos esportivos marcantes (hallmark sports events). No entanto, até o momento, poucos acadêmicos estudaram os turistas esportivos ativos, isto é, pessoas que escolhem participar de seus esportes favoritos durante as férias. Os estudos realizados concentraram-se principalmente no desenvolvimento de perfis do turista esportivo típico (Gibson e Yiannakis 1992, 1994; Priestley 1995; Richards 1996; Williams et al. 1996; Gibson et al. 1997). Embora haja necessidade de descobrir quem são esses turistas esportivos, esses estudos não analisaram o perfil do turista esportivo típico dentro do contexto da estratificação social. Os padrões de desigualdade encontrados na instituição do esporte são evidentes no turismo esportivo ativo? Nos EUA, os sociólogos do esporte há muito desmistificam o mito de que o esporte é aberto a todos. Nixon e Frey (1996) apontam que o aumento das taxas de participação em esportes de lazer e atividades físicas é frequentemente usado como evidência de que as distinções de classe e status diminuíram. O golfe, em particular, é um esporte comumente usado para sustentar a noção de que o esporte se democratizou. Na realidade, Nixon e Frey relatam que não apenas a participação no golfe ainda é estratificada com base na classe social, gênero e raça, com uma super-representação de homens brancos de classe média e alta, mas o mesmo padrão é dominante na maioria dos outros esportes.</w:t>
      </w:r>
    </w:p>
    <w:p>
      <w:pPr>
        <w:spacing w:after="120" w:line="276" w:lineRule="auto"/>
        <w:jc w:val="both"/>
      </w:pPr>
      <w:r>
        <w:rPr>
          <w:rFonts w:ascii="Calibri" w:hAnsi="Calibri"/>
          <w:color w:val="333333"/>
          <w:sz w:val="22"/>
        </w:rPr>
        <w:t>O mesmo perfil de participação está emergindo entre os turistas esportivos ativos? Este artigo revisará o status do turismo esportivo ativo nos Estados Unidos. Examinará a noção de que, por sua onipresença, o turismo esportivo ativo ganhou apelo de massa. Algumas das questões a serem abordadas são: Quem é um turista esportivo ativo? Os homens têm maior probabilidade de ser turistas esportivos ativos do que as mulheres? O turismo esportivo se democratizou? Embora algum material seja extraído de pesquisas sobre turismo esportivo ativo (Gibson e Yiannakis, 1992, 1994; Gibson et al., 1997, 1998; Yiannakis e Gibson, 1992), este artigo basear-se-á em uma ampla gama de fontes secundárias, com a visão de que as ideias apresentadas estimularão futuras pesquisas e debates à medida que o estudo do turismo esportivo evolui. O turismo neste artigo é conceituado como uma 'forma especial' de lazer. Como tal, estudos dos campos dos estudos de lazer, sociologia do esporte e turismo serão utilizados para apoiar e explicar algumas das questões abordadas neste ensaio.</w:t>
      </w:r>
    </w:p>
    <w:p>
      <w:pPr>
        <w:keepNext/>
        <w:spacing w:before="320" w:after="120"/>
        <w:jc w:val="left"/>
      </w:pPr>
      <w:r>
        <w:rPr>
          <w:rFonts w:ascii="Calibri" w:hAnsi="Calibri"/>
          <w:b/>
          <w:color w:val="1F4E78"/>
          <w:sz w:val="32"/>
        </w:rPr>
        <w:t>O que é turismo esportivo?</w:t>
      </w:r>
    </w:p>
    <w:p>
      <w:pPr>
        <w:spacing w:after="120" w:line="276" w:lineRule="auto"/>
        <w:jc w:val="both"/>
      </w:pPr>
      <w:r>
        <w:rPr>
          <w:rFonts w:ascii="Calibri" w:hAnsi="Calibri"/>
          <w:color w:val="333333"/>
          <w:sz w:val="22"/>
        </w:rPr>
        <w:t>É geralmente reconhecido que existem três categorias amplas de turismo esportivo: assistir a eventos esportivos, visitar atrações relacionadas ao esporte e participação ativa. A primeira categoria, assistir a eventos esportivos ou Turismo de Eventos Esportivos, inclui eventos marcantes (Hall, 1992a) como os Campeonatos de Futebol da Copa do Mundo da FIFA e os Jogos Olímpicos. A Copa do Mundo de 1994 foi promovida ativamente como uma atração turística, assim como os Jogos Olímpicos realizados em Atlanta em 1996. Durante os preparativos para a Copa do Mundo de 1994, estimou-se que o evento atrairia 50 milhões de visitantes estrangeiros para os EUA, que gastariam 100 bilhões de dólares (EUA) (Gibson, 1995). Torneios patrocinados pela Associação de Golfe Profissional (Professional Golf Association) ou pela Associação Mundial de Tênis (World Tennis Association) também fazem parte do setor de turismo esportivo centrado no espectador. Da mesma forma, o turismo associado a equipes esportivas profissionais e principais equipes universitárias de basquete e futebol americano dos EUA faz parte desta forma de turismo esportivo.</w:t>
      </w:r>
    </w:p>
    <w:p>
      <w:pPr>
        <w:spacing w:after="120" w:line="276" w:lineRule="auto"/>
        <w:jc w:val="both"/>
      </w:pPr>
      <w:r>
        <w:rPr>
          <w:rFonts w:ascii="Calibri" w:hAnsi="Calibri"/>
          <w:color w:val="333333"/>
          <w:sz w:val="22"/>
        </w:rPr>
        <w:t>O segundo tipo de turismo esportivo, Turismo Esportivo de Celebridades e Nostalgia, envolve a visita a famosas atrações relacionadas ao esporte. Visitas a sagas de fama do esporte (halls of fame), como o Basketball Hall of Fame em Springfield, Massachusetts, museus de esporte, como o Museu NASCAR em Charlotte, Carolina do Norte, e locais esportivos famosos, como os estádios olímpicos em Barcelona e Atlanta, enquadram-se nesta categoria. Outra forma de Turismo Esportivo de Celebridades e Nostalgia que emergiu nos últimos anos é conhecer personalidades esportivas famosas em um contexto de férias. A indústria de cruzeiros tem sido muito adepta nesta área. Cruzeiros temáticos de esportes, como o 'Pro-am Golf Cruise' da Norwegian Cruise Lines, ou o 'NBA Basketball Cruise', organizam para que os passageiros conheçam personalidades de seus respectivos esportes enquanto estão a bordo do navio.</w:t>
      </w:r>
    </w:p>
    <w:p>
      <w:pPr>
        <w:spacing w:after="120" w:line="276" w:lineRule="auto"/>
        <w:jc w:val="both"/>
      </w:pPr>
      <w:r>
        <w:rPr>
          <w:rFonts w:ascii="Calibri" w:hAnsi="Calibri"/>
          <w:color w:val="333333"/>
          <w:sz w:val="22"/>
        </w:rPr>
        <w:t>A participação ativa ou Turismo Esportivo Ativo é a terceira categoria de turismo esportivo. Esta é composta por indivíduos que viajam para participar de golfe2, esqui e tênis em particular, embora outros esportes como pesca, mountain bike e mergulho autônomo sejam populares nos EUA. Hall (1992b) subdivide ainda este tipo de turista esportivo em 'Participantes de Atividades' (Activity Participants), que se engajam em viagens relacionadas ao esporte como uma forma de lazer, e 'Hubitantes/Praticantes' (Hobbyists), que são 'jogadores' amadores que viajam para participar de competições em seus esportes escolhidos. Neste artigo, os 'Participantes de Atividades', ou o que será chamado de turista esportivo ativo, serão o foco.</w:t>
      </w:r>
    </w:p>
    <w:p>
      <w:pPr>
        <w:keepNext/>
        <w:spacing w:before="320" w:after="120"/>
        <w:jc w:val="left"/>
      </w:pPr>
      <w:r>
        <w:rPr>
          <w:rFonts w:ascii="Calibri" w:hAnsi="Calibri"/>
          <w:b/>
          <w:color w:val="1F4E78"/>
          <w:sz w:val="32"/>
        </w:rPr>
        <w:t>O crescimento de oportunidades para o turista esportivo ativo</w:t>
      </w:r>
    </w:p>
    <w:p>
      <w:pPr>
        <w:spacing w:after="120" w:line="276" w:lineRule="auto"/>
        <w:jc w:val="both"/>
      </w:pPr>
      <w:r>
        <w:rPr>
          <w:rFonts w:ascii="Calibri" w:hAnsi="Calibri"/>
          <w:color w:val="333333"/>
          <w:sz w:val="22"/>
        </w:rPr>
        <w:t>Apesar do crescimento recente nas oportunidades para o turista esportivo ativo, esse tipo de turismo não é novo. Já em 776 a.C., indivíduos viajavam para participar de competições atléticas em homenagem ao deus Zeus (McIntosh et al., 1995). Ao longo da história, os setores afluentes de uma sociedade frequentemente viajavam para praticar seus esportes favoritos. No final do século XIX, além de tiro ao prato (skeet e trap) e pesca, os hóspedes abastados dos resorts exclusivos do sul dos EUA desfrutavam do jogo de golfe recém-importado. Em meados da década de 1970, estimava-se que 33% de todos os passageiros de linhas aéreas nos EUA eram turistas esportivos (American Society of Travel Agents, 1976). De fato, em estudos de motivação turística, a saúde e os esportes são repetidamente identificados como razões para a escolha de umas férias específicas (Hudman, 1980).</w:t>
      </w:r>
    </w:p>
    <w:p>
      <w:pPr>
        <w:spacing w:after="120" w:line="276" w:lineRule="auto"/>
        <w:jc w:val="both"/>
      </w:pPr>
      <w:r>
        <w:rPr>
          <w:rFonts w:ascii="Calibri" w:hAnsi="Calibri"/>
          <w:color w:val="333333"/>
          <w:sz w:val="22"/>
        </w:rPr>
        <w:t>No entanto, na década de 1990, o número e a diversidade de oportunidades para se engajar no turismo esportivo floresceram (Kurtzman e Zauhar, 1993). Revistas de viagens, jornais, comerciais de televisão e rádio estão repletos de destinos, atrações e eventos focados no esporte e na atividade física. Em particular, os resorts tornaram-se mecas para o turista esportivo ativo. Os resorts tornaram-se sinônimos de suas instalações esportivas e de lazer. 'Campos de golfe excepcionais podem ser um grande atrativo para resorts' (Gee, 1988, p. 175). Já não basta estar localizado junto a belas praias, montanhas espetaculares ou atrações famosas. Redmond (1991) sugere que instalações esportivas e de condicionamento físico de alta qualidade são uma necessidade para que um resort seja um destino turístico de sucesso.</w:t>
      </w:r>
    </w:p>
    <w:p>
      <w:pPr>
        <w:spacing w:after="120" w:line="276" w:lineRule="auto"/>
        <w:jc w:val="both"/>
      </w:pPr>
      <w:r>
        <w:rPr>
          <w:rFonts w:ascii="Calibri" w:hAnsi="Calibri"/>
          <w:color w:val="333333"/>
          <w:sz w:val="22"/>
        </w:rPr>
        <w:t>Historicamente, muitos desses resorts eram destinos de verão para os segmentos afluentes da população, proporcionando-lhes a chance de escapar do calor das cidades. Nas décadas de 1890 e 1900, os resorts de inverno em clima quente começaram a ganhar popularidade. Primeiro a Califórnia, depois a Flórida, surgiram como o destino para os ricos escaparem dos frios invernos do norte. Durante a década de 1930, além dos tradicionais resorts de verão e de inverno em clima quente, surgiram resorts de clima frio à medida que a popularidade do esqui alpino crescia. Sun Valley, Idaho, foi o primeiro resort de esqui com tudo incluído nos EUA. Subsequentemente, resorts de esqui em Aspen e Vail, Colorado, Park City, Utah, e Lake Tahoe, Nevada, entre outros, foram desenvolvidos ao longo deste século. Após alguns períodos financeiramente difíceis em meados deste século, o segmento de resorts da indústria hoteleira cresceu extensivamente. De 1986 a 1989, as taxas de ocupação em resorts aumentaram de 65,8% para 69,6%, superando outros setores da indústria de hospedagem (Acquaro, 1990). De fato, em meados da década de 1980, era evidente que 'as viagens para o golfe geraram uma grande indústria de hotéis, resorts e até mesmo um museu do golfe' (Gee et al., 1989, p. 372).</w:t>
      </w:r>
    </w:p>
    <w:p>
      <w:pPr>
        <w:spacing w:after="120" w:line="276" w:lineRule="auto"/>
        <w:jc w:val="both"/>
      </w:pPr>
      <w:r>
        <w:rPr>
          <w:rFonts w:ascii="Calibri" w:hAnsi="Calibri"/>
          <w:color w:val="333333"/>
          <w:sz w:val="22"/>
        </w:rPr>
        <w:t>Gee (1988) sugere que, embora uma série de tendências demográficas, como o aumento de famílias com dupla renda, casamentos e criação de filhos adiados, tenham tornado os resorts mais acessíveis a um segmento maior da população, o visitante típico de resorts permanece mais afluente e mais bem educado do que muitos outros turistas americanos.</w:t>
      </w:r>
    </w:p>
    <w:p>
      <w:pPr>
        <w:spacing w:after="120" w:line="276" w:lineRule="auto"/>
        <w:jc w:val="both"/>
      </w:pPr>
      <w:r>
        <w:rPr>
          <w:rFonts w:ascii="Calibri" w:hAnsi="Calibri"/>
          <w:color w:val="333333"/>
          <w:sz w:val="22"/>
        </w:rPr>
        <w:t>Embora os resorts sejam reconhecidos como a meca para turistas fisicamente ativos, outros segmentos da indústria de viagens não perderam a chance de atrair o turista esportivo ativo. 'As linhas de cruzeiro também tornaram as atividades esportivas e de condicionamento físico prontamente disponíveis para seus passageiros preocupados com a saúde' (Van Putten, citado em Fusco, 1996, p. 146). A Norwegian Caribbean Line tem quatro diretores de condicionamento físico no SS Norway oferecendo aeróbica, esportes coletivos e aulas de nutrição. A Carnival Cruise lines oferece 'Palestras de Spa e Esporte' (Spa and Sport Talks). A Royal Caribbean Cruises incentiva a participação em seus programas de condicionamento físico oferecendo aos passageiros 'dólares shipshape' como incentivos. Os passageiros a bordo do 'Legend of the Seas' podem até jogar golfe em um campo miniatura de 18 buracos, além de desfrutar de uma academia totalmente equipada, spa e sauna.</w:t>
      </w:r>
    </w:p>
    <w:p>
      <w:pPr>
        <w:spacing w:after="120" w:line="276" w:lineRule="auto"/>
        <w:jc w:val="both"/>
      </w:pPr>
      <w:r>
        <w:rPr>
          <w:rFonts w:ascii="Calibri" w:hAnsi="Calibri"/>
          <w:color w:val="333333"/>
          <w:sz w:val="22"/>
        </w:rPr>
        <w:t>De volta à terra firme, os spas, que há muito estão associados ao turismo de saúde, agora dão maior ênfase à atividade física e ao condicionamento físico. Historicamente, as visitas a spas tinham fins terapêuticos. Mais recentemente, muitos spas mudaram seu foco para 'programas de rejuvenescimento pessoal' (Williams et al., 1996, p. 12). Acquaro (1990) cita a preocupação com a saúde e o condicionamento físico ao explicar o interesse renovado pelas férias em spas na década de 1990. A publicidade dos spas gira em torno do condicionamento físico. No Safety Harbor Resort and Spa na Flórida, 'há 35 aulas de condicionamento físico diariamente'; The Peaks no Colorado oferece 'o condicionamento físico definitivo para o corpo e a mente em um cenário elegante de luxo mimado' (The Spa Finder, 1996). Costin (1996), em um relato de sua experiência no Green Door Spa na Califórnia, escreve que 'o spa serve uma agenda extenuante que faz Jane Fonda parecer uma folgada'.</w:t>
      </w:r>
    </w:p>
    <w:p>
      <w:pPr>
        <w:spacing w:after="120" w:line="276" w:lineRule="auto"/>
        <w:jc w:val="both"/>
      </w:pPr>
      <w:r>
        <w:rPr>
          <w:rFonts w:ascii="Calibri" w:hAnsi="Calibri"/>
          <w:color w:val="333333"/>
          <w:sz w:val="22"/>
        </w:rPr>
        <w:t>Outro segmento da indústria hoteleira que também reconheceu a importância da saúde e do condicionamento físico para os negócios é o segmento de hotéis urbanos: 'Em termos simples, o condicionamento físico vende quartos' (Butwin, 1982, p. 115). Este segmento da indústria de viagens atende principalmente ao viajante de negócios, embora cada vez mais, nos fins de semana, os viajantes a lazer sejam atraídos por esses hotéis. Os gerentes de hotéis rapidamente perceberam que esses viajantes desejam oportunidades para treinar, por isso, clubes de saúde completos, privilégios de convidados em instalações de condicionamento físico próximas, pistas de cooper (jogging) e até acesso a campos de golfe tornaram-se a norma na maioria dos grandes hotéis urbanos.</w:t>
      </w:r>
    </w:p>
    <w:p>
      <w:pPr>
        <w:spacing w:after="120" w:line="276" w:lineRule="auto"/>
        <w:jc w:val="both"/>
      </w:pPr>
      <w:r>
        <w:rPr>
          <w:rFonts w:ascii="Calibri" w:hAnsi="Calibri"/>
          <w:color w:val="333333"/>
          <w:sz w:val="22"/>
        </w:rPr>
        <w:t>Assim, parecem existir amplas oportunidades disponíveis para o turista esportivo ativo. Assume-se geralmente que a 'preocupação nacional com a saúde, condicionamento físico e estilos de vida saudáveis' (Gee, 1988, p. 49) estimulou esse tremendo crescimento no turismo esportivo entre todos os setores da população dos EUA. Martin (1992, p. D4) afirma que 'nestes tempos atléticos, você não fica apenas parado admirando destinos exóticos, você faz caminhadas (hike), flutua, escala, esquia, faz trekking, mergulha, veleja, rema, anda de trenó puxado por cães, a cavalo, mountain bike e caiaque no mar neles'. Quer os veranistas queiram jogar golfe ou tênis, fazer uma aula de aeróbica ou receber instrução em uma atividade de sua escolha, a mensagem predominante na indústria do turismo é que o turismo esportivo é 'o desenvolvimento empreendedor dos anos noventa' (Kurtzman e Zauhar, 1995, p. 1) e, como tal, está ganhando apelo de massa. Será este um verdadeiro reflexo da situação? Uma maneira de responder a esta pergunta é descobrir exatamente quem é o turista esportivo ativo.</w:t>
      </w:r>
    </w:p>
    <w:p>
      <w:pPr>
        <w:keepNext/>
        <w:spacing w:before="320" w:after="120"/>
        <w:jc w:val="left"/>
      </w:pPr>
      <w:r>
        <w:rPr>
          <w:rFonts w:ascii="Calibri" w:hAnsi="Calibri"/>
          <w:b/>
          <w:color w:val="1F4E78"/>
          <w:sz w:val="32"/>
        </w:rPr>
        <w:t>Quem é um turista esportivo ativo?</w:t>
      </w:r>
    </w:p>
    <w:p>
      <w:pPr>
        <w:spacing w:after="120" w:line="276" w:lineRule="auto"/>
        <w:jc w:val="both"/>
      </w:pPr>
      <w:r>
        <w:rPr>
          <w:rFonts w:ascii="Calibri" w:hAnsi="Calibri"/>
          <w:color w:val="333333"/>
          <w:sz w:val="22"/>
        </w:rPr>
        <w:t>Um estereótipo predominante é que os americanos são obcecados por esporte, condicionamento físico e exercício. No entanto, na realidade, se as taxas reais de participação em qualquer forma de atividade física moderada forem examinadas, muito poucos americanos estão envolvidos regularmente. O Relatório do Cirurgião-Geral sobre Atividade Física e Saúde (Surgeon General's Report on Physical Activity and Health), divulgado em 11 de julho de 1996, constatou que menos de 20% dos americanos são 'suficientemente ativos'; 60% dos americanos não são ativos regularmente e 25% dos americanos não são ativos de forma alguma. Kelly (1996, p. 225) sugere que 'a atenção da mídia à saúde e ao condicionamento físico tendeu a exagerar a extensão da participação regular'. Vários estudos desde meados da década de 1980 confirmam essa tese. Warnick e Howard (1985) descobriram que a participação em atividades de lazer ostensivamente de massa, como golfe e tênis, limitava-se a menos de 5% da população adulta. Da mesma forma, Howard (1992), em um estudo sobre os padrões de participação em esportes e condicionamento físico ao longo de um período de dez anos (1980-89), constatou que não apenas as taxas de participação diminuíram ao longo da década, mas que o envolvimento regular em atividades como tênis, raquetebol (racquetball) e aeróbica limitava-se a um segmento muito pequeno da população. Ele descobriu que apenas cerca de 2% da população adulta total respondia por cerca de 75% das taxas totais de participação nas principais atividades físicas. A única atividade que ganhou participantes ao longo da década foi o golfe. Aproximadamente dez milhões a mais de adultos relataram jogar golfe em 1989 em comparação com 1980; Aburdene e Naisbitt (1992) relatam que as mulheres constituem 40% dos novos golfistas desde 1986. Mesmo assim, a participação no golfe representou apenas aproximadamente 10% da população adulta. Além disso, Howard descobriu que, em vez de ganhar terreno, a participação geral das mulheres em esportes e atividades físicas diminuiu ao longo da década. Assim, justamente quando parece que a participação em atividades esportivas e de condicionamento físico é um componente importante do lazer e do turismo de massa, a realidade é que a participação regular em qualquer forma de atividade física é limitada a um segmento muito restrito da população.</w:t>
      </w:r>
    </w:p>
    <w:p>
      <w:pPr>
        <w:spacing w:after="120" w:line="276" w:lineRule="auto"/>
        <w:jc w:val="both"/>
      </w:pPr>
      <w:r>
        <w:rPr>
          <w:rFonts w:ascii="Calibri" w:hAnsi="Calibri"/>
          <w:color w:val="333333"/>
          <w:sz w:val="22"/>
        </w:rPr>
        <w:t>Então, quem são esses americanos fisicamente ativos? Um exame dos padrões de participação de 1993 para esportes e atividades físicas mais comumente associados ao turismo esportivo ativo parece confirmar a tese de que estamos falando de um segmento restrito da população (Tabela 1). Com exceção da natação e da aeróbica, as mulheres relataram taxas de participação mais baixas do que seus equivalentes masculinos (Bureau of the Census, 1995). Além disso, as maiores taxas de participação em todas essas atividades foram relatadas por indivíduos com idades entre 25 e 34 anos (para o tênis, 18-24 anos) com rendas familiares entre 50.000 e 74.999 dólares americanos. É claro que a conclusão a partir dessas estatísticas não deve ser a de que pessoas com mais de 34 anos e que ganham mais ou menos de 50.000-74.999 dólares americanos não participam dessas atividades. Mas os padrões parecem confirmar que diferenças de idade, gênero e renda (como um indicador de classe social) são aparentes entre os americanos que são fisicamente ativos e aqueles que não o são. Além disso, Rudman (1984) descobriu que essas diferenças são acentuadas ao longo do curso da vida. Ele descobriu que, embora a participação no esporte diminua com a idade, homens brancos com níveis mais altos de educação e renda têm maior probabilidade de permanecer ativamente envolvidos em esportes, particularmente esportes individuais como golfe e tênis. Assim, o perfil do americano ativo parece apoiar a tese de Nixon e Frey (1996) de que a participação no esporte ainda é estratificada, apesar da ideologia dominante de abertura e democratização. Como sugere Kidd (1995, p. 232), 'apesar do mito do esporte como o grande igualador, a participação ainda depende fortemente dos recursos financeiros e do capital cultural que a origem de classe proporciona, e isso é estruturado por gênero, etnia e raça'.</w:t>
      </w:r>
    </w:p>
    <w:p>
      <w:pPr>
        <w:spacing w:after="120" w:line="276" w:lineRule="auto"/>
        <w:jc w:val="both"/>
      </w:pPr>
      <w:r>
        <w:rPr>
          <w:rFonts w:ascii="Calibri" w:hAnsi="Calibri"/>
          <w:color w:val="333333"/>
          <w:sz w:val="22"/>
        </w:rPr>
        <w:t>Então, como isso se relaciona com o turismo esportivo ativo? Todos nós conhecemos exemplos em que indivíduos tentaram novas atividades durante as férias. De fato, algumas empresas de viagens e resorts especializam-se em 'aprender a esquiar, jogar golfe, tênis ou velejar', ou em uma lista infindável de atividades durante as férias. No entanto, o padrão que Priestley (1995, p. 212) encontrou em relação às férias de golfe é provavelmente um relato mais preciso da situação. Ele sugere que 'claramente existe uma relação entre o número total de golfistas em um país e o número de turistas de golfe gerados, embora essa relação não seja exatamente proporcional'. Assim, enquanto alguns turistas podem ser motivados pela novidade e mudança associadas ao aprendizado de novas habilidades (Cohen, 1974; Lee e Crompton, 1992), outros podem enfatizar a competência-mestria ou o desenvolvimento pessoal como os principais fatores de impulso na seleção de um estilo de férias específico (Ryan, 1993). Schreiber (1976), em uma investigação sobre viajantes esportivos, descobriu que eles eram motivados por um senso de realização. Eles queriam oportunidades para melhorar suas habilidades existentes e demonstrar sua destreza em seu esporte de escolha. Campos de golfe de campeonato, encostas de esqui black diamond e quadras de tênis com qualidade de torneio fornecem a esses 'consumidores qualificados' (Richards, 1996) a oportunidade de testar suas habilidades em condições preeminentes. Assim, se o número de americanos que participam regularmente de alguma forma de atividade física representa um pequeno segmento da população total, decorre daí que aqueles indivíduos que escolhem férias esportivas constituem uma parcela ainda menor da população?</w:t>
      </w:r>
    </w:p>
    <w:p>
      <w:pPr>
        <w:keepNext/>
        <w:spacing w:before="160" w:after="80"/>
      </w:pPr>
      <w:r>
        <w:rPr>
          <w:rFonts w:ascii="Calibri" w:hAnsi="Calibri"/>
          <w:b/>
          <w:color w:val="1F4E78"/>
          <w:sz w:val="20"/>
        </w:rPr>
        <w:t>Tabela 1. Participação em esportes comumente associados ao turismo esportivo ativo por residentes dos EUA em 1993 (Bureau of the Census, 1995)</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8"/>
          </w:tcPr>
          <w:p>
            <w:pPr>
              <w:spacing w:before="80" w:after="80"/>
              <w:jc w:val="left"/>
            </w:pPr>
            <w:r>
              <w:rPr>
                <w:rFonts w:ascii="Calibri" w:hAnsi="Calibri"/>
                <w:b/>
                <w:color w:val="FFFFFF"/>
                <w:sz w:val="19"/>
              </w:rPr>
              <w:t>Atividade</w:t>
            </w:r>
          </w:p>
        </w:tc>
        <w:tc>
          <w:tcPr>
            <w:tcW w:type="dxa" w:w="1560"/>
            <w:shd w:fill="1F4E78"/>
          </w:tcPr>
          <w:p>
            <w:pPr>
              <w:spacing w:before="80" w:after="80"/>
              <w:jc w:val="center"/>
            </w:pPr>
            <w:r>
              <w:rPr>
                <w:rFonts w:ascii="Calibri" w:hAnsi="Calibri"/>
                <w:b/>
                <w:color w:val="FFFFFF"/>
                <w:sz w:val="19"/>
              </w:rPr>
              <w:t>Classificação</w:t>
              <w:br/>
              <w:t>(1 = maior participação)</w:t>
            </w:r>
          </w:p>
        </w:tc>
        <w:tc>
          <w:tcPr>
            <w:tcW w:type="dxa" w:w="1560"/>
            <w:shd w:fill="1F4E78"/>
          </w:tcPr>
          <w:p>
            <w:pPr>
              <w:spacing w:before="80" w:after="80"/>
              <w:jc w:val="center"/>
            </w:pPr>
            <w:r>
              <w:rPr>
                <w:rFonts w:ascii="Calibri" w:hAnsi="Calibri"/>
                <w:b/>
                <w:color w:val="FFFFFF"/>
                <w:sz w:val="19"/>
              </w:rPr>
              <w:t>Homens</w:t>
            </w:r>
          </w:p>
        </w:tc>
        <w:tc>
          <w:tcPr>
            <w:tcW w:type="dxa" w:w="1560"/>
            <w:shd w:fill="1F4E78"/>
          </w:tcPr>
          <w:p>
            <w:pPr>
              <w:spacing w:before="80" w:after="80"/>
              <w:jc w:val="center"/>
            </w:pPr>
            <w:r>
              <w:rPr>
                <w:rFonts w:ascii="Calibri" w:hAnsi="Calibri"/>
                <w:b/>
                <w:color w:val="FFFFFF"/>
                <w:sz w:val="19"/>
              </w:rPr>
              <w:t>Mulheres</w:t>
            </w:r>
          </w:p>
        </w:tc>
        <w:tc>
          <w:tcPr>
            <w:tcW w:type="dxa" w:w="1560"/>
            <w:shd w:fill="1F4E78"/>
          </w:tcPr>
          <w:p>
            <w:pPr>
              <w:spacing w:before="80" w:after="80"/>
              <w:jc w:val="center"/>
            </w:pPr>
            <w:r>
              <w:rPr>
                <w:rFonts w:ascii="Calibri" w:hAnsi="Calibri"/>
                <w:b/>
                <w:color w:val="FFFFFF"/>
                <w:sz w:val="19"/>
              </w:rPr>
              <w:t>Idade Modal</w:t>
              <w:br/>
              <w:t>(anos)</w:t>
            </w:r>
          </w:p>
        </w:tc>
        <w:tc>
          <w:tcPr>
            <w:tcW w:type="dxa" w:w="1560"/>
            <w:shd w:fill="1F4E78"/>
          </w:tcPr>
          <w:p>
            <w:pPr>
              <w:spacing w:before="80" w:after="80"/>
              <w:jc w:val="center"/>
            </w:pPr>
            <w:r>
              <w:rPr>
                <w:rFonts w:ascii="Calibri" w:hAnsi="Calibri"/>
                <w:b/>
                <w:color w:val="FFFFFF"/>
                <w:sz w:val="19"/>
              </w:rPr>
              <w:t>Renda Modal</w:t>
              <w:br/>
              <w:t>(Dólares, EUA)</w:t>
            </w:r>
          </w:p>
        </w:tc>
      </w:tr>
      <w:tr>
        <w:tc>
          <w:tcPr>
            <w:tcW w:type="dxa" w:w="1560"/>
          </w:tcPr>
          <w:p>
            <w:pPr>
              <w:spacing w:before="80" w:after="80"/>
              <w:jc w:val="left"/>
            </w:pPr>
            <w:r>
              <w:rPr>
                <w:rFonts w:ascii="Calibri" w:hAnsi="Calibri"/>
                <w:color w:val="333333"/>
                <w:sz w:val="19"/>
              </w:rPr>
              <w:t>Aeróbica</w:t>
            </w:r>
          </w:p>
        </w:tc>
        <w:tc>
          <w:tcPr>
            <w:tcW w:type="dxa" w:w="1560"/>
          </w:tcPr>
          <w:p>
            <w:pPr>
              <w:spacing w:before="80" w:after="80"/>
              <w:jc w:val="center"/>
            </w:pPr>
            <w:r>
              <w:rPr>
                <w:rFonts w:ascii="Calibri" w:hAnsi="Calibri"/>
                <w:color w:val="333333"/>
                <w:sz w:val="19"/>
              </w:rPr>
              <w:t>9</w:t>
            </w:r>
          </w:p>
        </w:tc>
        <w:tc>
          <w:tcPr>
            <w:tcW w:type="dxa" w:w="1560"/>
          </w:tcPr>
          <w:p>
            <w:pPr>
              <w:spacing w:before="80" w:after="80"/>
              <w:jc w:val="center"/>
            </w:pPr>
            <w:r>
              <w:rPr>
                <w:rFonts w:ascii="Calibri" w:hAnsi="Calibri"/>
                <w:color w:val="333333"/>
                <w:sz w:val="19"/>
              </w:rPr>
              <w:t>3.527</w:t>
            </w:r>
          </w:p>
        </w:tc>
        <w:tc>
          <w:tcPr>
            <w:tcW w:type="dxa" w:w="1560"/>
          </w:tcPr>
          <w:p>
            <w:pPr>
              <w:spacing w:before="80" w:after="80"/>
              <w:jc w:val="center"/>
            </w:pPr>
            <w:r>
              <w:rPr>
                <w:rFonts w:ascii="Calibri" w:hAnsi="Calibri"/>
                <w:color w:val="333333"/>
                <w:sz w:val="19"/>
              </w:rPr>
              <w:t>21.359</w:t>
            </w:r>
          </w:p>
        </w:tc>
        <w:tc>
          <w:tcPr>
            <w:tcW w:type="dxa" w:w="1560"/>
          </w:tcPr>
          <w:p>
            <w:pPr>
              <w:spacing w:before="80" w:after="80"/>
              <w:jc w:val="center"/>
            </w:pPr>
            <w:r>
              <w:rPr>
                <w:rFonts w:ascii="Calibri" w:hAnsi="Calibri"/>
                <w:color w:val="333333"/>
                <w:sz w:val="19"/>
              </w:rPr>
              <w:t>25-34</w:t>
            </w:r>
          </w:p>
        </w:tc>
        <w:tc>
          <w:tcPr>
            <w:tcW w:type="dxa" w:w="1560"/>
          </w:tcPr>
          <w:p>
            <w:pPr>
              <w:spacing w:before="80" w:after="80"/>
              <w:jc w:val="center"/>
            </w:pPr>
            <w:r>
              <w:rPr>
                <w:rFonts w:ascii="Calibri" w:hAnsi="Calibri"/>
                <w:color w:val="333333"/>
                <w:sz w:val="19"/>
              </w:rPr>
              <w:t>50.000-74.999</w:t>
            </w:r>
          </w:p>
        </w:tc>
      </w:tr>
      <w:tr>
        <w:tc>
          <w:tcPr>
            <w:tcW w:type="dxa" w:w="1560"/>
          </w:tcPr>
          <w:p>
            <w:pPr>
              <w:spacing w:before="80" w:after="80"/>
              <w:jc w:val="left"/>
            </w:pPr>
            <w:r>
              <w:rPr>
                <w:rFonts w:ascii="Calibri" w:hAnsi="Calibri"/>
                <w:color w:val="333333"/>
                <w:sz w:val="19"/>
              </w:rPr>
              <w:t>Golfe</w:t>
            </w:r>
          </w:p>
        </w:tc>
        <w:tc>
          <w:tcPr>
            <w:tcW w:type="dxa" w:w="1560"/>
          </w:tcPr>
          <w:p>
            <w:pPr>
              <w:spacing w:before="80" w:after="80"/>
              <w:jc w:val="center"/>
            </w:pPr>
            <w:r>
              <w:rPr>
                <w:rFonts w:ascii="Calibri" w:hAnsi="Calibri"/>
                <w:color w:val="333333"/>
                <w:sz w:val="19"/>
              </w:rPr>
              <w:t>10</w:t>
            </w:r>
          </w:p>
        </w:tc>
        <w:tc>
          <w:tcPr>
            <w:tcW w:type="dxa" w:w="1560"/>
          </w:tcPr>
          <w:p>
            <w:pPr>
              <w:spacing w:before="80" w:after="80"/>
              <w:jc w:val="center"/>
            </w:pPr>
            <w:r>
              <w:rPr>
                <w:rFonts w:ascii="Calibri" w:hAnsi="Calibri"/>
                <w:color w:val="333333"/>
                <w:sz w:val="19"/>
              </w:rPr>
              <w:t>17.212</w:t>
            </w:r>
          </w:p>
        </w:tc>
        <w:tc>
          <w:tcPr>
            <w:tcW w:type="dxa" w:w="1560"/>
          </w:tcPr>
          <w:p>
            <w:pPr>
              <w:spacing w:before="80" w:after="80"/>
              <w:jc w:val="center"/>
            </w:pPr>
            <w:r>
              <w:rPr>
                <w:rFonts w:ascii="Calibri" w:hAnsi="Calibri"/>
                <w:color w:val="333333"/>
                <w:sz w:val="19"/>
              </w:rPr>
              <w:t>5.421</w:t>
            </w:r>
          </w:p>
        </w:tc>
        <w:tc>
          <w:tcPr>
            <w:tcW w:type="dxa" w:w="1560"/>
          </w:tcPr>
          <w:p>
            <w:pPr>
              <w:spacing w:before="80" w:after="80"/>
              <w:jc w:val="center"/>
            </w:pPr>
            <w:r>
              <w:rPr>
                <w:rFonts w:ascii="Calibri" w:hAnsi="Calibri"/>
                <w:color w:val="333333"/>
                <w:sz w:val="19"/>
              </w:rPr>
              <w:t>25-34</w:t>
            </w:r>
          </w:p>
        </w:tc>
        <w:tc>
          <w:tcPr>
            <w:tcW w:type="dxa" w:w="1560"/>
          </w:tcPr>
          <w:p>
            <w:pPr>
              <w:spacing w:before="80" w:after="80"/>
              <w:jc w:val="center"/>
            </w:pPr>
            <w:r>
              <w:rPr>
                <w:rFonts w:ascii="Calibri" w:hAnsi="Calibri"/>
                <w:color w:val="333333"/>
                <w:sz w:val="19"/>
              </w:rPr>
              <w:t>50.000-74.999</w:t>
            </w:r>
          </w:p>
        </w:tc>
      </w:tr>
      <w:tr>
        <w:tc>
          <w:tcPr>
            <w:tcW w:type="dxa" w:w="1560"/>
          </w:tcPr>
          <w:p>
            <w:pPr>
              <w:spacing w:before="80" w:after="80"/>
              <w:jc w:val="left"/>
            </w:pPr>
            <w:r>
              <w:rPr>
                <w:rFonts w:ascii="Calibri" w:hAnsi="Calibri"/>
                <w:color w:val="333333"/>
                <w:sz w:val="19"/>
              </w:rPr>
              <w:t>Esqui (Alpino)</w:t>
            </w:r>
          </w:p>
        </w:tc>
        <w:tc>
          <w:tcPr>
            <w:tcW w:type="dxa" w:w="1560"/>
          </w:tcPr>
          <w:p>
            <w:pPr>
              <w:spacing w:before="80" w:after="80"/>
              <w:jc w:val="center"/>
            </w:pPr>
            <w:r>
              <w:rPr>
                <w:rFonts w:ascii="Calibri" w:hAnsi="Calibri"/>
                <w:color w:val="333333"/>
                <w:sz w:val="19"/>
              </w:rPr>
              <w:t>22</w:t>
            </w:r>
          </w:p>
        </w:tc>
        <w:tc>
          <w:tcPr>
            <w:tcW w:type="dxa" w:w="1560"/>
          </w:tcPr>
          <w:p>
            <w:pPr>
              <w:spacing w:before="80" w:after="80"/>
              <w:jc w:val="center"/>
            </w:pPr>
            <w:r>
              <w:rPr>
                <w:rFonts w:ascii="Calibri" w:hAnsi="Calibri"/>
                <w:color w:val="333333"/>
                <w:sz w:val="19"/>
              </w:rPr>
              <w:t>6.462</w:t>
            </w:r>
          </w:p>
        </w:tc>
        <w:tc>
          <w:tcPr>
            <w:tcW w:type="dxa" w:w="1560"/>
          </w:tcPr>
          <w:p>
            <w:pPr>
              <w:spacing w:before="80" w:after="80"/>
              <w:jc w:val="center"/>
            </w:pPr>
            <w:r>
              <w:rPr>
                <w:rFonts w:ascii="Calibri" w:hAnsi="Calibri"/>
                <w:color w:val="333333"/>
                <w:sz w:val="19"/>
              </w:rPr>
              <w:t>4.033</w:t>
            </w:r>
          </w:p>
        </w:tc>
        <w:tc>
          <w:tcPr>
            <w:tcW w:type="dxa" w:w="1560"/>
          </w:tcPr>
          <w:p>
            <w:pPr>
              <w:spacing w:before="80" w:after="80"/>
              <w:jc w:val="center"/>
            </w:pPr>
            <w:r>
              <w:rPr>
                <w:rFonts w:ascii="Calibri" w:hAnsi="Calibri"/>
                <w:color w:val="333333"/>
                <w:sz w:val="19"/>
              </w:rPr>
              <w:t>25-34</w:t>
            </w:r>
          </w:p>
        </w:tc>
        <w:tc>
          <w:tcPr>
            <w:tcW w:type="dxa" w:w="1560"/>
          </w:tcPr>
          <w:p>
            <w:pPr>
              <w:spacing w:before="80" w:after="80"/>
              <w:jc w:val="center"/>
            </w:pPr>
            <w:r>
              <w:rPr>
                <w:rFonts w:ascii="Calibri" w:hAnsi="Calibri"/>
                <w:color w:val="333333"/>
                <w:sz w:val="19"/>
              </w:rPr>
              <w:t>50.000-74.999</w:t>
            </w:r>
          </w:p>
        </w:tc>
      </w:tr>
      <w:tr>
        <w:tc>
          <w:tcPr>
            <w:tcW w:type="dxa" w:w="1560"/>
          </w:tcPr>
          <w:p>
            <w:pPr>
              <w:spacing w:before="80" w:after="80"/>
              <w:jc w:val="left"/>
            </w:pPr>
            <w:r>
              <w:rPr>
                <w:rFonts w:ascii="Calibri" w:hAnsi="Calibri"/>
                <w:color w:val="333333"/>
                <w:sz w:val="19"/>
              </w:rPr>
              <w:t>Tênis</w:t>
            </w:r>
          </w:p>
        </w:tc>
        <w:tc>
          <w:tcPr>
            <w:tcW w:type="dxa" w:w="1560"/>
          </w:tcPr>
          <w:p>
            <w:pPr>
              <w:spacing w:before="80" w:after="80"/>
              <w:jc w:val="center"/>
            </w:pPr>
            <w:r>
              <w:rPr>
                <w:rFonts w:ascii="Calibri" w:hAnsi="Calibri"/>
                <w:color w:val="333333"/>
                <w:sz w:val="19"/>
              </w:rPr>
              <w:t>18</w:t>
            </w:r>
          </w:p>
        </w:tc>
        <w:tc>
          <w:tcPr>
            <w:tcW w:type="dxa" w:w="1560"/>
          </w:tcPr>
          <w:p>
            <w:pPr>
              <w:spacing w:before="80" w:after="80"/>
              <w:jc w:val="center"/>
            </w:pPr>
            <w:r>
              <w:rPr>
                <w:rFonts w:ascii="Calibri" w:hAnsi="Calibri"/>
                <w:color w:val="333333"/>
                <w:sz w:val="19"/>
              </w:rPr>
              <w:t>5.896</w:t>
            </w:r>
          </w:p>
        </w:tc>
        <w:tc>
          <w:tcPr>
            <w:tcW w:type="dxa" w:w="1560"/>
          </w:tcPr>
          <w:p>
            <w:pPr>
              <w:spacing w:before="80" w:after="80"/>
              <w:jc w:val="center"/>
            </w:pPr>
            <w:r>
              <w:rPr>
                <w:rFonts w:ascii="Calibri" w:hAnsi="Calibri"/>
                <w:color w:val="333333"/>
                <w:sz w:val="19"/>
              </w:rPr>
              <w:t>1.003</w:t>
            </w:r>
          </w:p>
        </w:tc>
        <w:tc>
          <w:tcPr>
            <w:tcW w:type="dxa" w:w="1560"/>
          </w:tcPr>
          <w:p>
            <w:pPr>
              <w:spacing w:before="80" w:after="80"/>
              <w:jc w:val="center"/>
            </w:pPr>
            <w:r>
              <w:rPr>
                <w:rFonts w:ascii="Calibri" w:hAnsi="Calibri"/>
                <w:color w:val="333333"/>
                <w:sz w:val="19"/>
              </w:rPr>
              <w:t>18-24</w:t>
            </w:r>
          </w:p>
        </w:tc>
        <w:tc>
          <w:tcPr>
            <w:tcW w:type="dxa" w:w="1560"/>
          </w:tcPr>
          <w:p>
            <w:pPr>
              <w:spacing w:before="80" w:after="80"/>
              <w:jc w:val="center"/>
            </w:pPr>
            <w:r>
              <w:rPr>
                <w:rFonts w:ascii="Calibri" w:hAnsi="Calibri"/>
                <w:color w:val="333333"/>
                <w:sz w:val="19"/>
              </w:rPr>
              <w:t>50.000-74.999</w:t>
            </w:r>
          </w:p>
        </w:tc>
      </w:tr>
      <w:tr>
        <w:tc>
          <w:tcPr>
            <w:tcW w:type="dxa" w:w="1560"/>
          </w:tcPr>
          <w:p>
            <w:pPr>
              <w:spacing w:before="80" w:after="80"/>
              <w:jc w:val="left"/>
            </w:pPr>
            <w:r>
              <w:rPr>
                <w:rFonts w:ascii="Calibri" w:hAnsi="Calibri"/>
                <w:color w:val="333333"/>
                <w:sz w:val="19"/>
              </w:rPr>
              <w:t>Natação</w:t>
            </w:r>
          </w:p>
        </w:tc>
        <w:tc>
          <w:tcPr>
            <w:tcW w:type="dxa" w:w="1560"/>
          </w:tcPr>
          <w:p>
            <w:pPr>
              <w:spacing w:before="80" w:after="80"/>
              <w:jc w:val="center"/>
            </w:pPr>
            <w:r>
              <w:rPr>
                <w:rFonts w:ascii="Calibri" w:hAnsi="Calibri"/>
                <w:color w:val="333333"/>
                <w:sz w:val="19"/>
              </w:rPr>
              <w:t>2</w:t>
            </w:r>
          </w:p>
        </w:tc>
        <w:tc>
          <w:tcPr>
            <w:tcW w:type="dxa" w:w="1560"/>
          </w:tcPr>
          <w:p>
            <w:pPr>
              <w:spacing w:before="80" w:after="80"/>
              <w:jc w:val="center"/>
            </w:pPr>
            <w:r>
              <w:rPr>
                <w:rFonts w:ascii="Calibri" w:hAnsi="Calibri"/>
                <w:color w:val="333333"/>
                <w:sz w:val="19"/>
              </w:rPr>
              <w:t>27.713</w:t>
            </w:r>
          </w:p>
        </w:tc>
        <w:tc>
          <w:tcPr>
            <w:tcW w:type="dxa" w:w="1560"/>
          </w:tcPr>
          <w:p>
            <w:pPr>
              <w:spacing w:before="80" w:after="80"/>
              <w:jc w:val="center"/>
            </w:pPr>
            <w:r>
              <w:rPr>
                <w:rFonts w:ascii="Calibri" w:hAnsi="Calibri"/>
                <w:color w:val="333333"/>
                <w:sz w:val="19"/>
              </w:rPr>
              <w:t>33.640</w:t>
            </w:r>
          </w:p>
        </w:tc>
        <w:tc>
          <w:tcPr>
            <w:tcW w:type="dxa" w:w="1560"/>
          </w:tcPr>
          <w:p>
            <w:pPr>
              <w:spacing w:before="80" w:after="80"/>
              <w:jc w:val="center"/>
            </w:pPr>
            <w:r>
              <w:rPr>
                <w:rFonts w:ascii="Calibri" w:hAnsi="Calibri"/>
                <w:color w:val="333333"/>
                <w:sz w:val="19"/>
              </w:rPr>
              <w:t>25-34</w:t>
            </w:r>
          </w:p>
        </w:tc>
        <w:tc>
          <w:tcPr>
            <w:tcW w:type="dxa" w:w="1560"/>
          </w:tcPr>
          <w:p>
            <w:pPr>
              <w:spacing w:before="80" w:after="80"/>
              <w:jc w:val="center"/>
            </w:pPr>
            <w:r>
              <w:rPr>
                <w:rFonts w:ascii="Calibri" w:hAnsi="Calibri"/>
                <w:color w:val="333333"/>
                <w:sz w:val="19"/>
              </w:rPr>
              <w:t>50.000-74.999</w:t>
            </w:r>
          </w:p>
        </w:tc>
      </w:tr>
      <w:tr>
        <w:tc>
          <w:tcPr>
            <w:tcW w:type="dxa" w:w="1560"/>
          </w:tcPr>
          <w:p>
            <w:pPr>
              <w:spacing w:before="80" w:after="80"/>
              <w:jc w:val="left"/>
            </w:pPr>
            <w:r>
              <w:rPr>
                <w:rFonts w:ascii="Calibri" w:hAnsi="Calibri"/>
                <w:color w:val="333333"/>
                <w:sz w:val="19"/>
              </w:rPr>
              <w:t>Exercício (equipamento)</w:t>
            </w:r>
          </w:p>
        </w:tc>
        <w:tc>
          <w:tcPr>
            <w:tcW w:type="dxa" w:w="1560"/>
          </w:tcPr>
          <w:p>
            <w:pPr>
              <w:spacing w:before="80" w:after="80"/>
              <w:jc w:val="center"/>
            </w:pPr>
            <w:r>
              <w:rPr>
                <w:rFonts w:ascii="Calibri" w:hAnsi="Calibri"/>
                <w:color w:val="333333"/>
                <w:sz w:val="19"/>
              </w:rPr>
              <w:t>7</w:t>
            </w:r>
          </w:p>
        </w:tc>
        <w:tc>
          <w:tcPr>
            <w:tcW w:type="dxa" w:w="1560"/>
          </w:tcPr>
          <w:p>
            <w:pPr>
              <w:spacing w:before="80" w:after="80"/>
              <w:jc w:val="center"/>
            </w:pPr>
            <w:r>
              <w:rPr>
                <w:rFonts w:ascii="Calibri" w:hAnsi="Calibri"/>
                <w:color w:val="333333"/>
                <w:sz w:val="19"/>
              </w:rPr>
              <w:t>16.901</w:t>
            </w:r>
          </w:p>
        </w:tc>
        <w:tc>
          <w:tcPr>
            <w:tcW w:type="dxa" w:w="1560"/>
          </w:tcPr>
          <w:p>
            <w:pPr>
              <w:spacing w:before="80" w:after="80"/>
              <w:jc w:val="center"/>
            </w:pPr>
            <w:r>
              <w:rPr>
                <w:rFonts w:ascii="Calibri" w:hAnsi="Calibri"/>
                <w:color w:val="333333"/>
                <w:sz w:val="19"/>
              </w:rPr>
              <w:t>17.999</w:t>
            </w:r>
          </w:p>
        </w:tc>
        <w:tc>
          <w:tcPr>
            <w:tcW w:type="dxa" w:w="1560"/>
          </w:tcPr>
          <w:p>
            <w:pPr>
              <w:spacing w:before="80" w:after="80"/>
              <w:jc w:val="center"/>
            </w:pPr>
            <w:r>
              <w:rPr>
                <w:rFonts w:ascii="Calibri" w:hAnsi="Calibri"/>
                <w:color w:val="333333"/>
                <w:sz w:val="19"/>
              </w:rPr>
              <w:t>25-34</w:t>
            </w:r>
          </w:p>
        </w:tc>
        <w:tc>
          <w:tcPr>
            <w:tcW w:type="dxa" w:w="1560"/>
          </w:tcPr>
          <w:p>
            <w:pPr>
              <w:spacing w:before="80" w:after="80"/>
              <w:jc w:val="center"/>
            </w:pPr>
            <w:r>
              <w:rPr>
                <w:rFonts w:ascii="Calibri" w:hAnsi="Calibri"/>
                <w:color w:val="333333"/>
                <w:sz w:val="19"/>
              </w:rPr>
              <w:t>50.000-74.999</w:t>
            </w:r>
          </w:p>
        </w:tc>
      </w:tr>
      <w:tr>
        <w:tc>
          <w:tcPr>
            <w:tcW w:type="dxa" w:w="1560"/>
          </w:tcPr>
          <w:p>
            <w:pPr>
              <w:spacing w:before="80" w:after="80"/>
              <w:jc w:val="left"/>
            </w:pPr>
            <w:r>
              <w:rPr>
                <w:rFonts w:ascii="Calibri" w:hAnsi="Calibri"/>
                <w:color w:val="333333"/>
                <w:sz w:val="19"/>
              </w:rPr>
              <w:t>Cooper (Jogging)</w:t>
            </w:r>
          </w:p>
        </w:tc>
        <w:tc>
          <w:tcPr>
            <w:tcW w:type="dxa" w:w="1560"/>
          </w:tcPr>
          <w:p>
            <w:pPr>
              <w:spacing w:before="80" w:after="80"/>
              <w:jc w:val="center"/>
            </w:pPr>
            <w:r>
              <w:rPr>
                <w:rFonts w:ascii="Calibri" w:hAnsi="Calibri"/>
                <w:color w:val="333333"/>
                <w:sz w:val="19"/>
              </w:rPr>
              <w:t>12</w:t>
            </w:r>
          </w:p>
        </w:tc>
        <w:tc>
          <w:tcPr>
            <w:tcW w:type="dxa" w:w="1560"/>
          </w:tcPr>
          <w:p>
            <w:pPr>
              <w:spacing w:before="80" w:after="80"/>
              <w:jc w:val="center"/>
            </w:pPr>
            <w:r>
              <w:rPr>
                <w:rFonts w:ascii="Calibri" w:hAnsi="Calibri"/>
                <w:color w:val="333333"/>
                <w:sz w:val="19"/>
              </w:rPr>
              <w:t>11.429</w:t>
            </w:r>
          </w:p>
        </w:tc>
        <w:tc>
          <w:tcPr>
            <w:tcW w:type="dxa" w:w="1560"/>
          </w:tcPr>
          <w:p>
            <w:pPr>
              <w:spacing w:before="80" w:after="80"/>
              <w:jc w:val="center"/>
            </w:pPr>
            <w:r>
              <w:rPr>
                <w:rFonts w:ascii="Calibri" w:hAnsi="Calibri"/>
                <w:color w:val="333333"/>
                <w:sz w:val="19"/>
              </w:rPr>
              <w:t>8.854</w:t>
            </w:r>
          </w:p>
        </w:tc>
        <w:tc>
          <w:tcPr>
            <w:tcW w:type="dxa" w:w="1560"/>
          </w:tcPr>
          <w:p>
            <w:pPr>
              <w:spacing w:before="80" w:after="80"/>
              <w:jc w:val="center"/>
            </w:pPr>
            <w:r>
              <w:rPr>
                <w:rFonts w:ascii="Calibri" w:hAnsi="Calibri"/>
                <w:color w:val="333333"/>
                <w:sz w:val="19"/>
              </w:rPr>
              <w:t>25-34</w:t>
            </w:r>
          </w:p>
        </w:tc>
        <w:tc>
          <w:tcPr>
            <w:tcW w:type="dxa" w:w="1560"/>
          </w:tcPr>
          <w:p>
            <w:pPr>
              <w:spacing w:before="80" w:after="80"/>
              <w:jc w:val="center"/>
            </w:pPr>
            <w:r>
              <w:rPr>
                <w:rFonts w:ascii="Calibri" w:hAnsi="Calibri"/>
                <w:color w:val="333333"/>
                <w:sz w:val="19"/>
              </w:rPr>
              <w:t>50.000-74.999</w:t>
            </w:r>
          </w:p>
        </w:tc>
      </w:tr>
    </w:tbl>
    <w:p>
      <w:pPr>
        <w:spacing w:before="40" w:after="160"/>
      </w:pPr>
      <w:r>
        <w:rPr>
          <w:rFonts w:ascii="Calibri" w:hAnsi="Calibri"/>
          <w:i/>
          <w:color w:val="595959"/>
          <w:sz w:val="18"/>
        </w:rPr>
        <w:t>Baseado em uma amostra de 10.000 domicílios, pessoas com idade igual ou superior a 7 anos.</w:t>
      </w:r>
    </w:p>
    <w:p>
      <w:pPr>
        <w:spacing w:after="120" w:line="276" w:lineRule="auto"/>
        <w:jc w:val="both"/>
      </w:pPr>
      <w:r>
        <w:rPr>
          <w:rFonts w:ascii="Calibri" w:hAnsi="Calibri"/>
          <w:color w:val="333333"/>
          <w:sz w:val="22"/>
        </w:rPr>
        <w:t>Schreiber (1976, p. 86) descreveu o viajante esportivo como 'mais afluente, mais bem educado e mais ativo do que o viajante em geral'. Mais recentemente, em um estudo com 1.277 residentes de Nova Inglaterra (EUA), Gibson e Yiannakis (1994) descobriram que 57,8% dos homens e 44,8% das mulheres pesquisadas relataram gostar de se manter fisicamente ativos e praticar seus esportes favoritos durante as férias. Um terço desses turistas esportivos ativos relatou rendas familiares anuais de 70.000 dólares americanos ou mais (renda média para o Estado de Connecticut 53.848 dólares americanos, 1990). Mais de dois terços (76,4%) desses turistas esportivos ativos tinham ensino superior (49,7% dos residentes de Connecticut tinham algum nível de ensino superior, 1990), e 23,5% haviam obtido diplomas de pós-graduação (PhD, MD (médico), ou JD (advogado)). Attle (1996)3 em uma pesquisa com 800 residentes de Connecticut constatou que, durante suas férias mais recentes, 223 indivíduos relataram ter praticado turismo esportivo ativo. Destes 223 turistas esportivos, 61% eram homens e 39% eram mulheres; 24,2% relataram rendas anuais superiores a 66.000 dólares americanos, e 55,1% tinham ensino superior, com 29,6% possuindo diploma de mestrado ou superior. A partir desta pesquisa, Gibson et al. (1997) desenvolveram um perfil do turista esportivo ativo típico (Tabela 2). Mais uma vez, as características que distinguem os turistas esportivos ativos de outros tipos de turistas são que os turistas esportivos ativos têm maior probabilidade de ser do sexo masculino, afluentes e com ensino superior.</w:t>
      </w:r>
    </w:p>
    <w:p>
      <w:pPr>
        <w:spacing w:after="120" w:line="276" w:lineRule="auto"/>
        <w:jc w:val="both"/>
      </w:pPr>
      <w:r>
        <w:rPr>
          <w:rFonts w:ascii="Calibri" w:hAnsi="Calibri"/>
          <w:color w:val="333333"/>
          <w:sz w:val="22"/>
        </w:rPr>
        <w:t>Ao revisar a literatura relacionada ao turismo, este perfil do turista esportivo ativo é repetidamente corroborado. Gee (1988, p. 498) sugeriu que 'o viajante típico de resort é mais bem educado e está em melhor situação financeira do que o viajante de lazer típico dos EUA'. Gosline (citado em Morse e Lanier, 1992, p. 44) relatou que os golfistas viajantes são relativamente afluentes, com um terço relatando rendas superiores a 50.000 dólares americanos por ano. Esses golfistas 'não são apenas mais ricos e mais velhos do que a população geral dos EUA e os golfistas da nação, mas também jogam consideravelmente mais rodadas do que o golfista médio do país' (Morse e Lanier, 1992, p. 44). Assim, a tese de McMillan (1994, p. 31) de que 'as férias com golfe incluído tornaram-se as férias de todos' é certamente passível de debate. Stoddart (1990) observa que, embora existam mais oportunidades disponíveis para golfistas menos afluentes, o jogo ainda é primariamente o reduto das classes socioeconômicas superiores.</w:t>
      </w:r>
    </w:p>
    <w:p>
      <w:pPr>
        <w:keepNext/>
        <w:spacing w:before="160" w:after="80"/>
      </w:pPr>
      <w:r>
        <w:rPr>
          <w:rFonts w:ascii="Calibri" w:hAnsi="Calibri"/>
          <w:b/>
          <w:color w:val="1F4E78"/>
          <w:sz w:val="20"/>
        </w:rPr>
        <w:t>Tabela 2. Perfil de indivíduos com probabilidade de se engajar em turismo esportivo ativo durante as férias (Gibson et al., 1997)</w:t>
      </w:r>
    </w:p>
    <w:tbl>
      <w:tblPr>
        <w:tblW w:type="auto" w:w="0"/>
        <w:jc w:val="center"/>
        <w:tblLook w:firstColumn="1" w:firstRow="1" w:lastColumn="0" w:lastRow="0" w:noHBand="0" w:noVBand="1" w:val="04A0"/>
      </w:tblPr>
      <w:tblGrid>
        <w:gridCol w:w="9360"/>
      </w:tblGrid>
      <w:tr>
        <w:tc>
          <w:tcPr>
            <w:tcW w:type="dxa" w:w="9360"/>
            <w:shd w:fill="1F4E78"/>
          </w:tcPr>
          <w:p>
            <w:pPr>
              <w:spacing w:before="80" w:after="80"/>
              <w:jc w:val="left"/>
            </w:pPr>
            <w:r>
              <w:rPr>
                <w:rFonts w:ascii="Calibri" w:hAnsi="Calibri"/>
                <w:b/>
                <w:color w:val="FFFFFF"/>
                <w:sz w:val="20"/>
              </w:rPr>
              <w:t>Características do turista esportivo ativo</w:t>
            </w:r>
          </w:p>
        </w:tc>
      </w:tr>
      <w:tr>
        <w:tc>
          <w:tcPr>
            <w:tcW w:type="dxa" w:w="9360"/>
          </w:tcPr>
          <w:p>
            <w:pPr>
              <w:spacing w:before="80" w:after="80"/>
              <w:jc w:val="left"/>
            </w:pPr>
            <w:r>
              <w:rPr>
                <w:rFonts w:ascii="Calibri" w:hAnsi="Calibri"/>
                <w:color w:val="333333"/>
                <w:sz w:val="20"/>
              </w:rPr>
              <w:t>• Maior probabilidade de ser do sexo masculino</w:t>
            </w:r>
          </w:p>
        </w:tc>
      </w:tr>
      <w:tr>
        <w:tc>
          <w:tcPr>
            <w:tcW w:type="dxa" w:w="9360"/>
          </w:tcPr>
          <w:p>
            <w:pPr>
              <w:spacing w:before="80" w:after="80"/>
              <w:jc w:val="left"/>
            </w:pPr>
            <w:r>
              <w:rPr>
                <w:rFonts w:ascii="Calibri" w:hAnsi="Calibri"/>
                <w:color w:val="333333"/>
                <w:sz w:val="20"/>
              </w:rPr>
              <w:t>• Indivíduos afluentes</w:t>
            </w:r>
          </w:p>
        </w:tc>
      </w:tr>
      <w:tr>
        <w:tc>
          <w:tcPr>
            <w:tcW w:type="dxa" w:w="9360"/>
          </w:tcPr>
          <w:p>
            <w:pPr>
              <w:spacing w:before="80" w:after="80"/>
              <w:jc w:val="left"/>
            </w:pPr>
            <w:r>
              <w:rPr>
                <w:rFonts w:ascii="Calibri" w:hAnsi="Calibri"/>
                <w:color w:val="333333"/>
                <w:sz w:val="20"/>
              </w:rPr>
              <w:t>• Com ensino superior</w:t>
            </w:r>
          </w:p>
        </w:tc>
      </w:tr>
      <w:tr>
        <w:tc>
          <w:tcPr>
            <w:tcW w:type="dxa" w:w="9360"/>
          </w:tcPr>
          <w:p>
            <w:pPr>
              <w:spacing w:before="80" w:after="80"/>
              <w:jc w:val="left"/>
            </w:pPr>
            <w:r>
              <w:rPr>
                <w:rFonts w:ascii="Calibri" w:hAnsi="Calibri"/>
                <w:color w:val="333333"/>
                <w:sz w:val="20"/>
              </w:rPr>
              <w:t>• Dispostos a viajar longas distâncias para participar de seus esportes favoritos</w:t>
            </w:r>
          </w:p>
        </w:tc>
      </w:tr>
      <w:tr>
        <w:tc>
          <w:tcPr>
            <w:tcW w:type="dxa" w:w="9360"/>
          </w:tcPr>
          <w:p>
            <w:pPr>
              <w:spacing w:before="80" w:after="80"/>
              <w:jc w:val="left"/>
            </w:pPr>
            <w:r>
              <w:rPr>
                <w:rFonts w:ascii="Calibri" w:hAnsi="Calibri"/>
                <w:color w:val="333333"/>
                <w:sz w:val="20"/>
              </w:rPr>
              <w:t>• Propensos a praticar turismo esportivo ativo até a aposentadoria</w:t>
            </w:r>
          </w:p>
        </w:tc>
      </w:tr>
      <w:tr>
        <w:tc>
          <w:tcPr>
            <w:tcW w:type="dxa" w:w="9360"/>
          </w:tcPr>
          <w:p>
            <w:pPr>
              <w:spacing w:before="80" w:after="80"/>
              <w:jc w:val="left"/>
            </w:pPr>
            <w:r>
              <w:rPr>
                <w:rFonts w:ascii="Calibri" w:hAnsi="Calibri"/>
                <w:color w:val="333333"/>
                <w:sz w:val="20"/>
              </w:rPr>
              <w:t>• Tendem a se engajar em atividades repetidas, ou seja, não são férias de 'uma única vez'</w:t>
            </w:r>
          </w:p>
        </w:tc>
      </w:tr>
    </w:tbl>
    <w:p>
      <w:pPr>
        <w:spacing w:after="80"/>
      </w:pPr>
    </w:p>
    <w:p>
      <w:pPr>
        <w:spacing w:after="120" w:line="276" w:lineRule="auto"/>
        <w:jc w:val="both"/>
      </w:pPr>
      <w:r>
        <w:rPr>
          <w:rFonts w:ascii="Calibri" w:hAnsi="Calibri"/>
          <w:color w:val="333333"/>
          <w:sz w:val="22"/>
        </w:rPr>
        <w:t>Padrões demográficos semelhantes são encontrados em outras práticas de turismo esportivo ativo. Kaae e Lee (1996) descobriram que os esquiadores alpinos e de fundo (cross-country) tendem a ser bem educados e relativamente afluentes. Enquanto números iguais de homens e mulheres participavam do esqui de fundo, menos mulheres eram esquiadoras alpinas. Essa tendência foi confirmada por Williams e Lattey (1994) em sua investigação sobre as restrições enfrentadas pelas mulheres no que diz respeito ao esqui. O padrão oposto parece estar presente no mundo dos spas. Em um anúncio do Doral Saturnia Spa, em Miami, Flórida, a mensagem é que os programas de condicionamento físico são para mulheres enquanto 'os campos de golfe são adjacentes à propriedade e os maridos podem realmente querer se juntar a você neste spa' (All Destinations Travel, 1996). A preços que variam de 2.942 a 4.069 dólares americanos por um 'programa de renovação de spa' de sete noites, a exclusão não ocorre apenas ao longo das linhas de gênero, mas baseia-se também nos recursos financeiros.</w:t>
      </w:r>
    </w:p>
    <w:p>
      <w:pPr>
        <w:keepNext/>
        <w:spacing w:before="320" w:after="120"/>
        <w:jc w:val="left"/>
      </w:pPr>
      <w:r>
        <w:rPr>
          <w:rFonts w:ascii="Calibri" w:hAnsi="Calibri"/>
          <w:b/>
          <w:color w:val="1F4E78"/>
          <w:sz w:val="32"/>
        </w:rPr>
        <w:t>Discussão e implicações para futuras pesquisas no turismo esportivo ativo</w:t>
      </w:r>
    </w:p>
    <w:p>
      <w:pPr>
        <w:spacing w:after="120" w:line="276" w:lineRule="auto"/>
        <w:jc w:val="both"/>
      </w:pPr>
      <w:r>
        <w:rPr>
          <w:rFonts w:ascii="Calibri" w:hAnsi="Calibri"/>
          <w:color w:val="333333"/>
          <w:sz w:val="22"/>
        </w:rPr>
        <w:t>Embora o turismo tenha se tornado cada vez mais acessível a mais e mais pessoas no mundo ocidental ao longo do último século, auxiliado pelo pioneiro do pacote turístico, Thomas Cook, pelo transporte de massa em carros, ônibus, trens e aviões, e por oportunidades de férias remuneradas, entre outros desenvolvimentos, muitas pessoas ainda não viajam por prazer. Em alguns casos, esta é uma escolha consciente; para outros, condições relacionadas à posição social, tais como 'autoconfiança cultural' (vinculada ao nível de educação; Graburn, 1983), ideologia de papéis de gênero (Madrigal et al., 1992), renda (Perlman, 1973) e raça (Philipp, 1993), entre outras, não apenas afetam a propensão para tirar férias, mas também o tipo de férias escolhido. No caso do turismo esportivo ativo, parece que classe e gênero estão correlacionados com a probabilidade de os indivíduos escolherem férias orientadas para o esporte.</w:t>
      </w:r>
    </w:p>
    <w:p>
      <w:pPr>
        <w:spacing w:after="120" w:line="276" w:lineRule="auto"/>
        <w:jc w:val="both"/>
      </w:pPr>
      <w:r>
        <w:rPr>
          <w:rFonts w:ascii="Calibri" w:hAnsi="Calibri"/>
          <w:color w:val="333333"/>
          <w:sz w:val="22"/>
        </w:rPr>
        <w:t>A pesquisa na sociologia do esporte e na sociologia do lazer tem documentado frequentemente a existência de desigualdade na disponibilidade de oportunidades para se engajar em uma ampla gama de experiências de lazer devido a gênero, raça e classe social, entre outras. Disparidades existem entre homens e mulheres em termos de acesso, direito e liberdade de escolha em todos os aspectos do lazer (Deem, 1986; Wearing e Wearing, 1988; Henderson e Bialeschki, 1991). Mais especificamente, a literatura sobre a participação das mulheres no esporte e na atividade física está repleta de exemplos demonstrando como as expectativas sociais tipificadas por gênero influenciam a participação das mulheres no esporte (Greendorfer, 1979; Boutilier e San Giovanni, 1983; Hargreaves, 1990). Mudanças nas definições sociais relativas ao comportamento adequado para as mulheres levaram a um aumento significativo no número de mulheres que participam de esportes em todos os níveis. No entanto, apesar dessa participação aumentada, a distribuição das mulheres em todos os tipos de atividade esportiva não é uniforme (Firebaugh, 1989). Como Jackson e Marsh (1986) descobriram, a atitude de que nem todos os esportes são 'femininos' ainda existe, especialmente se o esporte exige atividade física agressiva. Quais são as implicações potenciais que a continuação da existência de desigualdades de gênero no esporte tem sobre o turismo esportivo ativo como escolha de férias para as mulheres? Um caminho para futuras pesquisas pode ser a viagem em família. Nos EUA, as férias em família ainda são um fenômeno generalizado. Das 856 milhões de viagens pessoais de férias realizadas por americanos em 1988-89, 323 milhões de viagens pessoais foram realizadas por famílias (adultos casados com filhos) (Mason, 1990). As famílias 'vão esquiar', 'fazem mochilão, exploram novas culturas e locais históricos' (Mason, p. 92). Estará a mãe, devido à sua falta de experiência no esporte, condenada a sentar-se na pousada de esqui o dia todo esperando por sua família? Ou, como sugere o anúncio do Doral Saturnia Spa, em Miami, Flórida, ela trabalha para melhorar seu corpo enquanto seu marido joga golfe.</w:t>
      </w:r>
    </w:p>
    <w:p>
      <w:pPr>
        <w:spacing w:after="120" w:line="276" w:lineRule="auto"/>
        <w:jc w:val="both"/>
      </w:pPr>
      <w:r>
        <w:rPr>
          <w:rFonts w:ascii="Calibri" w:hAnsi="Calibri"/>
          <w:color w:val="333333"/>
          <w:sz w:val="22"/>
        </w:rPr>
        <w:t>Diferenças nos padrões e preferências de lazer, esporte e atividade física também têm sido associadas à raça. Embora nenhum dos estudos de turismo esportivo citados tenha abordado a questão da raça e da participação no turismo esportivo ativo, pode-se argumentar que isso deveria ser incluído em pesquisas futuras. No que diz respeito ao golfe, uma das atividades mais populares para turistas esportivos ativos, Stoddart (1990) relata que a associação a clubes de golfe em campos de campeonato ainda é homogênea em termos de gênero, raça, etnia, religião e origem de classe. Certamente, se 'Tiger Woods', a estrela profissional em ascensão do golfe, ainda não pode jogar em alguns campos de golfe nos EUA devido à sua raça (Yu, 1996), isso pode ser indicativo de um padrão mais amplo de discriminação no golfe. Stamps e Stamps (1985) concluíram que a raça é mais importante do que a classe social na formação de padrões de lazer. Embora Floyd et al. (1994) tenham descoberto que há uma interação entre raça e classe em relação às preferências de lazer. De fato, suas descobertas sugerem que os efeitos da raça sobre as preferências de lazer podem ser mediados pela pertença de classe, isto é, os efeitos da raça sobre as preferências de lazer podem operar de forma diferente entre indivíduos de diferentes estratos sociais. Em termos de esporte e atividade física, grande parte da pesquisa nos EUA tem focado na discriminação vivenciada por atletas negros no esporte de elite (Phillips, 1976; Leonard, 1987). Não obstante, Phillips (1993) escreve sobre a estrutura de oportunidades esportivas em que o acesso a esportes como natação e tênis para minorias é limitado por barreiras financeiras e sociais. As melhores instalações, treinamento e oportunidades de praticar esportes como tênis, natação e golfe são encontrados nas escolas mais afluentes e clubes privados. Mais uma vez, há evidências da interação entre raça e classe social.</w:t>
      </w:r>
    </w:p>
    <w:p>
      <w:pPr>
        <w:spacing w:after="120" w:line="276" w:lineRule="auto"/>
        <w:jc w:val="both"/>
      </w:pPr>
      <w:r>
        <w:rPr>
          <w:rFonts w:ascii="Calibri" w:hAnsi="Calibri"/>
          <w:color w:val="333333"/>
          <w:sz w:val="22"/>
        </w:rPr>
        <w:t>Floyd et al. (1994) sugerem que pesquisas futuras precisam abordar a inter-relação entre classe, raça e gênero e os efeitos sobre as preferências de lazer. Esta recomendação também pode ser seguida em estudos futuros sobre turistas esportivos ativos. A ausência de participantes minoritários é particularmente perceptível nas encostas de esqui e em outras atividades de recreação ao ar livre. Como lamenta Harris (1997, p. 108): 'sempre que me encontro na natureza', 'esquiando cross-country no norte de Vermont, fazendo uma caminhada em parte da Trilha dos Apalaches — o meu é quase sempre o único rosto negro por perto'.</w:t>
      </w:r>
    </w:p>
    <w:p>
      <w:pPr>
        <w:spacing w:after="120" w:line="276" w:lineRule="auto"/>
        <w:jc w:val="both"/>
      </w:pPr>
      <w:r>
        <w:rPr>
          <w:rFonts w:ascii="Calibri" w:hAnsi="Calibri"/>
          <w:color w:val="333333"/>
          <w:sz w:val="22"/>
        </w:rPr>
        <w:t>Desde o final da década de 1950, muitos estudiosos do lazer afirmaram que a relação entre classe social e comportamento de lazer é mínima. Com mais tempo livre e maior afluência entre muitos setores da sociedade, sugeriu-se que as diferenças de comportamento baseadas em classe haviam diminuído. Kaplan (1975, p. 93) escreveu: 'passaram-se os dias em que a vida de uma família em suas férias ou outro tempo livre é um reflexo próximo do tipo de trabalho realizado ou de outros critérios de classe'. Roberts (1970) escreveu sobre uma mudança em direção a uma 'democracia do lazer' e explicou as diferenças nas atividades de lazer como resultado de vários pequenos 'públicos de gosto' (taste publics). Critcher (1989, p. 160) sugeriu que 'o lazer pode ser uma área onde as formas de desigualdade de classe são menos importantes', onde os indivíduos 'podem fazer escolhas que não são pré-estruturadas pela estratificação social'. No entanto, muitos estudiosos permaneceram cautelosos quanto a tais generalizações. Parker (1971) argumentou que havia evidências substanciais para documentar a influência contínua da classe sobre os estilos de lazer. Rojek (1985, p. 16) propôs que as relações de lazer não podem ser divorciadas do contexto da estrutura de poder baseada no capitalismo e que, como tal, 'o lazer não é "livre", mas sujeito a alguma forma de restrição'. Da mesma forma, Featherstone (1987) argumentou que os gostos de lazer estão relacionados à estrutura de classe, mais especificamente ao poder relativo de cada estrato de classe. A atenção renovada à questão dos efeitos da estratificação social sobre o esporte e a atividade física dissipou um pouco o mito da democratização (Donnelly, 1993; 1996; Harvey e Donnelly, 1996).</w:t>
      </w:r>
    </w:p>
    <w:p>
      <w:pPr>
        <w:spacing w:after="120" w:line="276" w:lineRule="auto"/>
        <w:jc w:val="both"/>
      </w:pPr>
      <w:r>
        <w:rPr>
          <w:rFonts w:ascii="Calibri" w:hAnsi="Calibri"/>
          <w:color w:val="333333"/>
          <w:sz w:val="22"/>
        </w:rPr>
        <w:t>O apoio à proposição de que o esporte e a atividade física foram democratizados surge mais frequentemente do fato de que, ostensivamente na sociedade atual, atividades que antes eram domínio exclusivo de homens brancos de classe alta são praticadas por pessoas de classe média e trabalhadora, que também podem ser mulheres e não-brancas. No entanto, como sugere Kelly (1989), o lazer é uma ação situada, ou seja, a localização e o estilo de participação podem ser mais influentes na demonstração dos efeitos da estratificação social do que a atividade real. Da mesma forma, Donnelly (1993, p. 417) argumenta que, para que um esporte seja totalmente democratizado, não devemos apenas abordar as oportunidades de participação, mas também 'o direito de estar envolvido na determinação das formas, circunstâncias e significados da participação'. Donnelly sugere que dois processos estão envolvidos na democratização. Não basta fornecer aos indivíduos a oportunidade de participar, mas a oportunidade precisa ser aproveitada por aqueles anteriormente não envolvidos. O problema com o segundo processo, argumenta Donnelly, é que o esporte e as atividades físicas são culturalmente definidos e estão associados a um conjunto de significados culturais. Assim, as classes altas limitam o acesso às suas atividades de lazer não apenas através do custo, mas mais resolutamente no nível ideológico. Dixon (1984) e Robertson e Fletcher (1980) encontraram evidências disso entre a classe trabalhadora. Ambos os estudos descobriram que a participação em esportes como tênis e golfe e a adoção de um estilo de vida orientado para o condicionamento físico em geral não são compatíveis com a cultura e os estilos de vida da classe trabalhadora. Talvez, como sugere Dawson (1986), usando o conceito de capital cultural de Bourdieu para analisar o lazer, seja possível investigar mais efetivamente o papel que o lazer desempenha na reprodução das relações de classe, o que parece ser mais complexo do que a desigualdade econômica isoladamente.</w:t>
      </w:r>
    </w:p>
    <w:p>
      <w:pPr>
        <w:spacing w:after="120" w:line="276" w:lineRule="auto"/>
        <w:jc w:val="both"/>
      </w:pPr>
      <w:r>
        <w:rPr>
          <w:rFonts w:ascii="Calibri" w:hAnsi="Calibri"/>
          <w:color w:val="333333"/>
          <w:sz w:val="22"/>
        </w:rPr>
        <w:t>Então, quais implicações isso tem para o turismo esportivo ativo? É provável que as oportunidades de vida em termos de acesso econômico interajam com os estilos de vida e influenciem a probabilidade de um indivíduo ter o desejo e a autoconfiança para escolher férias relacionadas ao esporte. Estudos têm mostrado que a renda discricionária certamente atua como uma restrição à escolha de lazer (Hultsman et al., 1986). De fato, as barreiras financeiras não podem ser ignoradas, especialmente ao abordar a questão do acesso ao turismo esportivo. Com bilhetes de teleférico de um dia para adultos custando entre 40 e 52 dólares americanos por dia em muitas áreas de esqui dos EUA e uma partida de golfe custando entre 45 e 100 dólares americanos ou mais, somando-se os custos de viagem, hospedagem, equipamentos e roupas, além dos custos para membros adicionais da família, as restrições financeiras não podem ser descartadas. No entanto, a habilidade física e a confiança na própria capacidade, decorrentes do estilo de vida, são significativas, especialmente ao optar por se engajar em esportes e atividades físicas (Harvey e Donnelly, 1996).</w:t>
      </w:r>
    </w:p>
    <w:p>
      <w:pPr>
        <w:spacing w:after="120" w:line="276" w:lineRule="auto"/>
        <w:jc w:val="both"/>
      </w:pPr>
      <w:r>
        <w:rPr>
          <w:rFonts w:ascii="Calibri" w:hAnsi="Calibri"/>
          <w:color w:val="333333"/>
          <w:sz w:val="22"/>
        </w:rPr>
        <w:t>O perfil do turista esportivo típico como relativamente afluente e instruído (e com maior probabilidade de ser do sexo masculino) sugere que o turismo esportivo ativo não se democratizou na medida em que a onipresença do turismo esportivo nos últimos anos poderia indicar. Um caminho para futuras pesquisas pode ser a hipótese de que as tendências recentes em setores da indústria do turismo esportivo nos EUA sugerem que o oposto da democratização pode estar ocorrendo. A indústria de esqui dos EUA pode ser um estudo de caso para tal pesquisa. Por exemplo, Aspen, Colorado, renomada como destino para turistas de alta classe, foi a primeira área de esqui nos EUA a cobrar mais de 50 dólares americanos por um dia de esqui, uma ação que levou muitos residentes do Colorado a reclamar que o esqui estava se tornando muito caro (Associated Press, 1995). Da mesma forma, em Vail, Colorado, os residentes locais expressaram preocupação de que o custo do esqui desencorajasse a próxima geração de esquiadores de adotar o esporte (ibid.). Na costa leste da América, muitos dos resorts outrora de propriedade familiar em Nova Inglaterra foram absorvidos por corporações como a American Skiing Company. Com o que há de mais moderno em equipamentos de teleférico, pousadas recém-reformadas e altas taxas de seguro de responsabilidade civil, muitas das famílias que antes esquiavam nesses resorts não podem mais arcar com seus custos. De fato, uma reclamação civil antitruste foi protocolada contra a fusão proposta entre a American Skiing Company e a S-K-I Ltd. (US Department of Justice, 1996) por medo de que os residentes de Nova Inglaterra fossem excluídos por preços da prática de esqui em suas áreas locais de esqui.</w:t>
      </w:r>
    </w:p>
    <w:p>
      <w:pPr>
        <w:keepNext/>
        <w:spacing w:before="320" w:after="120"/>
        <w:jc w:val="left"/>
      </w:pPr>
      <w:r>
        <w:rPr>
          <w:rFonts w:ascii="Calibri" w:hAnsi="Calibri"/>
          <w:b/>
          <w:color w:val="1F4E78"/>
          <w:sz w:val="32"/>
        </w:rPr>
        <w:t>Conclusões</w:t>
      </w:r>
    </w:p>
    <w:p>
      <w:pPr>
        <w:spacing w:after="120" w:line="276" w:lineRule="auto"/>
        <w:jc w:val="both"/>
      </w:pPr>
      <w:r>
        <w:rPr>
          <w:rFonts w:ascii="Calibri" w:hAnsi="Calibri"/>
          <w:color w:val="333333"/>
          <w:sz w:val="22"/>
        </w:rPr>
        <w:t>O consenso na indústria do turismo parece ser que o turismo esportivo é uma área de crescimento (Kurtzman e Zauhar, 1995). Até mesmo o Walt Disney World na Flórida, o maior parque temático do mundo, reconheceu o valor de fornecer aos hóspedes do resort cinco campos de golfe de nível de campeonato, pistas de cooper, quadras de tênis, instalações de condicionamento físico e uma variedade de atividades náuticas (American Express, 1997). Se, como sugeriu Parkin (1971), o lazer ativo é um agente na reprodução de desigualdades de classe através da exclusão e do solidarismo, à medida que o turismo esportivo ativo ganha mais atenção da comunidade acadêmica, parece haver a necessidade de adotar uma abordagem mais crítica para o estudo deste domínio. Sem esta perspectiva, o turismo esportivo ativo se desenvolverá sem controle e, em pouco tempo, se as tendências atuais continuarem, em vez de se tornar democratizado e aberto a todos (pelo menos às pessoas que gostariam de ser turistas esportivos), independentemente de gênero, raça ou classe, é provável que as férias esportivas se tornem mais exclusivas. Como Priestley (1995, p. 212) já constatou, o mercado de turismo de golfe pode ser diferenciado em três segmentos: a peregrinação a St Andrews, as férias de golfe econômicas e as férias de golfe com requintes de luxo. Com a proliferação do resort abrangente, é o terceiro tipo de férias de golfe que está se tornando a norma, certamente no mercado de viagens dos EUA.</w:t>
      </w:r>
    </w:p>
    <w:p>
      <w:pPr>
        <w:keepNext/>
        <w:spacing w:before="320" w:after="120"/>
        <w:jc w:val="left"/>
      </w:pPr>
      <w:r>
        <w:rPr>
          <w:rFonts w:ascii="Calibri" w:hAnsi="Calibri"/>
          <w:b/>
          <w:color w:val="1F4E78"/>
          <w:sz w:val="32"/>
        </w:rPr>
        <w:t>Notas</w:t>
      </w:r>
    </w:p>
    <w:p>
      <w:pPr>
        <w:spacing w:after="80" w:line="276" w:lineRule="auto"/>
        <w:ind w:left="360"/>
        <w:jc w:val="both"/>
      </w:pPr>
      <w:r>
        <w:rPr>
          <w:rFonts w:ascii="Calibri" w:hAnsi="Calibri"/>
          <w:color w:val="333333"/>
          <w:sz w:val="22"/>
        </w:rPr>
        <w:t>1. Em 1986, o Wingate Institute for Physical Education and Sport sediou um seminário internacional sobre educação ao ar livre, recreação e turismo esportivo. Em 1993, o Journal of Tourism Sport foi lançado pelo Tourism Sport International Council. Desde 1994, o Tourism Sport International Council tem realizado conferências virtuais de turismo esportivo na Internet... Teaming for Success: A Forum on Sport Tourism, organizado pela George Washington University, foi realizado pela primeira vez em março de 1997 e realizará sua segunda reunião em setembro de 1998. Da mesma forma, a Sports Tourism Marketing Conference, organizada pela Illinois Bureau of Tourism e pela Illinois State University, também está em seu segundo ano.</w:t>
      </w:r>
    </w:p>
    <w:p>
      <w:pPr>
        <w:spacing w:after="80" w:line="276" w:lineRule="auto"/>
        <w:ind w:left="360"/>
        <w:jc w:val="both"/>
      </w:pPr>
      <w:r>
        <w:rPr>
          <w:rFonts w:ascii="Calibri" w:hAnsi="Calibri"/>
          <w:color w:val="333333"/>
          <w:sz w:val="22"/>
        </w:rPr>
        <w:t>2. Deve-se notar que o golfe tornou-se a principal atração para muitos resorts não apenas nos EUA, mas em todo o mundo (Priestley, 1995). Entre 1986 e 1990 apenas, houve 8 milhões de novos golfistas (Aburdene e Naisbitt, 1992) e a National Golf Foundation prevê que até o ano 2000 o número de golfistas aumentará para 35 milhões (Gee, 1988).</w:t>
      </w:r>
    </w:p>
    <w:p>
      <w:pPr>
        <w:spacing w:after="80" w:line="276" w:lineRule="auto"/>
        <w:ind w:left="360"/>
        <w:jc w:val="both"/>
      </w:pPr>
      <w:r>
        <w:rPr>
          <w:rFonts w:ascii="Calibri" w:hAnsi="Calibri"/>
          <w:color w:val="333333"/>
          <w:sz w:val="22"/>
        </w:rPr>
        <w:t>3. Attle (1996) usou a escala de papel turístico desenvolvida por Gibson e Yiannakis (1994) para medir a preferência de papel turístico e, neste caso, a preferência pelo turismo esportivo ativo.</w:t>
      </w:r>
    </w:p>
    <w:p>
      <w:pPr>
        <w:keepNext/>
        <w:spacing w:before="320" w:after="120"/>
        <w:jc w:val="left"/>
      </w:pPr>
      <w:r>
        <w:rPr>
          <w:rFonts w:ascii="Calibri" w:hAnsi="Calibri"/>
          <w:b/>
          <w:color w:val="1F4E78"/>
          <w:sz w:val="32"/>
        </w:rPr>
        <w:t>Referências</w:t>
      </w:r>
    </w:p>
    <w:p>
      <w:pPr>
        <w:spacing w:after="60" w:line="252" w:lineRule="auto"/>
        <w:ind w:left="-360" w:firstLine="360"/>
        <w:jc w:val="both"/>
      </w:pPr>
      <w:r>
        <w:rPr>
          <w:rFonts w:ascii="Calibri" w:hAnsi="Calibri"/>
          <w:color w:val="333333"/>
          <w:sz w:val="22"/>
        </w:rPr>
        <w:t>Aburdene, P. e Naisbitt, J. (1992) Megatrends for Women, Villard Books, New York.</w:t>
      </w:r>
    </w:p>
    <w:p>
      <w:pPr>
        <w:spacing w:after="60" w:line="252" w:lineRule="auto"/>
        <w:ind w:left="-360" w:firstLine="360"/>
        <w:jc w:val="both"/>
      </w:pPr>
      <w:r>
        <w:rPr>
          <w:rFonts w:ascii="Calibri" w:hAnsi="Calibri"/>
          <w:color w:val="333333"/>
          <w:sz w:val="22"/>
        </w:rPr>
        <w:t>Acquaro, E. (1990) Major influences on leisure resort travel in the 1990s, em US Travel Data Center 1990 Outlook for Travel &amp; Tourism, Government Printing Office, Washington DC, pp. 87–9.</w:t>
      </w:r>
    </w:p>
    <w:p>
      <w:pPr>
        <w:spacing w:after="60" w:line="252" w:lineRule="auto"/>
        <w:ind w:left="-360" w:firstLine="360"/>
        <w:jc w:val="both"/>
      </w:pPr>
      <w:r>
        <w:rPr>
          <w:rFonts w:ascii="Calibri" w:hAnsi="Calibri"/>
          <w:color w:val="333333"/>
          <w:sz w:val="22"/>
        </w:rPr>
        <w:t>All Destinations Travel (1996) Nancy’s Favorite Health Spas, http://www.alltravel.com/spa.html.</w:t>
      </w:r>
    </w:p>
    <w:p>
      <w:pPr>
        <w:spacing w:after="60" w:line="252" w:lineRule="auto"/>
        <w:ind w:left="-360" w:firstLine="360"/>
        <w:jc w:val="both"/>
      </w:pPr>
      <w:r>
        <w:rPr>
          <w:rFonts w:ascii="Calibri" w:hAnsi="Calibri"/>
          <w:color w:val="333333"/>
          <w:sz w:val="22"/>
        </w:rPr>
        <w:t>American Express (1997) Walt Disney World Guidebook, American Express Travel Related Services Co.</w:t>
      </w:r>
    </w:p>
    <w:p>
      <w:pPr>
        <w:spacing w:after="60" w:line="252" w:lineRule="auto"/>
        <w:ind w:left="-360" w:firstLine="360"/>
        <w:jc w:val="both"/>
      </w:pPr>
      <w:r>
        <w:rPr>
          <w:rFonts w:ascii="Calibri" w:hAnsi="Calibri"/>
          <w:color w:val="333333"/>
          <w:sz w:val="22"/>
        </w:rPr>
        <w:t>American Society of Travel Agents (1976) The Travel Agent’s Guide to Sport Travel, estudo patrocinado pela Boeing Commercial Airplane Company e Sports Illustrated.</w:t>
      </w:r>
    </w:p>
    <w:p>
      <w:pPr>
        <w:spacing w:after="60" w:line="252" w:lineRule="auto"/>
        <w:ind w:left="-360" w:firstLine="360"/>
        <w:jc w:val="both"/>
      </w:pPr>
      <w:r>
        <w:rPr>
          <w:rFonts w:ascii="Calibri" w:hAnsi="Calibri"/>
          <w:color w:val="333333"/>
          <w:sz w:val="22"/>
        </w:rPr>
        <w:t>Associated Press (1995) Skiing: Ski-lift tickets break $50 mark. 11 August. http://www.nando.net/newsroom/ap/oth/1995/oth/mor/feat/archive/081195/mor20114.html.</w:t>
      </w:r>
    </w:p>
    <w:p>
      <w:pPr>
        <w:spacing w:after="60" w:line="252" w:lineRule="auto"/>
        <w:ind w:left="-360" w:firstLine="360"/>
        <w:jc w:val="both"/>
      </w:pPr>
      <w:r>
        <w:rPr>
          <w:rFonts w:ascii="Calibri" w:hAnsi="Calibri"/>
          <w:color w:val="333333"/>
          <w:sz w:val="22"/>
        </w:rPr>
        <w:t>Attle, S. (1996) Tourist role preference and the development of life style profiles: Implications for market segmentation and tourist destination selection. Tese de Doutorado não publicada, University of Connecticut, Storrs, USA.</w:t>
      </w:r>
    </w:p>
    <w:p>
      <w:pPr>
        <w:spacing w:after="60" w:line="252" w:lineRule="auto"/>
        <w:ind w:left="-360" w:firstLine="360"/>
        <w:jc w:val="both"/>
      </w:pPr>
      <w:r>
        <w:rPr>
          <w:rFonts w:ascii="Calibri" w:hAnsi="Calibri"/>
          <w:color w:val="333333"/>
          <w:sz w:val="22"/>
        </w:rPr>
        <w:t>Boutilier, M. e SanGiovanni, L. (1983) The Sporting Woman: Feminist and Sociological Dilemmas, Human Kinetics, Champaign, IL.</w:t>
      </w:r>
    </w:p>
    <w:p>
      <w:pPr>
        <w:spacing w:after="60" w:line="252" w:lineRule="auto"/>
        <w:ind w:left="-360" w:firstLine="360"/>
        <w:jc w:val="both"/>
      </w:pPr>
      <w:r>
        <w:rPr>
          <w:rFonts w:ascii="Calibri" w:hAnsi="Calibri"/>
          <w:color w:val="333333"/>
          <w:sz w:val="22"/>
        </w:rPr>
        <w:t>Bureau of the Census (1995) Statistical Abstracts of the US, 1995: The National Data Book, 115th Edn, Bureau of the Census, Washington DC.</w:t>
      </w:r>
    </w:p>
    <w:p>
      <w:pPr>
        <w:spacing w:after="60" w:line="252" w:lineRule="auto"/>
        <w:ind w:left="-360" w:firstLine="360"/>
        <w:jc w:val="both"/>
      </w:pPr>
      <w:r>
        <w:rPr>
          <w:rFonts w:ascii="Calibri" w:hAnsi="Calibri"/>
          <w:color w:val="333333"/>
          <w:sz w:val="22"/>
        </w:rPr>
        <w:t>Butwin, D. (1982) Hotel exercise facilities help travelers to stay fit, Physician and Sports Medicine 10(1), 115–17.</w:t>
      </w:r>
    </w:p>
    <w:p>
      <w:pPr>
        <w:spacing w:after="60" w:line="252" w:lineRule="auto"/>
        <w:ind w:left="-360" w:firstLine="360"/>
        <w:jc w:val="both"/>
      </w:pPr>
      <w:r>
        <w:rPr>
          <w:rFonts w:ascii="Calibri" w:hAnsi="Calibri"/>
          <w:color w:val="333333"/>
          <w:sz w:val="22"/>
        </w:rPr>
        <w:t>Cohen, E. (1972) Towards a sociology of international tourism, Sociological Research 39, 164–82.</w:t>
      </w:r>
    </w:p>
    <w:p>
      <w:pPr>
        <w:spacing w:after="60" w:line="252" w:lineRule="auto"/>
        <w:ind w:left="-360" w:firstLine="360"/>
        <w:jc w:val="both"/>
      </w:pPr>
      <w:r>
        <w:rPr>
          <w:rFonts w:ascii="Calibri" w:hAnsi="Calibri"/>
          <w:color w:val="333333"/>
          <w:sz w:val="22"/>
        </w:rPr>
        <w:t>Cohen, E. (1974) Who is a tourist?: a conceptual clarification, Sociological Review 22(4), 527–55.</w:t>
      </w:r>
    </w:p>
    <w:p>
      <w:pPr>
        <w:spacing w:after="60" w:line="252" w:lineRule="auto"/>
        <w:ind w:left="-360" w:firstLine="360"/>
        <w:jc w:val="both"/>
      </w:pPr>
      <w:r>
        <w:rPr>
          <w:rFonts w:ascii="Calibri" w:hAnsi="Calibri"/>
          <w:color w:val="333333"/>
          <w:sz w:val="22"/>
        </w:rPr>
        <w:t>Costin, G. (1996) Seductive spas, LA Style issue 34.</w:t>
      </w:r>
    </w:p>
    <w:p>
      <w:pPr>
        <w:spacing w:after="60" w:line="252" w:lineRule="auto"/>
        <w:ind w:left="-360" w:firstLine="360"/>
        <w:jc w:val="both"/>
      </w:pPr>
      <w:r>
        <w:rPr>
          <w:rFonts w:ascii="Calibri" w:hAnsi="Calibri"/>
          <w:color w:val="333333"/>
          <w:sz w:val="22"/>
        </w:rPr>
        <w:t>Critcher, C. (1989) A communication in response to leisure, lifestyle and status, Leisure Studies 8(2), 159–61.</w:t>
      </w:r>
    </w:p>
    <w:p>
      <w:pPr>
        <w:spacing w:after="60" w:line="252" w:lineRule="auto"/>
        <w:ind w:left="-360" w:firstLine="360"/>
        <w:jc w:val="both"/>
      </w:pPr>
      <w:r>
        <w:rPr>
          <w:rFonts w:ascii="Calibri" w:hAnsi="Calibri"/>
          <w:color w:val="333333"/>
          <w:sz w:val="22"/>
        </w:rPr>
        <w:t>Dawson, D. (1986) Leisure and social class: some neglected theoretical considerations, Leisure Sciences 8(1), 47–61.</w:t>
      </w:r>
    </w:p>
    <w:p>
      <w:pPr>
        <w:spacing w:after="60" w:line="252" w:lineRule="auto"/>
        <w:ind w:left="-360" w:firstLine="360"/>
        <w:jc w:val="both"/>
      </w:pPr>
      <w:r>
        <w:rPr>
          <w:rFonts w:ascii="Calibri" w:hAnsi="Calibri"/>
          <w:color w:val="333333"/>
          <w:sz w:val="22"/>
        </w:rPr>
        <w:t>Deem, R. (1986) All work and no play: a study of women and leisure, Open University Press, Milton Keynes, UK.</w:t>
      </w:r>
    </w:p>
    <w:p>
      <w:pPr>
        <w:spacing w:after="60" w:line="252" w:lineRule="auto"/>
        <w:ind w:left="-360" w:firstLine="360"/>
        <w:jc w:val="both"/>
      </w:pPr>
      <w:r>
        <w:rPr>
          <w:rFonts w:ascii="Calibri" w:hAnsi="Calibri"/>
          <w:color w:val="333333"/>
          <w:sz w:val="22"/>
        </w:rPr>
        <w:t>De Knop, P. (1987) Some thoughts on the influence of sport tourism em Proceedings of The International Seminar and Workshop on Outdoor Education, Recreation and Sport Tourism, pp. 38–45. Wingate Institute for Physical Education and Sport, Netanya, Israel.</w:t>
      </w:r>
    </w:p>
    <w:p>
      <w:pPr>
        <w:spacing w:after="60" w:line="252" w:lineRule="auto"/>
        <w:ind w:left="-360" w:firstLine="360"/>
        <w:jc w:val="both"/>
      </w:pPr>
      <w:r>
        <w:rPr>
          <w:rFonts w:ascii="Calibri" w:hAnsi="Calibri"/>
          <w:color w:val="333333"/>
          <w:sz w:val="22"/>
        </w:rPr>
        <w:t>Dixon, M. (1984) Participation in physical activity: Option of privilege? CAHPER Journal 51(1), 13–17.</w:t>
      </w:r>
    </w:p>
    <w:p>
      <w:pPr>
        <w:spacing w:after="60" w:line="252" w:lineRule="auto"/>
        <w:ind w:left="-360" w:firstLine="360"/>
        <w:jc w:val="both"/>
      </w:pPr>
      <w:r>
        <w:rPr>
          <w:rFonts w:ascii="Calibri" w:hAnsi="Calibri"/>
          <w:color w:val="333333"/>
          <w:sz w:val="22"/>
        </w:rPr>
        <w:t>Donnelly, P. (1993) Democratization revisited: seven theses on the democratization of sport and active leisure, Loisir et Societe/Society and Leisure 16(2), 413–34.</w:t>
      </w:r>
    </w:p>
    <w:p>
      <w:pPr>
        <w:spacing w:after="60" w:line="252" w:lineRule="auto"/>
        <w:ind w:left="-360" w:firstLine="360"/>
        <w:jc w:val="both"/>
      </w:pPr>
      <w:r>
        <w:rPr>
          <w:rFonts w:ascii="Calibri" w:hAnsi="Calibri"/>
          <w:color w:val="333333"/>
          <w:sz w:val="22"/>
        </w:rPr>
        <w:t>Donnelly, P. (1996) Approaches to social inequality in the sociology of sport, Quest 48(2), 221–42.</w:t>
      </w:r>
    </w:p>
    <w:p>
      <w:pPr>
        <w:spacing w:after="60" w:line="252" w:lineRule="auto"/>
        <w:ind w:left="-360" w:firstLine="360"/>
        <w:jc w:val="both"/>
      </w:pPr>
      <w:r>
        <w:rPr>
          <w:rFonts w:ascii="Calibri" w:hAnsi="Calibri"/>
          <w:color w:val="333333"/>
          <w:sz w:val="22"/>
        </w:rPr>
        <w:t>Elrick &amp; Lavidge, Inc. (1994) Unmet vacation expectations. Preparado para Marriott International, Washington DC, USA, April.</w:t>
      </w:r>
    </w:p>
    <w:p>
      <w:pPr>
        <w:spacing w:after="60" w:line="252" w:lineRule="auto"/>
        <w:ind w:left="-360" w:firstLine="360"/>
        <w:jc w:val="both"/>
      </w:pPr>
      <w:r>
        <w:rPr>
          <w:rFonts w:ascii="Calibri" w:hAnsi="Calibri"/>
          <w:color w:val="333333"/>
          <w:sz w:val="22"/>
        </w:rPr>
        <w:t>Featherstone, M. (1987) Lifestyle and consumer culture, Theory, Culture and Society 4(1), 55–70.</w:t>
      </w:r>
    </w:p>
    <w:p>
      <w:pPr>
        <w:spacing w:after="60" w:line="252" w:lineRule="auto"/>
        <w:ind w:left="-360" w:firstLine="360"/>
        <w:jc w:val="both"/>
      </w:pPr>
      <w:r>
        <w:rPr>
          <w:rFonts w:ascii="Calibri" w:hAnsi="Calibri"/>
          <w:color w:val="333333"/>
          <w:sz w:val="22"/>
        </w:rPr>
        <w:t>Firebaugh, G. (1989) Gender differences in exercise and sports, Sociology and Social Research 73, 59–66.</w:t>
      </w:r>
    </w:p>
    <w:p>
      <w:pPr>
        <w:spacing w:after="60" w:line="252" w:lineRule="auto"/>
        <w:ind w:left="-360" w:firstLine="360"/>
        <w:jc w:val="both"/>
      </w:pPr>
      <w:r>
        <w:rPr>
          <w:rFonts w:ascii="Calibri" w:hAnsi="Calibri"/>
          <w:color w:val="333333"/>
          <w:sz w:val="22"/>
        </w:rPr>
        <w:t>Floyd, M., Shinew, K., McGuire, F. e Noe, F. (1994) Race, class, and leisure activity preferences: marginality and ethnicity revisited, Journal of Leisure Research 26(2), 158–73.</w:t>
      </w:r>
    </w:p>
    <w:p>
      <w:pPr>
        <w:spacing w:after="60" w:line="252" w:lineRule="auto"/>
        <w:ind w:left="-360" w:firstLine="360"/>
        <w:jc w:val="both"/>
      </w:pPr>
      <w:r>
        <w:rPr>
          <w:rFonts w:ascii="Calibri" w:hAnsi="Calibri"/>
          <w:color w:val="333333"/>
          <w:sz w:val="22"/>
        </w:rPr>
        <w:t>Fusco, M. (1996) Get going on vacation? Cosmopolitan, May, 138–46.</w:t>
      </w:r>
    </w:p>
    <w:p>
      <w:pPr>
        <w:spacing w:after="60" w:line="252" w:lineRule="auto"/>
        <w:ind w:left="-360" w:firstLine="360"/>
        <w:jc w:val="both"/>
      </w:pPr>
      <w:r>
        <w:rPr>
          <w:rFonts w:ascii="Calibri" w:hAnsi="Calibri"/>
          <w:color w:val="333333"/>
          <w:sz w:val="22"/>
        </w:rPr>
        <w:t>Gartner, W. (1996) Tourism Development: Principles, Processes, and Policies, Van Nostrand Reinhold, New York.</w:t>
      </w:r>
    </w:p>
    <w:p>
      <w:pPr>
        <w:spacing w:after="60" w:line="252" w:lineRule="auto"/>
        <w:ind w:left="-360" w:firstLine="360"/>
        <w:jc w:val="both"/>
      </w:pPr>
      <w:r>
        <w:rPr>
          <w:rFonts w:ascii="Calibri" w:hAnsi="Calibri"/>
          <w:color w:val="333333"/>
          <w:sz w:val="22"/>
        </w:rPr>
        <w:t>Gee, C. (1988) Resort Development and Management, Educational Institute of the American Hotel and Motel Association, East Lansing, MI.</w:t>
      </w:r>
    </w:p>
    <w:p>
      <w:pPr>
        <w:spacing w:after="60" w:line="252" w:lineRule="auto"/>
        <w:ind w:left="-360" w:firstLine="360"/>
        <w:jc w:val="both"/>
      </w:pPr>
      <w:r>
        <w:rPr>
          <w:rFonts w:ascii="Calibri" w:hAnsi="Calibri"/>
          <w:color w:val="333333"/>
          <w:sz w:val="22"/>
        </w:rPr>
        <w:t>Gee, C., Makens, J. e Choy, D. (1989) The Travel Industry (2nd Edn), Van Nostrand Reinhold, New York.</w:t>
      </w:r>
    </w:p>
    <w:p>
      <w:pPr>
        <w:spacing w:after="60" w:line="252" w:lineRule="auto"/>
        <w:ind w:left="-360" w:firstLine="360"/>
        <w:jc w:val="both"/>
      </w:pPr>
      <w:r>
        <w:rPr>
          <w:rFonts w:ascii="Calibri" w:hAnsi="Calibri"/>
          <w:color w:val="333333"/>
          <w:sz w:val="22"/>
        </w:rPr>
        <w:t>Gibson, H. (1995) The case of World Cup USA '94, em Sport Tourism (editado por P. De Knopf e J. Standevan) Human Kinetics, Champaign, IL. (no prelo)</w:t>
      </w:r>
    </w:p>
    <w:p>
      <w:pPr>
        <w:spacing w:after="60" w:line="252" w:lineRule="auto"/>
        <w:ind w:left="-360" w:firstLine="360"/>
        <w:jc w:val="both"/>
      </w:pPr>
      <w:r>
        <w:rPr>
          <w:rFonts w:ascii="Calibri" w:hAnsi="Calibri"/>
          <w:color w:val="333333"/>
          <w:sz w:val="22"/>
        </w:rPr>
        <w:t>Gibson, H. e Yiannakis, A. (1992) Some correlates of the Sport Lover (Tourist): A life course perspective. Trabalho apresentado na North American Society for the Sociology of Sport Conference, 4-7 November, Toledo, OH, USA.</w:t>
      </w:r>
    </w:p>
    <w:p>
      <w:pPr>
        <w:spacing w:after="60" w:line="252" w:lineRule="auto"/>
        <w:ind w:left="-360" w:firstLine="360"/>
        <w:jc w:val="both"/>
      </w:pPr>
      <w:r>
        <w:rPr>
          <w:rFonts w:ascii="Calibri" w:hAnsi="Calibri"/>
          <w:color w:val="333333"/>
          <w:sz w:val="22"/>
        </w:rPr>
        <w:t>Gibson, H. e Yiannakis, A. (1994) Some characteristics of sport tourists: a life span perspective. Trabalho apresentado na conferência anual da North American Society for the Sociology of Sport, Savannah, Georgia, 12 November.</w:t>
      </w:r>
    </w:p>
    <w:p>
      <w:pPr>
        <w:spacing w:after="60" w:line="252" w:lineRule="auto"/>
        <w:ind w:left="-360" w:firstLine="360"/>
        <w:jc w:val="both"/>
      </w:pPr>
      <w:r>
        <w:rPr>
          <w:rFonts w:ascii="Calibri" w:hAnsi="Calibri"/>
          <w:color w:val="333333"/>
          <w:sz w:val="22"/>
        </w:rPr>
        <w:t>Gibson, H., Attle, S. e Yiannakis, A. (1997) Segmenting the sport tourist market: a lifespan perspective. Trabalho apresentado em Teaming for Success: A Forum on Sport Tourism, 6-8 March, Arlington, VA.</w:t>
      </w:r>
    </w:p>
    <w:p>
      <w:pPr>
        <w:spacing w:after="60" w:line="252" w:lineRule="auto"/>
        <w:ind w:left="-360" w:firstLine="360"/>
        <w:jc w:val="both"/>
      </w:pPr>
      <w:r>
        <w:rPr>
          <w:rFonts w:ascii="Calibri" w:hAnsi="Calibri"/>
          <w:color w:val="333333"/>
          <w:sz w:val="22"/>
        </w:rPr>
        <w:t>Gibson, H., Attle, S. e Yiannakis, A. (1998) Segmenting the sport tourist market: a lifespan perspective, Journal of Vacation Marketing 4(1), 52-64.</w:t>
      </w:r>
    </w:p>
    <w:p>
      <w:pPr>
        <w:spacing w:after="60" w:line="252" w:lineRule="auto"/>
        <w:ind w:left="-360" w:firstLine="360"/>
        <w:jc w:val="both"/>
      </w:pPr>
      <w:r>
        <w:rPr>
          <w:rFonts w:ascii="Calibri" w:hAnsi="Calibri"/>
          <w:color w:val="333333"/>
          <w:sz w:val="22"/>
        </w:rPr>
        <w:t>Graburn, N. (1983) Americans' vacations: Further comments on class and lifestyle, Annals of Tourism Research 10(2), 270-73.</w:t>
      </w:r>
    </w:p>
    <w:p>
      <w:pPr>
        <w:spacing w:after="60" w:line="252" w:lineRule="auto"/>
        <w:ind w:left="-360" w:firstLine="360"/>
        <w:jc w:val="both"/>
      </w:pPr>
      <w:r>
        <w:rPr>
          <w:rFonts w:ascii="Calibri" w:hAnsi="Calibri"/>
          <w:color w:val="333333"/>
          <w:sz w:val="22"/>
        </w:rPr>
        <w:t>Greendorfer, S. (1979) Differences in childhood socialization influences of women involved in sport and women not involved in sport, em The Dimensions of Sport Sociology (editado por M. L. Krotee) Leisure, West point, NY, pp. 59-72.</w:t>
      </w:r>
    </w:p>
    <w:p>
      <w:pPr>
        <w:spacing w:after="60" w:line="252" w:lineRule="auto"/>
        <w:ind w:left="-360" w:firstLine="360"/>
        <w:jc w:val="both"/>
      </w:pPr>
      <w:r>
        <w:rPr>
          <w:rFonts w:ascii="Calibri" w:hAnsi="Calibri"/>
          <w:color w:val="333333"/>
          <w:sz w:val="22"/>
        </w:rPr>
        <w:t>Hall, C. (1992a) Hallmark Tourist Events, Belhaven Press, London.</w:t>
      </w:r>
    </w:p>
    <w:p>
      <w:pPr>
        <w:spacing w:after="60" w:line="252" w:lineRule="auto"/>
        <w:ind w:left="-360" w:firstLine="360"/>
        <w:jc w:val="both"/>
      </w:pPr>
      <w:r>
        <w:rPr>
          <w:rFonts w:ascii="Calibri" w:hAnsi="Calibri"/>
          <w:color w:val="333333"/>
          <w:sz w:val="22"/>
        </w:rPr>
        <w:t>Hall, C. (1992b) Adventure, sport and health tourism, em Special Interest Tourism (editado por B. Weiler e C. M. Hall) Bellhaven Press, London, pp. 141-58.</w:t>
      </w:r>
    </w:p>
    <w:p>
      <w:pPr>
        <w:spacing w:after="60" w:line="252" w:lineRule="auto"/>
        <w:ind w:left="-360" w:firstLine="360"/>
        <w:jc w:val="both"/>
      </w:pPr>
      <w:r>
        <w:rPr>
          <w:rFonts w:ascii="Calibri" w:hAnsi="Calibri"/>
          <w:color w:val="333333"/>
          <w:sz w:val="22"/>
        </w:rPr>
        <w:t>Hargreaves, J. (1990) Gender on the sports agenda, International Review for the Sociology of Sport 25(4), 287-308.</w:t>
      </w:r>
    </w:p>
    <w:p>
      <w:pPr>
        <w:spacing w:after="60" w:line="252" w:lineRule="auto"/>
        <w:ind w:left="-360" w:firstLine="360"/>
        <w:jc w:val="both"/>
      </w:pPr>
      <w:r>
        <w:rPr>
          <w:rFonts w:ascii="Calibri" w:hAnsi="Calibri"/>
          <w:color w:val="333333"/>
          <w:sz w:val="22"/>
        </w:rPr>
        <w:t>Harris, E. (1997) Solo Faces, Outside, December, 106-10, 177-78.</w:t>
      </w:r>
    </w:p>
    <w:p>
      <w:pPr>
        <w:spacing w:after="60" w:line="252" w:lineRule="auto"/>
        <w:ind w:left="-360" w:firstLine="360"/>
        <w:jc w:val="both"/>
      </w:pPr>
      <w:r>
        <w:rPr>
          <w:rFonts w:ascii="Calibri" w:hAnsi="Calibri"/>
          <w:color w:val="333333"/>
          <w:sz w:val="22"/>
        </w:rPr>
        <w:t>Harvey, J. e Donnelly, P. (1996) Bringing class back in: the case of access to sport and physical activity. Trabalho apresentado na North American Society for the Sociology of Sport Conference, Birmingham, Al, 13-16 November.</w:t>
      </w:r>
    </w:p>
    <w:p>
      <w:pPr>
        <w:spacing w:after="60" w:line="252" w:lineRule="auto"/>
        <w:ind w:left="-360" w:firstLine="360"/>
        <w:jc w:val="both"/>
      </w:pPr>
      <w:r>
        <w:rPr>
          <w:rFonts w:ascii="Calibri" w:hAnsi="Calibri"/>
          <w:color w:val="333333"/>
          <w:sz w:val="22"/>
        </w:rPr>
        <w:t>Henderson, K. e Bialeschki, M. (1991) A sense of entitlement to leisure as constraint and empowerment for women, Leisure Sciences 13(1), 51-65.</w:t>
      </w:r>
    </w:p>
    <w:p>
      <w:pPr>
        <w:spacing w:after="60" w:line="252" w:lineRule="auto"/>
        <w:ind w:left="-360" w:firstLine="360"/>
        <w:jc w:val="both"/>
      </w:pPr>
      <w:r>
        <w:rPr>
          <w:rFonts w:ascii="Calibri" w:hAnsi="Calibri"/>
          <w:color w:val="333333"/>
          <w:sz w:val="22"/>
        </w:rPr>
        <w:t>Howard, D. (1992) Participation rates in selected sport and fitness activities, Journal of Sport Management 6(2), 191-205.</w:t>
      </w:r>
    </w:p>
    <w:p>
      <w:pPr>
        <w:spacing w:after="60" w:line="252" w:lineRule="auto"/>
        <w:ind w:left="-360" w:firstLine="360"/>
        <w:jc w:val="both"/>
      </w:pPr>
      <w:r>
        <w:rPr>
          <w:rFonts w:ascii="Calibri" w:hAnsi="Calibri"/>
          <w:color w:val="333333"/>
          <w:sz w:val="22"/>
        </w:rPr>
        <w:t>Hudman, (1980) Tourism: A Shrinking World, Grid Inc, Columbus, OH.</w:t>
      </w:r>
    </w:p>
    <w:p>
      <w:pPr>
        <w:spacing w:after="60" w:line="252" w:lineRule="auto"/>
        <w:ind w:left="-360" w:firstLine="360"/>
        <w:jc w:val="both"/>
      </w:pPr>
      <w:r>
        <w:rPr>
          <w:rFonts w:ascii="Calibri" w:hAnsi="Calibri"/>
          <w:color w:val="333333"/>
          <w:sz w:val="22"/>
        </w:rPr>
        <w:t>Hultsman, W., Kaufman, J. e Kaufman, J. (eds) (1986) Special populations: the economically disadvantaged, A Literature Review: The President's Commission on Americans in the Outdoors, pp. Special-76-7, Government Printing Office, Washington DC.</w:t>
      </w:r>
    </w:p>
    <w:p>
      <w:pPr>
        <w:spacing w:after="60" w:line="252" w:lineRule="auto"/>
        <w:ind w:left="-360" w:firstLine="360"/>
        <w:jc w:val="both"/>
      </w:pPr>
      <w:r>
        <w:rPr>
          <w:rFonts w:ascii="Calibri" w:hAnsi="Calibri"/>
          <w:color w:val="333333"/>
          <w:sz w:val="22"/>
        </w:rPr>
        <w:t>Jackson, S. e Marsh, H. (1986) Athletic or antisocial? The female sport experience, Journal of Sport Psychology 8(3), 198-211.</w:t>
      </w:r>
    </w:p>
    <w:p>
      <w:pPr>
        <w:spacing w:after="60" w:line="252" w:lineRule="auto"/>
        <w:ind w:left="-360" w:firstLine="360"/>
        <w:jc w:val="both"/>
      </w:pPr>
      <w:r>
        <w:rPr>
          <w:rFonts w:ascii="Calibri" w:hAnsi="Calibri"/>
          <w:color w:val="333333"/>
          <w:sz w:val="22"/>
        </w:rPr>
        <w:t>Kaae, B. e Lee, R. (1996) The Use of Lifestyle in Outdoor Recreation Research. Trabalho apresentado no 1996 World Congress of the World Leisure and Recreation Association, Cardiff, Wales, UK, 15-19 July.</w:t>
      </w:r>
    </w:p>
    <w:p>
      <w:pPr>
        <w:spacing w:after="60" w:line="252" w:lineRule="auto"/>
        <w:ind w:left="-360" w:firstLine="360"/>
        <w:jc w:val="both"/>
      </w:pPr>
      <w:r>
        <w:rPr>
          <w:rFonts w:ascii="Calibri" w:hAnsi="Calibri"/>
          <w:color w:val="333333"/>
          <w:sz w:val="22"/>
        </w:rPr>
        <w:t>Kaplan, M. (1975) Leisure: Theory and Policy, John Wiley, New York.</w:t>
      </w:r>
    </w:p>
    <w:p>
      <w:pPr>
        <w:spacing w:after="60" w:line="252" w:lineRule="auto"/>
        <w:ind w:left="-360" w:firstLine="360"/>
        <w:jc w:val="both"/>
      </w:pPr>
      <w:r>
        <w:rPr>
          <w:rFonts w:ascii="Calibri" w:hAnsi="Calibri"/>
          <w:color w:val="333333"/>
          <w:sz w:val="22"/>
        </w:rPr>
        <w:t>Kelly, J. (1989) Leisure behaviors and styles: Social, economic, and cultural factors, em Understanding Leisure and Recreation: Mapping the Past, Charting the Future, (editado por E. Jackson e T. Burton) Venture Publishing Inc. State College, PA, pp. 89-112.</w:t>
      </w:r>
    </w:p>
    <w:p>
      <w:pPr>
        <w:spacing w:after="60" w:line="252" w:lineRule="auto"/>
        <w:ind w:left="-360" w:firstLine="360"/>
        <w:jc w:val="both"/>
      </w:pPr>
      <w:r>
        <w:rPr>
          <w:rFonts w:ascii="Calibri" w:hAnsi="Calibri"/>
          <w:color w:val="333333"/>
          <w:sz w:val="22"/>
        </w:rPr>
        <w:t>Kelly, J. (1996) Leisure. (3rd edn), Allyn &amp; Bacon, Needham Heights, MA.</w:t>
      </w:r>
    </w:p>
    <w:p>
      <w:pPr>
        <w:spacing w:after="60" w:line="252" w:lineRule="auto"/>
        <w:ind w:left="-360" w:firstLine="360"/>
        <w:jc w:val="both"/>
      </w:pPr>
      <w:r>
        <w:rPr>
          <w:rFonts w:ascii="Calibri" w:hAnsi="Calibri"/>
          <w:color w:val="333333"/>
          <w:sz w:val="22"/>
        </w:rPr>
        <w:t>Kidd, B. (1995) Inequality in sport, the corporation, and the state: an agenda for social scientists, Journal of Sport and Social Issues 19(3), 232-48.</w:t>
      </w:r>
    </w:p>
    <w:p>
      <w:pPr>
        <w:spacing w:after="60" w:line="252" w:lineRule="auto"/>
        <w:ind w:left="-360" w:firstLine="360"/>
        <w:jc w:val="both"/>
      </w:pPr>
      <w:r>
        <w:rPr>
          <w:rFonts w:ascii="Calibri" w:hAnsi="Calibri"/>
          <w:color w:val="333333"/>
          <w:sz w:val="22"/>
        </w:rPr>
        <w:t>Kurtzman, J. e Zauhar, J. (1993) Research: sport as a touristic endeavour, Journal of Tourism Sport 1(1).</w:t>
      </w:r>
    </w:p>
    <w:p>
      <w:pPr>
        <w:spacing w:after="60" w:line="252" w:lineRule="auto"/>
        <w:ind w:left="-360" w:firstLine="360"/>
        <w:jc w:val="both"/>
      </w:pPr>
      <w:r>
        <w:rPr>
          <w:rFonts w:ascii="Calibri" w:hAnsi="Calibri"/>
          <w:color w:val="333333"/>
          <w:sz w:val="22"/>
        </w:rPr>
        <w:t>Lavalle, N. (1997) Understanding today's and tomorrow's sport tourist. Trabalho apresentado em Teaming for Success: A Forum on Sport Tourism, 6-8 March, Arlington, VA.</w:t>
      </w:r>
    </w:p>
    <w:p>
      <w:pPr>
        <w:spacing w:after="60" w:line="252" w:lineRule="auto"/>
        <w:ind w:left="-360" w:firstLine="360"/>
        <w:jc w:val="both"/>
      </w:pPr>
      <w:r>
        <w:rPr>
          <w:rFonts w:ascii="Calibri" w:hAnsi="Calibri"/>
          <w:color w:val="333333"/>
          <w:sz w:val="22"/>
        </w:rPr>
        <w:t>Lee, T. e Crompton, J. (1992) Measuring novelty seeking in tourism, Annals of Tourism Research 19(4), 732–51.</w:t>
      </w:r>
    </w:p>
    <w:p>
      <w:pPr>
        <w:spacing w:after="60" w:line="252" w:lineRule="auto"/>
        <w:ind w:left="-360" w:firstLine="360"/>
        <w:jc w:val="both"/>
      </w:pPr>
      <w:r>
        <w:rPr>
          <w:rFonts w:ascii="Calibri" w:hAnsi="Calibri"/>
          <w:color w:val="333333"/>
          <w:sz w:val="22"/>
        </w:rPr>
        <w:t>Leonard, W. (1987) Stacking in college basketball: a neglected analysis, Sociology of Sport Journal 4(4), 403–9.</w:t>
      </w:r>
    </w:p>
    <w:p>
      <w:pPr>
        <w:spacing w:after="60" w:line="252" w:lineRule="auto"/>
        <w:ind w:left="-360" w:firstLine="360"/>
        <w:jc w:val="both"/>
      </w:pPr>
      <w:r>
        <w:rPr>
          <w:rFonts w:ascii="Calibri" w:hAnsi="Calibri"/>
          <w:color w:val="333333"/>
          <w:sz w:val="22"/>
        </w:rPr>
        <w:t>Madrigal, R., Havitz, M. e Howard, D. (1992) Married couples’ involvement with family vacations, Leisure Sciences 14(4), 287–301.</w:t>
      </w:r>
    </w:p>
    <w:p>
      <w:pPr>
        <w:spacing w:after="60" w:line="252" w:lineRule="auto"/>
        <w:ind w:left="-360" w:firstLine="360"/>
        <w:jc w:val="both"/>
      </w:pPr>
      <w:r>
        <w:rPr>
          <w:rFonts w:ascii="Calibri" w:hAnsi="Calibri"/>
          <w:color w:val="333333"/>
          <w:sz w:val="22"/>
        </w:rPr>
        <w:t>Martin, K. (1992) The fit and adventuresome can now vacation by skate, Hartford Courant 13 December, D4.</w:t>
      </w:r>
    </w:p>
    <w:p>
      <w:pPr>
        <w:spacing w:after="60" w:line="252" w:lineRule="auto"/>
        <w:ind w:left="-360" w:firstLine="360"/>
        <w:jc w:val="both"/>
      </w:pPr>
      <w:r>
        <w:rPr>
          <w:rFonts w:ascii="Calibri" w:hAnsi="Calibri"/>
          <w:color w:val="333333"/>
          <w:sz w:val="22"/>
        </w:rPr>
        <w:t>Mason, P. (1990) 1990 Outlook for family vacation travel, em US Travel Data Center, 1990 Outlook for Travel &amp; Tourism, Government Printing Office, Washington DC, pp. 91–5.</w:t>
      </w:r>
    </w:p>
    <w:p>
      <w:pPr>
        <w:spacing w:after="60" w:line="252" w:lineRule="auto"/>
        <w:ind w:left="-360" w:firstLine="360"/>
        <w:jc w:val="both"/>
      </w:pPr>
      <w:r>
        <w:rPr>
          <w:rFonts w:ascii="Calibri" w:hAnsi="Calibri"/>
          <w:color w:val="333333"/>
          <w:sz w:val="22"/>
        </w:rPr>
        <w:t>McIntosh, R., Goeldner, C. e Brent Ritchie, J. (1995) Tourism: Principles, Practices, Philosophies, John Wiley &amp; Sons Inc, New York.</w:t>
      </w:r>
    </w:p>
    <w:p>
      <w:pPr>
        <w:spacing w:after="60" w:line="252" w:lineRule="auto"/>
        <w:ind w:left="-360" w:firstLine="360"/>
        <w:jc w:val="both"/>
      </w:pPr>
      <w:r>
        <w:rPr>
          <w:rFonts w:ascii="Calibri" w:hAnsi="Calibri"/>
          <w:color w:val="333333"/>
          <w:sz w:val="22"/>
        </w:rPr>
        <w:t>McMillan, R. (1994). Winter greens: where golfers and non-golfers hit par together, Travel Holiday November, 31–4.</w:t>
      </w:r>
    </w:p>
    <w:p>
      <w:pPr>
        <w:spacing w:after="60" w:line="252" w:lineRule="auto"/>
        <w:ind w:left="-360" w:firstLine="360"/>
        <w:jc w:val="both"/>
      </w:pPr>
      <w:r>
        <w:rPr>
          <w:rFonts w:ascii="Calibri" w:hAnsi="Calibri"/>
          <w:color w:val="333333"/>
          <w:sz w:val="22"/>
        </w:rPr>
        <w:t>Morse, S. e Lanier, P. (1992) Golf resorts – driving into the ‘90s, The Cornell Hotel and Restaurant Administration Quarterly 33(4), 44–8.</w:t>
      </w:r>
    </w:p>
    <w:p>
      <w:pPr>
        <w:spacing w:after="60" w:line="252" w:lineRule="auto"/>
        <w:ind w:left="-360" w:firstLine="360"/>
        <w:jc w:val="both"/>
      </w:pPr>
      <w:r>
        <w:rPr>
          <w:rFonts w:ascii="Calibri" w:hAnsi="Calibri"/>
          <w:color w:val="333333"/>
          <w:sz w:val="22"/>
        </w:rPr>
        <w:t>Nixon, H. e Frey, J. (1996) A Sociology of Sport, Wadsworth Publishing Co, Belmont, CA.</w:t>
      </w:r>
    </w:p>
    <w:p>
      <w:pPr>
        <w:spacing w:after="60" w:line="252" w:lineRule="auto"/>
        <w:ind w:left="-360" w:firstLine="360"/>
        <w:jc w:val="both"/>
      </w:pPr>
      <w:r>
        <w:rPr>
          <w:rFonts w:ascii="Calibri" w:hAnsi="Calibri"/>
          <w:color w:val="333333"/>
          <w:sz w:val="22"/>
        </w:rPr>
        <w:t>Parker, S. (1971) The Future of Work and Leisure, Praeger, New York.</w:t>
      </w:r>
    </w:p>
    <w:p>
      <w:pPr>
        <w:spacing w:after="60" w:line="252" w:lineRule="auto"/>
        <w:ind w:left="-360" w:firstLine="360"/>
        <w:jc w:val="both"/>
      </w:pPr>
      <w:r>
        <w:rPr>
          <w:rFonts w:ascii="Calibri" w:hAnsi="Calibri"/>
          <w:color w:val="333333"/>
          <w:sz w:val="22"/>
        </w:rPr>
        <w:t>Parkin, F. (1971) Class Inequality and Political Order, Praeger, New York.</w:t>
      </w:r>
    </w:p>
    <w:p>
      <w:pPr>
        <w:spacing w:after="60" w:line="252" w:lineRule="auto"/>
        <w:ind w:left="-360" w:firstLine="360"/>
        <w:jc w:val="both"/>
      </w:pPr>
      <w:r>
        <w:rPr>
          <w:rFonts w:ascii="Calibri" w:hAnsi="Calibri"/>
          <w:color w:val="333333"/>
          <w:sz w:val="22"/>
        </w:rPr>
        <w:t>Pearce, P. (1985) A systematic comparison of travel related roles, Human Relations 38(11), 1001–11.</w:t>
      </w:r>
    </w:p>
    <w:p>
      <w:pPr>
        <w:spacing w:after="60" w:line="252" w:lineRule="auto"/>
        <w:ind w:left="-360" w:firstLine="360"/>
        <w:jc w:val="both"/>
      </w:pPr>
      <w:r>
        <w:rPr>
          <w:rFonts w:ascii="Calibri" w:hAnsi="Calibri"/>
          <w:color w:val="333333"/>
          <w:sz w:val="22"/>
        </w:rPr>
        <w:t>Perlman, R. (1973) Vacations-for whom? Social Policy 4 July/August, 50–5.</w:t>
      </w:r>
    </w:p>
    <w:p>
      <w:pPr>
        <w:spacing w:after="60" w:line="252" w:lineRule="auto"/>
        <w:ind w:left="-360" w:firstLine="360"/>
        <w:jc w:val="both"/>
      </w:pPr>
      <w:r>
        <w:rPr>
          <w:rFonts w:ascii="Calibri" w:hAnsi="Calibri"/>
          <w:color w:val="333333"/>
          <w:sz w:val="22"/>
        </w:rPr>
        <w:t>Philipp, S. (1993) Racial differences in the perceived attractiveness of tourism destinations, interests, and cultural resources, Journal of Leisure Research 25(3), 290–304.</w:t>
      </w:r>
    </w:p>
    <w:p>
      <w:pPr>
        <w:spacing w:after="60" w:line="252" w:lineRule="auto"/>
        <w:ind w:left="-360" w:firstLine="360"/>
        <w:jc w:val="both"/>
      </w:pPr>
      <w:r>
        <w:rPr>
          <w:rFonts w:ascii="Calibri" w:hAnsi="Calibri"/>
          <w:color w:val="333333"/>
          <w:sz w:val="22"/>
        </w:rPr>
        <w:t>Phillips, J. (1976) Toward an explanation of racial variations in top-level sports participation, International Review of Sport Sociology 11(3), 39–56.</w:t>
      </w:r>
    </w:p>
    <w:p>
      <w:pPr>
        <w:spacing w:after="60" w:line="252" w:lineRule="auto"/>
        <w:ind w:left="-360" w:firstLine="360"/>
        <w:jc w:val="both"/>
      </w:pPr>
      <w:r>
        <w:rPr>
          <w:rFonts w:ascii="Calibri" w:hAnsi="Calibri"/>
          <w:color w:val="333333"/>
          <w:sz w:val="22"/>
        </w:rPr>
        <w:t>Phillips, J. (1993) Sociology of Sport, Allyn and Bacon, Needham Heights, MA.</w:t>
      </w:r>
    </w:p>
    <w:p>
      <w:pPr>
        <w:spacing w:after="60" w:line="252" w:lineRule="auto"/>
        <w:ind w:left="-360" w:firstLine="360"/>
        <w:jc w:val="both"/>
      </w:pPr>
      <w:r>
        <w:rPr>
          <w:rFonts w:ascii="Calibri" w:hAnsi="Calibri"/>
          <w:color w:val="333333"/>
          <w:sz w:val="22"/>
        </w:rPr>
        <w:t>Priestley, G. (1995) Sports tourism: the case of golf, em Tourism and Spatial Transformations: Implications for Policy and Planning (editado por G. J. Ashworth e A. G. J. Dietvorst), CAB International, Wallingford UK, pp. 205–23.</w:t>
      </w:r>
    </w:p>
    <w:p>
      <w:pPr>
        <w:spacing w:after="60" w:line="252" w:lineRule="auto"/>
        <w:ind w:left="-360" w:firstLine="360"/>
        <w:jc w:val="both"/>
      </w:pPr>
      <w:r>
        <w:rPr>
          <w:rFonts w:ascii="Calibri" w:hAnsi="Calibri"/>
          <w:color w:val="333333"/>
          <w:sz w:val="22"/>
        </w:rPr>
        <w:t>Redmond, G. (1991) Changing styles of sports tourism: Industry/consumer interactions in Canada, the USA, and Europe, em The Tourism Industry: An International Analysis (editado por M. T. Sinclair &amp; M. J. Stabler) CAB International, Wallingford, UK, pp. 107–20.</w:t>
      </w:r>
    </w:p>
    <w:p>
      <w:pPr>
        <w:spacing w:after="60" w:line="252" w:lineRule="auto"/>
        <w:ind w:left="-360" w:firstLine="360"/>
        <w:jc w:val="both"/>
      </w:pPr>
      <w:r>
        <w:rPr>
          <w:rFonts w:ascii="Calibri" w:hAnsi="Calibri"/>
          <w:color w:val="333333"/>
          <w:sz w:val="22"/>
        </w:rPr>
        <w:t>Richards, G. (1996) Skilled consumption and UK ski holidays, Tourism Management 17(1), 25–34.</w:t>
      </w:r>
    </w:p>
    <w:p>
      <w:pPr>
        <w:spacing w:after="60" w:line="252" w:lineRule="auto"/>
        <w:ind w:left="-360" w:firstLine="360"/>
        <w:jc w:val="both"/>
      </w:pPr>
      <w:r>
        <w:rPr>
          <w:rFonts w:ascii="Calibri" w:hAnsi="Calibri"/>
          <w:color w:val="333333"/>
          <w:sz w:val="22"/>
        </w:rPr>
        <w:t>Roberts, K. (1970) Leisure, Longman, London.</w:t>
      </w:r>
    </w:p>
    <w:p>
      <w:pPr>
        <w:spacing w:after="60" w:line="252" w:lineRule="auto"/>
        <w:ind w:left="-360" w:firstLine="360"/>
        <w:jc w:val="both"/>
      </w:pPr>
      <w:r>
        <w:rPr>
          <w:rFonts w:ascii="Calibri" w:hAnsi="Calibri"/>
          <w:color w:val="333333"/>
          <w:sz w:val="22"/>
        </w:rPr>
        <w:t>Robertson, A. e Fletcher, C. (1980) Two cultures of sport: participation by lower and middle classes, Momentum 5(2), 1–4.</w:t>
      </w:r>
    </w:p>
    <w:p>
      <w:pPr>
        <w:spacing w:after="60" w:line="252" w:lineRule="auto"/>
        <w:ind w:left="-360" w:firstLine="360"/>
        <w:jc w:val="both"/>
      </w:pPr>
      <w:r>
        <w:rPr>
          <w:rFonts w:ascii="Calibri" w:hAnsi="Calibri"/>
          <w:color w:val="333333"/>
          <w:sz w:val="22"/>
        </w:rPr>
        <w:t>Rojek, C. (1985) Capitalism and Leisure Theory, Tavistock Publications, London.</w:t>
      </w:r>
    </w:p>
    <w:p>
      <w:pPr>
        <w:spacing w:after="60" w:line="252" w:lineRule="auto"/>
        <w:ind w:left="-360" w:firstLine="360"/>
        <w:jc w:val="both"/>
      </w:pPr>
      <w:r>
        <w:rPr>
          <w:rFonts w:ascii="Calibri" w:hAnsi="Calibri"/>
          <w:color w:val="333333"/>
          <w:sz w:val="22"/>
        </w:rPr>
        <w:t>Rudman, W. (1984) Life course socio-economic transitions and sport involvement: a theory of restricted opportunity, em Sport and Aging (editado por B. McPherson) Human Kinetics, Champaign, IL, pp. 25–35.</w:t>
      </w:r>
    </w:p>
    <w:p>
      <w:pPr>
        <w:spacing w:after="60" w:line="252" w:lineRule="auto"/>
        <w:ind w:left="-360" w:firstLine="360"/>
        <w:jc w:val="both"/>
      </w:pPr>
      <w:r>
        <w:rPr>
          <w:rFonts w:ascii="Calibri" w:hAnsi="Calibri"/>
          <w:color w:val="333333"/>
          <w:sz w:val="22"/>
        </w:rPr>
        <w:t>Ryan, C. (1993) Correlations between clusters based on the Ragheb and Beard leisure motivation scale and the attributes of desired holiday locations. Trabalho apresentado na Third Leisure Studies Association International Conference, Loughborough University, UK, 14–18 July.</w:t>
      </w:r>
    </w:p>
    <w:p>
      <w:pPr>
        <w:spacing w:after="60" w:line="252" w:lineRule="auto"/>
        <w:ind w:left="-360" w:firstLine="360"/>
        <w:jc w:val="both"/>
      </w:pPr>
      <w:r>
        <w:rPr>
          <w:rFonts w:ascii="Calibri" w:hAnsi="Calibri"/>
          <w:color w:val="333333"/>
          <w:sz w:val="22"/>
        </w:rPr>
        <w:t>Schreiber, R. (1976) Sports interest, A travel definition. The Travel Research Association 7th Annual Conference Proceedings, pp. 85–7, Boca Raton, Florida, 20–23 June.</w:t>
      </w:r>
    </w:p>
    <w:p>
      <w:pPr>
        <w:spacing w:after="60" w:line="252" w:lineRule="auto"/>
        <w:ind w:left="-360" w:firstLine="360"/>
        <w:jc w:val="both"/>
      </w:pPr>
      <w:r>
        <w:rPr>
          <w:rFonts w:ascii="Calibri" w:hAnsi="Calibri"/>
          <w:color w:val="333333"/>
          <w:sz w:val="22"/>
        </w:rPr>
        <w:t>Stamps, S. e Stamps, M. (1985) Race, class, and leisure activities of urban residents, Journal of Leisure Research 17, 40–56.</w:t>
      </w:r>
    </w:p>
    <w:p>
      <w:pPr>
        <w:spacing w:after="60" w:line="252" w:lineRule="auto"/>
        <w:ind w:left="-360" w:firstLine="360"/>
        <w:jc w:val="both"/>
      </w:pPr>
      <w:r>
        <w:rPr>
          <w:rFonts w:ascii="Calibri" w:hAnsi="Calibri"/>
          <w:color w:val="333333"/>
          <w:sz w:val="22"/>
        </w:rPr>
        <w:t>Stoddart, B. (1990) Wide world of golf: a research note on the interdependence of sport, culture, and economy, Sociology of Sport Journal 7(4), 378–88.</w:t>
      </w:r>
    </w:p>
    <w:p>
      <w:pPr>
        <w:spacing w:after="60" w:line="252" w:lineRule="auto"/>
        <w:ind w:left="-360" w:firstLine="360"/>
        <w:jc w:val="both"/>
      </w:pPr>
      <w:r>
        <w:rPr>
          <w:rFonts w:ascii="Calibri" w:hAnsi="Calibri"/>
          <w:color w:val="333333"/>
          <w:sz w:val="22"/>
        </w:rPr>
        <w:t>Surgeon General of the US (1996) Physical Activity and Health, 11 July, US Dept. of Health and Human Sciences, Washington DC.</w:t>
      </w:r>
    </w:p>
    <w:p>
      <w:pPr>
        <w:spacing w:after="60" w:line="252" w:lineRule="auto"/>
        <w:ind w:left="-360" w:firstLine="360"/>
        <w:jc w:val="both"/>
      </w:pPr>
      <w:r>
        <w:rPr>
          <w:rFonts w:ascii="Calibri" w:hAnsi="Calibri"/>
          <w:color w:val="333333"/>
          <w:sz w:val="22"/>
        </w:rPr>
        <w:t>The Spa Finder (1996) http://www.spafinders.com.</w:t>
      </w:r>
    </w:p>
    <w:p>
      <w:pPr>
        <w:spacing w:after="60" w:line="252" w:lineRule="auto"/>
        <w:ind w:left="-360" w:firstLine="360"/>
        <w:jc w:val="both"/>
      </w:pPr>
      <w:r>
        <w:rPr>
          <w:rFonts w:ascii="Calibri" w:hAnsi="Calibri"/>
          <w:color w:val="333333"/>
          <w:sz w:val="22"/>
        </w:rPr>
        <w:t>US Department of Justice (1996) 96/6/11-US v American Skiing Company and S-K-I-Ltd., Competitive Impact Statement. http://www.usdoj.gov/atr/cases/american-ski/ski-cis.htm.</w:t>
      </w:r>
    </w:p>
    <w:p>
      <w:pPr>
        <w:spacing w:after="60" w:line="252" w:lineRule="auto"/>
        <w:ind w:left="-360" w:firstLine="360"/>
        <w:jc w:val="both"/>
      </w:pPr>
      <w:r>
        <w:rPr>
          <w:rFonts w:ascii="Calibri" w:hAnsi="Calibri"/>
          <w:color w:val="333333"/>
          <w:sz w:val="22"/>
        </w:rPr>
        <w:t>Wahab, S. (1975) Tourism Management, Tourism International Press, London.</w:t>
      </w:r>
    </w:p>
    <w:p>
      <w:pPr>
        <w:spacing w:after="60" w:line="252" w:lineRule="auto"/>
        <w:ind w:left="-360" w:firstLine="360"/>
        <w:jc w:val="both"/>
      </w:pPr>
      <w:r>
        <w:rPr>
          <w:rFonts w:ascii="Calibri" w:hAnsi="Calibri"/>
          <w:color w:val="333333"/>
          <w:sz w:val="22"/>
        </w:rPr>
        <w:t>Warnick, R. e Howard, D. (1985) Market share analysis of selected leisure services from 1979 to 1982, Journal of Park and Recreation Administration 4(4), 64-76.</w:t>
      </w:r>
    </w:p>
    <w:p>
      <w:pPr>
        <w:spacing w:after="60" w:line="252" w:lineRule="auto"/>
        <w:ind w:left="-360" w:firstLine="360"/>
        <w:jc w:val="both"/>
      </w:pPr>
      <w:r>
        <w:rPr>
          <w:rFonts w:ascii="Calibri" w:hAnsi="Calibri"/>
          <w:color w:val="333333"/>
          <w:sz w:val="22"/>
        </w:rPr>
        <w:t>Wearing, B. e Wearing, S. (1988) 'All in a day's Leisure': gender and the concept of leisure, Leisure Studies 7(2), 111-23.</w:t>
      </w:r>
    </w:p>
    <w:p>
      <w:pPr>
        <w:spacing w:after="60" w:line="252" w:lineRule="auto"/>
        <w:ind w:left="-360" w:firstLine="360"/>
        <w:jc w:val="both"/>
      </w:pPr>
      <w:r>
        <w:rPr>
          <w:rFonts w:ascii="Calibri" w:hAnsi="Calibri"/>
          <w:color w:val="333333"/>
          <w:sz w:val="22"/>
        </w:rPr>
        <w:t>Weiler, B. e Hall, C.M. (1992) Special Interest Tourism, Belhaven Press, London.</w:t>
      </w:r>
    </w:p>
    <w:p>
      <w:pPr>
        <w:spacing w:after="60" w:line="252" w:lineRule="auto"/>
        <w:ind w:left="-360" w:firstLine="360"/>
        <w:jc w:val="both"/>
      </w:pPr>
      <w:r>
        <w:rPr>
          <w:rFonts w:ascii="Calibri" w:hAnsi="Calibri"/>
          <w:color w:val="333333"/>
          <w:sz w:val="22"/>
        </w:rPr>
        <w:t>Whitson, D. e Macintosh, D. (1996) The global circus: international sport, tourism, and the marketing of cities, Journal of Sport and Social Issues 20(3), 278-95.</w:t>
      </w:r>
    </w:p>
    <w:p>
      <w:pPr>
        <w:spacing w:after="60" w:line="252" w:lineRule="auto"/>
        <w:ind w:left="-360" w:firstLine="360"/>
        <w:jc w:val="both"/>
      </w:pPr>
      <w:r>
        <w:rPr>
          <w:rFonts w:ascii="Calibri" w:hAnsi="Calibri"/>
          <w:color w:val="333333"/>
          <w:sz w:val="22"/>
        </w:rPr>
        <w:t>Williams, P. e Lattey, C. (1994) Skiing constraint for women, Journal of Travel Research 32(2), 21-5.</w:t>
      </w:r>
    </w:p>
    <w:p>
      <w:pPr>
        <w:spacing w:after="60" w:line="252" w:lineRule="auto"/>
        <w:ind w:left="-360" w:firstLine="360"/>
        <w:jc w:val="both"/>
      </w:pPr>
      <w:r>
        <w:rPr>
          <w:rFonts w:ascii="Calibri" w:hAnsi="Calibri"/>
          <w:color w:val="333333"/>
          <w:sz w:val="22"/>
        </w:rPr>
        <w:t>Williams, P., Andestad, G., Pollock, A. e Dossa, K. (1996) Health spa travel markets: Mexican long haul pleasure travellers, Journal of Vacation Marketing 3(1), 11-31.</w:t>
      </w:r>
    </w:p>
    <w:p>
      <w:pPr>
        <w:spacing w:after="60" w:line="252" w:lineRule="auto"/>
        <w:ind w:left="-360" w:firstLine="360"/>
        <w:jc w:val="both"/>
      </w:pPr>
      <w:r>
        <w:rPr>
          <w:rFonts w:ascii="Calibri" w:hAnsi="Calibri"/>
          <w:color w:val="333333"/>
          <w:sz w:val="22"/>
        </w:rPr>
        <w:t>World Travel and Tourism Council (1993) The WTTC Report, WTTC, Brussels.</w:t>
      </w:r>
    </w:p>
    <w:p>
      <w:pPr>
        <w:spacing w:after="60" w:line="252" w:lineRule="auto"/>
        <w:ind w:left="-360" w:firstLine="360"/>
        <w:jc w:val="both"/>
      </w:pPr>
      <w:r>
        <w:rPr>
          <w:rFonts w:ascii="Calibri" w:hAnsi="Calibri"/>
          <w:color w:val="333333"/>
          <w:sz w:val="22"/>
        </w:rPr>
        <w:t>Yiannakis, A. e Gibson, H. (1992) Roles tourists play, Annals of Tourism Research 19(2), 287-303.</w:t>
      </w:r>
    </w:p>
    <w:p>
      <w:pPr>
        <w:spacing w:after="60" w:line="252" w:lineRule="auto"/>
        <w:ind w:left="-360" w:firstLine="360"/>
        <w:jc w:val="both"/>
      </w:pPr>
      <w:r>
        <w:rPr>
          <w:rFonts w:ascii="Calibri" w:hAnsi="Calibri"/>
          <w:color w:val="333333"/>
          <w:sz w:val="22"/>
        </w:rPr>
        <w:t>Yu, H. (1996) We put too much emphasis on people who transcend racial barriers, Greensboro News and Record, 5 December, A16.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