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1F4E78"/>
          <w:sz w:val="40"/>
        </w:rPr>
        <w:t>1 Sustentabilidade cultural, turismo e desenvolvimento:</w:t>
        <w:br/>
        <w:t>Articulando conexões</w:t>
      </w:r>
    </w:p>
    <w:p>
      <w:pPr>
        <w:spacing w:after="480"/>
        <w:jc w:val="center"/>
      </w:pPr>
      <w:r>
        <w:rPr>
          <w:rFonts w:ascii="Calibri" w:hAnsi="Calibri"/>
          <w:i/>
          <w:color w:val="595959"/>
          <w:sz w:val="26"/>
        </w:rPr>
        <w:t>Nancy Duxbury</w:t>
      </w:r>
    </w:p>
    <w:p>
      <w:pPr>
        <w:spacing w:after="120" w:line="276" w:lineRule="auto"/>
        <w:jc w:val="both"/>
      </w:pPr>
      <w:r>
        <w:rPr>
          <w:rFonts w:ascii="Calibri" w:hAnsi="Calibri"/>
          <w:color w:val="333333"/>
          <w:sz w:val="22"/>
        </w:rPr>
        <w:t>A pandemia de COVID-19 em 2020 proporcionou um momento marcante de reflexão renovada e contemplação sobre as realidades do nosso mundo interconectado. Ela destacou a necessidade de trabalhar em conjunto, tanto em escala comunitária local quanto global, para melhorar nossa qualidade de solidariedade social e apoio mútuo, além de promover ideias e práticas que possam se renovar e proporcionar benefícios mútuos, contribuir para a vitalidade local e para a diversidade de práticas de vida, fomentar o compartilhamento de ideias e expressões culturais, e redirecionar viagens e turismo para fins significativos e responsáveis. Em nossos casulos individuais de isolamento, o nível de alcance e compartilhamento virtual foi intensificado, e a importância das práticas culturais na construção dessas pontes e conexões entre localidades foi sublinhada. Ao mesmo tempo, foi um lembrete severo de que o que foi vivenciado online refletia um segmento privilegiado da humanidade, enfatizando ainda mais que vivemos em um mundo muito desigual.</w:t>
      </w:r>
    </w:p>
    <w:p>
      <w:pPr>
        <w:spacing w:after="120" w:line="276" w:lineRule="auto"/>
        <w:jc w:val="both"/>
      </w:pPr>
      <w:r>
        <w:rPr>
          <w:rFonts w:ascii="Calibri" w:hAnsi="Calibri"/>
          <w:color w:val="333333"/>
          <w:sz w:val="22"/>
        </w:rPr>
        <w:t>Avançando, há uma sensação de que esta pandemia pode mudar a maneira como agiremos no futuro, individualmente, coletivamente em nossas comunidades geográficas e de forma mais ampla em nossas redes nacionais e internacionais. Conforme este livro está sendo finalizado, pesquisadores culturais estão examinando os efeitos deste período sobre artistas e organizações culturais, enquanto pesquisadores do turismo monitoram os impactos no setor de turismo. Sugestões de estratégias e ações de recuperação pós-pandemia estão sendo ventiladas, enquanto prevalece uma sensação geral de incerteza. Há também crescentes apelos por esforços conjuntos intensificados para enfrentar o desafio contínuo de combater as mudanças climáticas, e para considerar seriamente as principais mudanças comportamentais e sistêmicas que serão necessárias para abordar isso também.</w:t>
      </w:r>
    </w:p>
    <w:p>
      <w:pPr>
        <w:spacing w:after="120" w:line="276" w:lineRule="auto"/>
        <w:jc w:val="both"/>
      </w:pPr>
      <w:r>
        <w:rPr>
          <w:rFonts w:ascii="Calibri" w:hAnsi="Calibri"/>
          <w:color w:val="333333"/>
          <w:sz w:val="22"/>
        </w:rPr>
        <w:t>É evidente que inúmeras famílias e comunidades internacionalmente serão profundamente afetadas por doenças, mortes e realidades alteradas. À medida que avançamos através desta experiência e rumo ao futuro, a atenção à saúde e ao bem-estar individual e coletivo (tanto física quanto mental), a revitalização de tradições que conectam e proporcionam continuidade, e o uso de processos artísticos no cuidado terapêutico para auxiliar no processamento, na atribuição de significados e na autoexpressão podem dar contribuições valiosas aos nossos esforços de regulação e reconexão.</w:t>
      </w:r>
    </w:p>
    <w:p>
      <w:pPr>
        <w:spacing w:after="120" w:line="276" w:lineRule="auto"/>
        <w:jc w:val="both"/>
      </w:pPr>
      <w:r>
        <w:rPr>
          <w:rFonts w:ascii="Calibri" w:hAnsi="Calibri"/>
          <w:color w:val="333333"/>
          <w:sz w:val="22"/>
        </w:rPr>
        <w:t xml:space="preserve"> Nesse contexto, as viagens e o turismo serão retomados, mas provavelmente estarão profundamente mudados. Os viajantes podem buscar cada vez mais lugares de beleza, de refúgio, de renovação. O turismo doméstico será re enfatizado. As conexões com os outros podem ser reconcebidas e fomentadas em uma base mais humana como co-viajantes em um planeta estritamente interconectado. Uma sensação de reconstrução e renovação pode prevalecer. Como podemos usar essa situação terrível para nos colocar em caminhos futuros mais humanos e sustentáveis, nos quais visões holísticas de bem-estar, vitalidade e sustentabilidade incluam explicitamente a diversidade cultural, a atribuição de significados por meio da arte e a conexão social por meio do intercâmbio cultural, rituais de lembrança e resiliência, e momentos de celebração?</w:t>
      </w:r>
    </w:p>
    <w:p>
      <w:pPr>
        <w:spacing w:before="240" w:after="240"/>
        <w:jc w:val="center"/>
      </w:pPr>
      <w:r>
        <w:rPr>
          <w:b/>
        </w:rPr>
        <w:t>* * *</w:t>
      </w:r>
    </w:p>
    <w:p>
      <w:pPr>
        <w:spacing w:after="120" w:line="276" w:lineRule="auto"/>
        <w:jc w:val="both"/>
      </w:pPr>
      <w:r>
        <w:rPr>
          <w:rFonts w:ascii="Calibri" w:hAnsi="Calibri"/>
          <w:color w:val="333333"/>
          <w:sz w:val="22"/>
        </w:rPr>
        <w:t>O turismo representa um sistema multifacetado que pode fornecer não apenas benefícios econômicos para as comunidades locais, mas também oportunidades para o aprendizado ao longo da vida, intercâmbio e diálogo intercultural, revitalização de tradições e histórias culturais, fontes de inspiração e expansão de mentalidades para abraçar novas possibilidades e perspectivas. À medida que alguns visitantes se multiplicam em fluxos turísticos, a dinâmica do turismo e os processos de desenvolvimento desempenham um papel crescente na influência ou mesmo na propulsão de mudanças nas situações de vida locais, de maneiras tanto positivas quanto negativas. Mesmo que as relações sejam amistosas, "a passagem constante de estranhos cobra seu preço das comunidades locais" (Taşcu-Stavre, 2018, p. 171).</w:t>
      </w:r>
    </w:p>
    <w:p>
      <w:pPr>
        <w:spacing w:after="120" w:line="276" w:lineRule="auto"/>
        <w:jc w:val="both"/>
      </w:pPr>
      <w:r>
        <w:rPr>
          <w:rFonts w:ascii="Calibri" w:hAnsi="Calibri"/>
          <w:color w:val="333333"/>
          <w:sz w:val="22"/>
        </w:rPr>
        <w:t>Os excessos e danos causados pelo turismo de massa servem como alertas severos para lugares onde o turismo tem emergido e se expandido. A atenção crescente ao turismo responsável e aos modos de turismo relacionados visa contrapor abordagens 'tradicionais' prejudiciais por meio do desenvolvimento de caminhos turísticos alternativos que enfatizam os benefícios comunitários, mitigam danos e inspiram novos tipos de relacionamentos e abordagens. A emergência da noção de 'turismo regenerativo' (Cave e Dredge, 2020) aprofunda ainda mais essa determinação de mudar o caminho tradicional do turismo para re enfatizar e centralizar as ações e dinâmicas relacionadas a viagens para benefício local.</w:t>
      </w:r>
    </w:p>
    <w:p>
      <w:pPr>
        <w:spacing w:after="120" w:line="276" w:lineRule="auto"/>
        <w:jc w:val="both"/>
      </w:pPr>
      <w:r>
        <w:rPr>
          <w:rFonts w:ascii="Calibri" w:hAnsi="Calibri"/>
          <w:color w:val="333333"/>
          <w:sz w:val="22"/>
        </w:rPr>
        <w:t>Podemos observar o surgimento de iniciativas baseadas em cidades que reconcebem a ideia de turistas ou visitantes e os reposicionam como residentes de curto prazo e cidadãos temporários, com responsabilidades, trabalhando simultaneamente para entender o que isso significa na prática (veja, por exemplo, Aarø-Hansen, 2017; Richards e Marques, 2018). As tendências do turismo em buscar conexões com a 'autenticidade' e o 'local' estão se alinhando com um interesse crescente pelo turismo em lugares menores, que estão construindo sobre seus "recursos endógenos, tanto tangíveis quanto intangíveis", e alavancando suas características culturais únicas para oferecer "experiências baseadas no lugar" aos turistas (Scherf, 2021, pp. 12, 2). Em muitas situações rurais, a atração de visitantes e a conversão deles em residentes mais permanentes é um objetivo central para obter uma comunidade sustentável (veja Campbell e Maclaren neste volume). Como é evidente em muitos dos capítulos deste livro, à medida que os vínculos entre cultura e turismo são explicitamente assumidos para guiar e impulsionar estrategicamente o desenvolvimento local, aspectos políticos e econômicos também entram em jogo (veja Tomaz neste volume).</w:t>
      </w:r>
    </w:p>
    <w:p>
      <w:pPr>
        <w:spacing w:after="120" w:line="276" w:lineRule="auto"/>
        <w:jc w:val="both"/>
      </w:pPr>
      <w:r>
        <w:rPr>
          <w:rFonts w:ascii="Calibri" w:hAnsi="Calibri"/>
          <w:color w:val="333333"/>
          <w:sz w:val="22"/>
        </w:rPr>
        <w:t>Dentro do contexto do turismo sustentável, a atenção à cultura tem sido direcionada em grande parte à sustentabilidade do turismo cultural (por exemplo, EENCA, 2019; EU, 2019), com pesquisas relacionadas focando em aliviar as pressões do turismo em sítios patrimoniais e ativos culturais (por exemplo, Pedersen, 2002; García-Hernández, De la Calle-Vaquero, e Yubero, 2017; Imon, 2017) ou nos impactos culturais locais da atividade turística (por exemplo, influências culturais externas e choques com culturas locais; Glasson, Godfrey, e Goodey, 1995; Cooper et al., 2013; Zhuang, Yao, e Li, 2019). Outras pesquisas enfatizaram questões de mercantilização e o risco de 'apropriação cultural' do patrimônio cultural intangível para o desenvolvimento do turismo (por exemplo, George, 2010); representações promocionais da cultura, frequentemente reproduzindo estereótipos (por exemplo, Daye, 2008; Salazar, 2009); e a higienização da história e a 'museificação' do patrimônio e das culturas para o consumo de turistas (por exemplo, Loulanski e Loulanski, 2011; Stylianou-Lambert, Boukas, e Bounia, 2015).</w:t>
      </w:r>
    </w:p>
    <w:p>
      <w:pPr>
        <w:spacing w:after="120" w:line="276" w:lineRule="auto"/>
        <w:jc w:val="both"/>
      </w:pPr>
      <w:r>
        <w:rPr>
          <w:rFonts w:ascii="Calibri" w:hAnsi="Calibri"/>
          <w:color w:val="333333"/>
          <w:sz w:val="22"/>
        </w:rPr>
        <w:t>Embora todas essas questões continuem pertinentes, elas estão cada vez mais entrelaçadas com dinâmicas adicionais decorrentes de situações de 'novo turismo', nas quais experiências e relacionamentos 'únicos' e 'alternativos' in situ são destacados, onde os viajantes buscam vivenciar os modos de vida locais 'vivendo como um local', buscando momentos de 'porta dos fundos' e interagindo com os residentes. Essa situação traz um foco mais detalhado sobre os residentes locais e as maneiras pelas quais eles agem em contextos influenciados pelo turismo que afetam a dinâmica comunitária — trazendo tanto oportunidades quanto preocupações (veja Richards neste volume). Essa tendência se harmoniza com entendimentos ampliados da cultura como 'um modo de vida' (Baycan e Girard, 2013; Duxbury, 2020), planejamento cultural e abordagens de planejamento informadas culturalmente baseadas em noções amplas de 'recursos culturais' (Mercer, 1991; Bianchini e Ghilardi, 2007; Young e Stevenson, 2013), e esforços relacionados para identificar, compreender e mobilizar estrategicamente o 'DNA cultural' de um lugar (Ghilardi, 2017).</w:t>
      </w:r>
    </w:p>
    <w:p>
      <w:pPr>
        <w:spacing w:after="120" w:line="276" w:lineRule="auto"/>
        <w:jc w:val="both"/>
      </w:pPr>
      <w:r>
        <w:rPr>
          <w:rFonts w:ascii="Calibri" w:hAnsi="Calibri"/>
          <w:color w:val="333333"/>
          <w:sz w:val="22"/>
        </w:rPr>
        <w:t>Uma perspectiva de sustentabilidade cultural concentra-se em considerações sobre vitalidade cultural, adaptação e mudança, e continuidade ao longo do tempo. Essa abordagem reconhece explicitamente a pluralidade e a diversidade de culturas, perspectivas, experiências e memórias que informam e moldam modos de vida coletivos, formas de expressão e imaginários em constante evolução de lugares, identidades comunitárias e trajetórias futuras propostas. Ao destacar considerações culturais, esta abordagem está intimamente ligada a condições e interações sociais mais amplas, desde a conectividade local e regional até fluxos mais globais de pessoas, informações e ideias.</w:t>
      </w:r>
    </w:p>
    <w:p>
      <w:pPr>
        <w:spacing w:after="120" w:line="276" w:lineRule="auto"/>
        <w:jc w:val="both"/>
      </w:pPr>
      <w:r>
        <w:rPr>
          <w:rFonts w:ascii="Calibri" w:hAnsi="Calibri"/>
          <w:color w:val="333333"/>
          <w:sz w:val="22"/>
        </w:rPr>
        <w:t>Na literatura de pesquisa e voltada para políticas, a sustentabilidade cultural tende a ser definida de duas maneiras:</w:t>
      </w:r>
    </w:p>
    <w:p>
      <w:pPr>
        <w:spacing w:before="120" w:after="120"/>
        <w:ind w:left="720" w:right="720"/>
        <w:jc w:val="both"/>
      </w:pPr>
      <w:r>
        <w:rPr>
          <w:rFonts w:ascii="Calibri" w:hAnsi="Calibri"/>
          <w:i/>
          <w:color w:val="595959"/>
          <w:sz w:val="21"/>
        </w:rPr>
        <w:t>Por um lado, refere-se à sustentabilidade de práticas e padrões culturais e artísticos, incluindo, por exemplo, formação e expressão de identidade, conservação do patrimônio cultural e um senso de continuidade cultural. Por outro lado, a sustentabilidade cultural também se refere ao papel de características e ações culturais para informar e compor parte dos caminhos em direção a sociedades mais sustentáveis. A cultura está no centro de práticas e crenças que podem apoiar ou inspirar a transição social necessária para uma vida mais sustentável. Essas narrativas, valores e ações contribuem para o surgimento de uma compreensão mais sensível culturalmente do desenvolvimento sustentável e para esclarecer os papéis da arte, da cultura e da política cultural nesse esforço.</w:t>
        <w:br/>
        <w:t>(Kangas, Duxbury, e De Beukelaer, 2017, p. 130)</w:t>
      </w:r>
    </w:p>
    <w:p>
      <w:pPr>
        <w:spacing w:after="120" w:line="276" w:lineRule="auto"/>
        <w:jc w:val="both"/>
      </w:pPr>
      <w:r>
        <w:rPr>
          <w:rFonts w:ascii="Calibri" w:hAnsi="Calibri"/>
          <w:color w:val="333333"/>
          <w:sz w:val="22"/>
        </w:rPr>
        <w:t>examina uma trienal estabelecida a partir da perspectiva externa dos pesquisadores, enquanto o segundo capítulo apresenta um relato interno do desenvolvimento de uma Bienal relativamente nova a partir da perspectiva do organizador. Ambos os relatos apontam para as complexidades de conectar efetivamente iniciativas baseadas na arte à revitalização local e regional, com atenção significativa à sustentabilidade cultural local em contextos de transição.</w:t>
      </w:r>
    </w:p>
    <w:p>
      <w:pPr>
        <w:spacing w:after="120" w:line="276" w:lineRule="auto"/>
        <w:jc w:val="both"/>
      </w:pPr>
      <w:r>
        <w:rPr>
          <w:rFonts w:ascii="Calibri" w:hAnsi="Calibri"/>
          <w:color w:val="333333"/>
          <w:sz w:val="22"/>
        </w:rPr>
        <w:t>Em "Festival de arte rural revitalizando uma ilha de turismo em declínio no Japão", Meng Qu e Carolin Funck apresentam uma avaliação da Trienal de Setouchi, um festival de arte contemporânea rural em grande escala que foi lançado em 2010, cujo propósito é reverter o declínio das comunidades insulares do Mar Interior de Seto, Japão, por meio de arte específica de local e turismo de festivais de arte. Os organizadores do festival visam revitalizar as ilhas por meio da construção comunitária e da celebração dos modos de vida locais, enfatizando a participação comunitária e visando promover uma "cultura de intercâmbio" (Nakashima, 2012, p. 48) entre residentes locais e turistas por meio de "experiências criativas, relacionais e interativas" (p. 52). Juntando os conceitos de 'estética relacional' e 'turismo relacional integrado', o capítulo introduz o novo conceito de 'festival de arte relacional', focando na interação tríplice entre população local, arte e turistas.</w:t>
      </w:r>
    </w:p>
    <w:p>
      <w:pPr>
        <w:spacing w:after="120" w:line="276" w:lineRule="auto"/>
        <w:jc w:val="both"/>
      </w:pPr>
      <w:r>
        <w:rPr>
          <w:rFonts w:ascii="Calibri" w:hAnsi="Calibri"/>
          <w:color w:val="333333"/>
          <w:sz w:val="22"/>
        </w:rPr>
        <w:t>O capítulo foca em Shodoshima, a maior ilha que sedia a Trienal de Setouchi, e avalia como o festival influencia as comunidades locais a partir de várias perspectivas. A pesquisa aborda a questão crítica de como medir efetivamente a revitalização por meio do intercâmbio e da interação cultural em nível local. O capítulo examina intervenções de cima para baixo e abordagens de baixo para cima na revitalização comunitária, e impactos tanto 'suaves' (por exemplo, interações com turistas) quanto 'rígidos' (por exemplo, a abertura de novos negócios). A pesquisa descobre que "a revitalização efetiva das comunidades locais é melhor alcançada quando a arte reflete a motivação de preservar a cultura local" (p. 64) e que os esforços para revitalizar as comunidades precisam de caminhos claros para a sustentabilidade que sejam adaptados às realidades e necessidades particulares de cada comunidade. Para enfrentar o desafio de como sustentar os negócios de turismo e serviços entre os períodos de festivais, os autores sugerem estratégias de desenvolvimento específicas de local baseadas na arte, no turismo e na comunidade que encorajam uma mentalidade de baixo para cima focada em empresas de criação artística e cultural. Os fundamentos dessas estratégias incluem manter obras de arte de boa qualidade que estejam vinculadas ao patrimônio cultural local, encorajar uma mudança de um turismo de festival de arte único para um turismo lento centrado na arte e na ilha, e encorajar o planejamento colaborativo entre agências públicas, empresas e associações cívicas.</w:t>
      </w:r>
    </w:p>
    <w:p>
      <w:pPr>
        <w:spacing w:after="120" w:line="276" w:lineRule="auto"/>
        <w:jc w:val="both"/>
      </w:pPr>
      <w:r>
        <w:rPr>
          <w:rFonts w:ascii="Calibri" w:hAnsi="Calibri"/>
          <w:color w:val="333333"/>
          <w:sz w:val="22"/>
        </w:rPr>
        <w:t>A arte como expressão de um lugar distinto também é explorada no capítulo de Catherine Beaudette, "Bienal de Bonavista - Encontros de arte na borda: arte contemporânea na Terra Nova rural", que apresenta a história de desenvolvimento de uma exposição de arte internacional de grande escala com duração de um mês localizada na Península de Bonavista, na ilha da Terra Nova, Canadá. Lançada em 2017, o evento aspira, "através do poder da arte, engajar-se com questões sociais que afetam o local e informam o global" (p. 69) — uma mescla de "turismo cultural com 'arte para a mudança social'" (p. 73). As pequenas comunidades portuárias da Terra Nova possuem economias sustentáveis. Com base em dois estudos de caso no Canadá rural, a Cidade de Cochrane, Ontário, e a Banda Indígena Osoyoos, Colúmbia Britânica, o capítulo fala de forma mais ampla sobre o desenvolvimento sustentável de comunidades rurais em transição, que "frequentemente significa um esforço concertado para atrair novos residentes e empresas" (p. 91). Os dois casos ilustram abordagens muito diferentes para o empreendedorismo cultural como desenvolvimento comunitário sustentável.</w:t>
      </w:r>
    </w:p>
    <w:p>
      <w:pPr>
        <w:spacing w:after="120" w:line="276" w:lineRule="auto"/>
        <w:jc w:val="both"/>
      </w:pPr>
      <w:r>
        <w:rPr>
          <w:rFonts w:ascii="Calibri" w:hAnsi="Calibri"/>
          <w:color w:val="333333"/>
          <w:sz w:val="22"/>
        </w:rPr>
        <w:t>Os casos servem para demonstrar um modelo de desenvolvimento em que as estratégias de turismo se tornam vias para a co-criação de lugares, que os autores definem como "uma experiência imersiva baseada no lugar ou processo de construção de identidade" (p. 88) que combina patrimônio cultural e estratégias de criação de lugares para alcançar metas de diversificação econômica sustentável e resiliência em comunidades pós-recursos. Como eles elaboram:</w:t>
      </w:r>
    </w:p>
    <w:p>
      <w:pPr>
        <w:spacing w:before="120" w:after="120"/>
        <w:ind w:left="720" w:right="720"/>
        <w:jc w:val="both"/>
      </w:pPr>
      <w:r>
        <w:rPr>
          <w:rFonts w:ascii="Calibri" w:hAnsi="Calibri"/>
          <w:i/>
          <w:color w:val="595959"/>
          <w:sz w:val="21"/>
        </w:rPr>
        <w:t>Ao combinar um foco no turismo e no desenvolvimento populacional, vemos o surgimento da co-criação de lugares: o processo de comunidades oferecendo experiências que atendem aos visitantes, com os quais esses visitantes são então encorajados a se engajar ou imergir a tal ponto que co-criam a experiência, e são atraídos pelo potencial de se tornarem residentes permanentes.</w:t>
        <w:br/>
        <w:t>(pp. 93-94)</w:t>
      </w:r>
    </w:p>
    <w:p>
      <w:pPr>
        <w:spacing w:after="120" w:line="276" w:lineRule="auto"/>
        <w:jc w:val="both"/>
      </w:pPr>
      <w:r>
        <w:rPr>
          <w:rFonts w:ascii="Calibri" w:hAnsi="Calibri"/>
          <w:color w:val="333333"/>
          <w:sz w:val="22"/>
        </w:rPr>
        <w:t>Nesse contexto, novos negócios podem representar "plataformas para celebrar e comunicar valores, história e tradições locais que retêm o senso único de lugar e a atração de um local" (p. 106).</w:t>
      </w:r>
    </w:p>
    <w:p>
      <w:pPr>
        <w:spacing w:after="120" w:line="276" w:lineRule="auto"/>
        <w:jc w:val="both"/>
      </w:pPr>
      <w:r>
        <w:rPr>
          <w:rFonts w:ascii="Calibri" w:hAnsi="Calibri"/>
          <w:color w:val="333333"/>
          <w:sz w:val="22"/>
        </w:rPr>
        <w:t>Construindo sobre o turismo de patrimônio cultural e atributos de estilo de vida rural para atrair visitantes, a possível conversão de visitantes em residentes depende de dois fatores: imersão, "a capacidade de interagir em algum nível com a experiência" (p. 93), e integridade, uma totalidade ou intocabilidade dos atributos do patrimônio natural ou cultural de uma localidade, "uma realidade evoluída, mas mantida" (p. 93). Esses esforços exigem um equilíbrio cuidadoso entre os recursos naturais e culturais existentes de um lugar e a atração e retenção desses novos residentes e negócios — investindo e influenciando o futuro destas pequenas cidades. Deve-se tomar cuidado para não alienar (e possivelmente perder) os residentes existentes e, como os autores explicam, é aqui que "protocolos específicos liderados culturalmente podem ser benéficos" (p. 92). Essas situações fornecem posições perspicazes para estimular o desenvolvimento sustentável local culturalmente sensível em situações de turismo manejável. O próximo capítulo fornece um vislumbre de uma região rural que passou por um rápido desenvolvimento turístico em um contexto menos controlado.</w:t>
      </w:r>
    </w:p>
    <w:p>
      <w:pPr>
        <w:spacing w:after="120" w:line="276" w:lineRule="auto"/>
        <w:jc w:val="both"/>
      </w:pPr>
      <w:r>
        <w:rPr>
          <w:rFonts w:ascii="Calibri" w:hAnsi="Calibri"/>
          <w:color w:val="333333"/>
          <w:sz w:val="22"/>
        </w:rPr>
        <w:t>Em "Efeitos positivos e negativos do desenvolvimento do turismo cultural: mudanças e dinâmicas na região polonesa de Podlasie", Katarzyna Plebańczyk investiga e reflete sobre o rápido desenvolvimento do turismo baseado no patrimônio cultural em uma região de fronteira rural com uma mistura cultural diversificada nutrida ao longo de séculos. O capítulo foca na tensão entre o desenvolvimento do turismo baseado na comercialização do patrimônio cultural e aquele baseado no bem-estar comunitário, na coesão e na identidade cultural. Embora economicamente valioso, o crescimento do turismo nesta região rural produziu "uma série de consequências socioculturais, incluindo a dispersão de turistas em antigos distritos residenciais e a marginalização dos habitantes locais, modificação de todos os tipos de tradições, e autenticidade reduzida e perda de identidade cultural, o que é bastante claramente observável" (p. 122). Os impactos do overtourism (turismo excessivo) são fundamentais para os principais desafios que a região rural agora enfrenta.</w:t>
      </w:r>
    </w:p>
    <w:p>
      <w:pPr>
        <w:spacing w:after="120" w:line="276" w:lineRule="auto"/>
        <w:jc w:val="both"/>
      </w:pPr>
      <w:r>
        <w:rPr>
          <w:rFonts w:ascii="Calibri" w:hAnsi="Calibri"/>
          <w:color w:val="333333"/>
          <w:sz w:val="22"/>
        </w:rPr>
        <w:t>Ao mesmo tempo, o turismo tem contribuído para a preservação e reconstrução cultural, e para o reconhecimento generalizado da diversidade cultural desta região. O crescimento do turismo "inspirou novos negócios e iniciativas baseados na natureza e na cultura que injetaram uma nova vivacidade nas tradições culturais locais e na gastronomia, e aumentaram a conscientização sobre a importância de salvaguardar e fornecer treinamento sobre o patrimônio cultural tangível e intangível da região" (p. 124). Além disso, o rápido desenvolvimento do turismo na região "parece ter inspirado e impulsionado uma força contrária liderada pela comunidade para proteger os interesses da comunidade, fomentar a conexão social local e preservar as tradições culturais" (p. 123), por exemplo, por meio do desenvolvimento de um festival 'lento', voltado primariamente para a comunidade local.</w:t>
      </w:r>
    </w:p>
    <w:p>
      <w:pPr>
        <w:spacing w:after="120" w:line="276" w:lineRule="auto"/>
        <w:jc w:val="both"/>
      </w:pPr>
      <w:r>
        <w:rPr>
          <w:rFonts w:ascii="Calibri" w:hAnsi="Calibri"/>
          <w:color w:val="333333"/>
          <w:sz w:val="22"/>
        </w:rPr>
        <w:t>Conforme Plebańczyk avalia a situação, o principal problema associado ao turismo nesta região "parece ser a dificuldade em conciliar as necessidades de todas as partes interessadas" (p. 124), incluindo turistas, residentes, empreendedores e autoridades regionais — todos os quais têm perspectivas e objetivos diferentes. Ela também, de forma perspicaz, chama a atenção para a diversidade de perspectivas, valores e tradições encontrados dentro das comunidades locais, o que pode tornar difícil ou impossível tomar ações coletivas. Nesta situação, as autoridades públicas estavam promovendo o rápido desenvolvimento do turismo e dando aos operadores comerciais locais a liderança neste desenvolvimento com (ao que parece) atenção limitada às implicações culturais ou coordenação dos esforços gerais. Em contraste, o capítulo seguinte examina iniciativas lideradas por municípios que visam alcançar visibilidade e impulso de desenvolvimento através do alcance de programas internacionais de marcas culturais para designações.</w:t>
      </w:r>
    </w:p>
    <w:p>
      <w:pPr>
        <w:spacing w:after="120" w:line="276" w:lineRule="auto"/>
        <w:jc w:val="both"/>
      </w:pPr>
      <w:r>
        <w:rPr>
          <w:rFonts w:ascii="Calibri" w:hAnsi="Calibri"/>
          <w:color w:val="333333"/>
          <w:sz w:val="22"/>
        </w:rPr>
        <w:t>O capítulo de Elisabete Caldeira Neto Tomaz, "Engajando cultura e turismo sob programas internacionais de marcas: perspectivas e trajetórias locais", analisa o apelo de estratégias de revitalização baseadas na cultura para pequenas cidades, especialmente aquelas desafiadas com "capacidade industrial em declínio em indústrias intensivas em mão de obra" (p. 128). Tomaz delineia a interconexão entre cultura e turismo no desenvolvimento urbano e destaca o papel crescente dos governos locais neste cenário, observando que, à medida que as autoridades locais incluíram estratégias culturais em suas agendas de desenvolvimento, isso foi acompanhado por "competição pela organização de grandes eventos culturais ou admissão em programas de organizações internacionais" (p. 129). O fascínio de programas internacionais que marcam uma cidade ou localidade continua a ser fortemente observável internacionalmente, ungindo uma cidade com visibilidade, reconhecimento e validação, enquanto fornece uma plataforma simbólica para estratégias de desenvolvimento baseadas na cultura e no patrimônio.</w:t>
      </w:r>
    </w:p>
    <w:p>
      <w:pPr>
        <w:spacing w:after="120" w:line="276" w:lineRule="auto"/>
        <w:jc w:val="both"/>
      </w:pPr>
      <w:r>
        <w:rPr>
          <w:rFonts w:ascii="Calibri" w:hAnsi="Calibri"/>
          <w:color w:val="333333"/>
          <w:sz w:val="22"/>
        </w:rPr>
        <w:t>Ao traçar o perfil das trajetórias de três pequenas cidades portuguesas, Guimarães, Óbidos e Serpa, em suas relações com esses programas internacionais, o capítulo explica as decisões estratégicas e diferentes padrões de desenvolvimento que acompanham a busca por tal marca, revelando como os títulos impulsionam ações locais e se tornam agentes ativos na transformação de pequenas cidades e comunidades (veja também Žuvela e Portolan neste volume). Os principais esforços liderados pela cultura e pelo patrimônio atrelados a esses títulos tendem a inspirar novos esforços para reconhecer, apoiar e revitalizar a 'essência' sociocultural local. Eles fornecem impulso e recursos para sustentar e estender a vitalidade e a sustentabilidade cultural local em tempos de transição, em alguns casos criando um novo imaginário para impulsionar futuros esforços de desenvolvimento.</w:t>
      </w:r>
    </w:p>
    <w:p>
      <w:pPr>
        <w:spacing w:after="120" w:line="276" w:lineRule="auto"/>
        <w:jc w:val="both"/>
      </w:pPr>
      <w:r>
        <w:rPr>
          <w:rFonts w:ascii="Calibri" w:hAnsi="Calibri"/>
          <w:color w:val="333333"/>
          <w:sz w:val="22"/>
        </w:rPr>
        <w:t>Nesses casos, a cultura é vista como um recurso ir substituível que oferece entradas e oportunidades para desenvolver negócios novos e antigos, parcerias e modelos de turismo. Ao mesmo tempo, estratégias culturais são usadas para abordar questões sociais na comunidade e fomentar debates estruturados sobre o desenvolvimento sustentável. No entanto, desafios críticos, especialmente pertinentes à sustentabilidade, acompanham essas jornadas. Reforçando os insights dos casos apresentados em capítulos anteriores, a centralidade da comunicação contínua, das negociações e da colaboração entre diferentes atores e interesses na comunidade local é enfatizada.</w:t>
      </w:r>
    </w:p>
    <w:p>
      <w:pPr>
        <w:keepNext/>
        <w:spacing w:before="360" w:after="120"/>
      </w:pPr>
      <w:r>
        <w:rPr>
          <w:rFonts w:ascii="Calibri" w:hAnsi="Calibri"/>
          <w:b/>
          <w:color w:val="1F4E78"/>
          <w:sz w:val="32"/>
        </w:rPr>
        <w:t>Abordagens geradoras para a tutela cultural e o turismo</w:t>
      </w:r>
    </w:p>
    <w:p>
      <w:pPr>
        <w:spacing w:after="120" w:line="276" w:lineRule="auto"/>
        <w:jc w:val="both"/>
      </w:pPr>
      <w:r>
        <w:rPr>
          <w:rFonts w:ascii="Calibri" w:hAnsi="Calibri"/>
          <w:color w:val="333333"/>
          <w:sz w:val="22"/>
        </w:rPr>
        <w:t>Os três capítulos desta seção exploram as possibilidades de desenvolvimento local positivo quando o turismo está intimamente conectado à tutela cultural local e ao cuidado com a continuidade e a sustentabilidade cultural. Eles apontam para questões e desafios em manter iniciativas lideradas pela comunidade e o desenvolvimento de turismo baseado na cultura responsivo e benéfico para a comunidade anfitriã, seus valores e sua sustentabilidade futura. Ao fazê-lo, eles também apontam para a importância de reconhecer e reforçar os valores comunitários, o diálogo e a negociação multissetorial, e os desafios de conciliar perspectivas, dinâmicas e prioridades culturais e turísticas.</w:t>
      </w:r>
    </w:p>
    <w:p>
      <w:pPr>
        <w:spacing w:after="120" w:line="276" w:lineRule="auto"/>
        <w:jc w:val="both"/>
      </w:pPr>
      <w:r>
        <w:rPr>
          <w:rFonts w:ascii="Calibri" w:hAnsi="Calibri"/>
          <w:color w:val="333333"/>
          <w:sz w:val="22"/>
        </w:rPr>
        <w:t>Em "Fundação Casa Grande: turismo local e valor social — o impacto além da contagem", Inês Almeida apresenta um modelo de negócios sociais e uma iniciativa de planejamento de turismo liderada pela comunidade em Nova Olinda, Brasil. Operando há mais de 20 anos, a Fundação Casa Grande é uma iniciativa premiada enraizada na agência de crianças e jovens para liderar esforços de preservação cultural, apresentação e aprimoramento da vivacidade cultural para o futuro. O objetivo original da Fundação era reanimar o patrimônio cultural tangível e intangível de sua comunidade por meio da promoção de atividades e projetos para o engajamento comunitário. Com o tempo, ela criou "experiências autênticas e endógenas para turistas" (p. 154) por meio de suas atividades culturais e pedagógicas, bem como por meio de seu estímulo a uma rede de 16 'museus orgânicos' na região do Cariri. Seu trabalho também nutriu uma série de pequenas empresas geridas...</w:t>
      </w:r>
    </w:p>
    <w:p>
      <w:pPr>
        <w:spacing w:after="120" w:line="276" w:lineRule="auto"/>
        <w:jc w:val="both"/>
      </w:pPr>
      <w:r>
        <w:rPr>
          <w:rFonts w:ascii="Calibri" w:hAnsi="Calibri"/>
          <w:color w:val="333333"/>
          <w:sz w:val="22"/>
        </w:rPr>
        <w:t>são os efeitos da "incursão rápida da modernidade" (p. 172) sobre práticas ecológicas tradicionais e a migração de jovens para áreas urbanas em busca de oportunidades econômicas. Ambas ameaçam a sustentabilidade dos valores Bishnoi, que são "baseados em parâmetros regionais e têm confiado fortemente na participação comunitária" (p. 173). Chaturvedi argumenta que o turismo desenvolvido de forma sensível pode ajudar a abordar essas questões gerando oportunidades de negócios e fomentando um sentimento de orgulho na identidade distinta dos Bishnois, "uma garantia de que os valores da comunidade merecem ser mantidos atentamente nos tempos contemporâneos" (p. 173). Assim como na Fundação Casa Grande, deve-se tomar cuidado atento para garantir que o desenvolvimento do turismo beneficie a comunidade e que os ganhos sejam distribuídos de forma justa, para se proteger contra efeitos negativos da mercantilização e processos de pecuarização de algumas das práticas culturais da comunidade, e para desconfiar de outras influências como resultado de encontros com turistas. O envolvimento cauteloso e inclusivo de todos os principais atores é necessário para avançar, com contribuições e feedback da comunidade vitais para moldar e gerenciar quaisquer ofertas de turismo de base comunitária.</w:t>
      </w:r>
    </w:p>
    <w:p>
      <w:pPr>
        <w:spacing w:after="120" w:line="276" w:lineRule="auto"/>
        <w:jc w:val="both"/>
      </w:pPr>
      <w:r>
        <w:rPr>
          <w:rFonts w:ascii="Calibri" w:hAnsi="Calibri"/>
          <w:color w:val="333333"/>
          <w:sz w:val="22"/>
        </w:rPr>
        <w:t>Mudando para uma localidade que tem sido assolada por problemas de turismo de massa, o capítulo de Ana Žuvela e Ana Portolan, "As dicotomias do turismo local e o desenvolvimento cultural na cidade de Dubrovnik: questões de (in)sustentabilidade", examina questões de bem-estar cultural e comunitário em um contexto de turismo excessivo em cidades pequenas. Alimentado pelos renomados ativos de patrimônio cultural da cidade (bem como pela série de televisão "Game of Thrones"), as pressões da indústria do turismo estão provocando transformações contínuas que estão redefinindo rapidamente a cidade. Os autores notam uma separação tradicional entre a análise da cultura e do turismo na cidade, e argumentam que essa separação tem contribuído para "inconsistências e imprudência" (p. 179) ao abordar essas transformações contínuas. Visando abordar essa situação, o capítulo fornece uma análise crítica tanto das provisões de desenvolvimento cultural quanto turístico em Dubrovnik, suas interrelações com a sustentabilidade local e a extensão em que há um abismo na compreensão e abordagem de questões envolvendo os dois domínios interligados. Contextualizando esta análise estão considerações sobre modelos de governança participativa para reger e gerenciar recursos culturais, formulação de políticas 'articuladas' e o desenvolvimento de uma "malha estrutural para a sustentabilidade local" (p. 181) que criaria "sinergias e simbioses entre diferentes atores e setores" e distribuiria tanto responsabilidades quanto "benefícios colhidos da atividade turística comercial baseada na cultura" (p. 181).</w:t>
      </w:r>
    </w:p>
    <w:p>
      <w:pPr>
        <w:spacing w:after="120" w:line="276" w:lineRule="auto"/>
        <w:jc w:val="both"/>
      </w:pPr>
      <w:r>
        <w:rPr>
          <w:rFonts w:ascii="Calibri" w:hAnsi="Calibri"/>
          <w:color w:val="333333"/>
          <w:sz w:val="22"/>
        </w:rPr>
        <w:t>O capítulo discute uma resposta local imaginativa a "uma incapacidade de fornecer soluções sistemáticas para um declínio na qualidade de uma substância cultural local que está cedendo lugar ao turismo e ao uso impulsionado comercialmente dos recursos culturais" (p. 185) para embarcar em uma candidatura à designação de Capital Europeia da Cultura (ECOC). A necessidade de a candidatura incluir um plano estratégico local para a cultura e a ativação de recursos culturais locais para a cooperação cultural europeia levou os organizadores da candidatura à posição de que ela "poderia fornecer uma abordagem alternativa, visando criar um equilíbrio entre o desenvolvimento turístico descontrolado e modos sustentáveis de desenvolvimento impulsionado pela cultura" (p. 186). Embora no final...</w:t>
      </w:r>
    </w:p>
    <w:p>
      <w:pPr>
        <w:spacing w:after="120" w:line="276" w:lineRule="auto"/>
        <w:jc w:val="both"/>
      </w:pPr>
      <w:r>
        <w:rPr>
          <w:rFonts w:ascii="Calibri" w:hAnsi="Calibri"/>
          <w:color w:val="333333"/>
          <w:sz w:val="22"/>
        </w:rPr>
        <w:t>2 A conferência "Cultura, Sustentabilidade e Lugar: Abordagens Inovadoras para o Desenvolvimento do Turismo" foi coorganizada pelo Centro de Estudos Sociais da Universidade de Coimbra; pelo Observatório de Turismo dos Açores; e pela Universidade dos Açores (todos em Portugal); e pela Universidade Thompson Rivers (Canadá).</w:t>
      </w:r>
    </w:p>
    <w:p>
      <w:pPr>
        <w:spacing w:after="120" w:line="276" w:lineRule="auto"/>
        <w:jc w:val="both"/>
      </w:pPr>
      <w:r>
        <w:rPr>
          <w:rFonts w:ascii="Calibri" w:hAnsi="Calibri"/>
          <w:color w:val="333333"/>
          <w:sz w:val="22"/>
        </w:rPr>
        <w:t>3 O design e a operação da Fogo Island Inn, localizada em outra parte da província, ajudaram a alimentar esse movimento de geoturismo na província de Terra Nova e Labrador. Internacionalmente, a noção é altamente promovida pela organização National Geographic.</w:t>
      </w:r>
    </w:p>
    <w:p>
      <w:pPr>
        <w:keepNext/>
        <w:spacing w:before="360" w:after="120"/>
      </w:pPr>
      <w:r>
        <w:rPr>
          <w:rFonts w:ascii="Calibri" w:hAnsi="Calibri"/>
          <w:b/>
          <w:color w:val="1F4E78"/>
          <w:sz w:val="32"/>
        </w:rPr>
        <w:t>Referências</w:t>
      </w:r>
    </w:p>
    <w:p>
      <w:pPr>
        <w:spacing w:after="80" w:line="276" w:lineRule="auto"/>
        <w:jc w:val="both"/>
      </w:pPr>
      <w:r>
        <w:rPr>
          <w:rFonts w:ascii="Calibri" w:hAnsi="Calibri"/>
          <w:color w:val="333333"/>
          <w:sz w:val="20"/>
        </w:rPr>
        <w:t>Aarø-Hansen, M. (2017). The end of tourism as we know it. Copenhagen: Wonderful Copenhagen (DMO). Retrieved from: http://localhood.wonderfulcopenhagen.dk.</w:t>
      </w:r>
    </w:p>
    <w:p>
      <w:pPr>
        <w:spacing w:after="80" w:line="276" w:lineRule="auto"/>
        <w:jc w:val="both"/>
      </w:pPr>
      <w:r>
        <w:rPr>
          <w:rFonts w:ascii="Calibri" w:hAnsi="Calibri"/>
          <w:color w:val="333333"/>
          <w:sz w:val="20"/>
        </w:rPr>
        <w:t>Assmann, A. (2019). The future of cultural heritage and its challenges. In T. Meireis and G. Rippl (Eds.), Cultural sustainability: perspectives from the humanities and social sciences (pp. 25-35). London: Routledge.</w:t>
      </w:r>
    </w:p>
    <w:p>
      <w:pPr>
        <w:spacing w:after="80" w:line="276" w:lineRule="auto"/>
        <w:jc w:val="both"/>
      </w:pPr>
      <w:r>
        <w:rPr>
          <w:rFonts w:ascii="Calibri" w:hAnsi="Calibri"/>
          <w:color w:val="333333"/>
          <w:sz w:val="20"/>
        </w:rPr>
        <w:t>Baycan, T. and Girard, L. F. (2013). Case study window culture in international sustainability practices and perspectives: the experience of 'Slow City Movement - Cittaslow'. In G. Young and D. Stevenson (Eds.), The Ashgate research companion to planning and culture (pp. 273-289). Surrey, UK, and Burlington, VT: Ashgate.</w:t>
      </w:r>
    </w:p>
    <w:p>
      <w:pPr>
        <w:spacing w:after="80" w:line="276" w:lineRule="auto"/>
        <w:jc w:val="both"/>
      </w:pPr>
      <w:r>
        <w:rPr>
          <w:rFonts w:ascii="Calibri" w:hAnsi="Calibri"/>
          <w:color w:val="333333"/>
          <w:sz w:val="20"/>
        </w:rPr>
        <w:t>Bianchini, F. and Ghilardi, L. (2007). Thinking culturally about place. Place Branding and Public Diplomacy, 3(4), 280-286.</w:t>
      </w:r>
    </w:p>
    <w:p>
      <w:pPr>
        <w:spacing w:after="80" w:line="276" w:lineRule="auto"/>
        <w:jc w:val="both"/>
      </w:pPr>
      <w:r>
        <w:rPr>
          <w:rFonts w:ascii="Calibri" w:hAnsi="Calibri"/>
          <w:color w:val="333333"/>
          <w:sz w:val="20"/>
        </w:rPr>
        <w:t>Cave, J. and Dredge, D. (2020). Regenerative tourism needs diverse economic practices. Tourism Geographies. doi: 10.1080/14616688.2020.1768434</w:t>
      </w:r>
    </w:p>
    <w:p>
      <w:pPr>
        <w:spacing w:after="80" w:line="276" w:lineRule="auto"/>
        <w:jc w:val="both"/>
      </w:pPr>
      <w:r>
        <w:rPr>
          <w:rFonts w:ascii="Calibri" w:hAnsi="Calibri"/>
          <w:color w:val="333333"/>
          <w:sz w:val="20"/>
        </w:rPr>
        <w:t>Cooper, C. P., Fletcher, J. E., Gilbert, D. C. and Wanhill, S. (2013). Tourism: principles and practice. New York: Pitman Publishing.</w:t>
      </w:r>
    </w:p>
    <w:p>
      <w:pPr>
        <w:spacing w:after="80" w:line="276" w:lineRule="auto"/>
        <w:jc w:val="both"/>
      </w:pPr>
      <w:r>
        <w:rPr>
          <w:rFonts w:ascii="Calibri" w:hAnsi="Calibri"/>
          <w:color w:val="333333"/>
          <w:sz w:val="20"/>
        </w:rPr>
        <w:t>Daye, M. (2008). Re-envisioning Caribbean tourism. In M. Daye, D. Chambers, and S. Roberts (Eds.), New perspectives in Caribbean tourism (pp. 19-43). New York: Routledge.</w:t>
      </w:r>
    </w:p>
    <w:p>
      <w:pPr>
        <w:spacing w:after="80" w:line="276" w:lineRule="auto"/>
        <w:jc w:val="both"/>
      </w:pPr>
      <w:r>
        <w:rPr>
          <w:rFonts w:ascii="Calibri" w:hAnsi="Calibri"/>
          <w:color w:val="333333"/>
          <w:sz w:val="20"/>
        </w:rPr>
        <w:t>Duxbury, N. (2020). Good policy and practices of cultural mapping, planning, and impact assessment to support policy implementation - European context. Report developed in the context of the project "Cultural Mapping, Planning and Impact Assessment for Sustainable and Just Urban Development SA-EU Strategic Partnership - The Dialogue Facility".</w:t>
      </w:r>
    </w:p>
    <w:p>
      <w:pPr>
        <w:spacing w:after="80" w:line="276" w:lineRule="auto"/>
        <w:jc w:val="both"/>
      </w:pPr>
      <w:r>
        <w:rPr>
          <w:rFonts w:ascii="Calibri" w:hAnsi="Calibri"/>
          <w:color w:val="333333"/>
          <w:sz w:val="20"/>
        </w:rPr>
        <w:t>European Expert Network on Culture and Audiovisual (EENCA). (2019). Carrying capacity at sensitive cultural heritage sites. Brussels: Creative Europe Program, European Union.</w:t>
      </w:r>
    </w:p>
    <w:p>
      <w:pPr>
        <w:spacing w:after="80" w:line="276" w:lineRule="auto"/>
        <w:jc w:val="both"/>
      </w:pPr>
      <w:r>
        <w:rPr>
          <w:rFonts w:ascii="Calibri" w:hAnsi="Calibri"/>
          <w:color w:val="333333"/>
          <w:sz w:val="20"/>
        </w:rPr>
        <w:t>European Union (EU). (2019). Sustainable cultural tourism. Report prepared by the OMC (Open Method of Coordination) Working Group of Member States' Experts, developed in the context of the European Agenda for Culture: European Work Plan for Culture 2015-2018. Luxembourg: Publication Office of the European Union.</w:t>
      </w:r>
    </w:p>
    <w:p>
      <w:pPr>
        <w:spacing w:after="80" w:line="276" w:lineRule="auto"/>
        <w:jc w:val="both"/>
      </w:pPr>
      <w:r>
        <w:rPr>
          <w:rFonts w:ascii="Calibri" w:hAnsi="Calibri"/>
          <w:color w:val="333333"/>
          <w:sz w:val="20"/>
        </w:rPr>
        <w:t>Fortunato, R. A. and Silva, L. (2013). Os conflitos em torno do turismo comunitário na Prainha do canto Verde (CE) (The conflicts over community tourism in Prainha do canto Verde). Revista brasileira de ecoturismo, 6(1), 123-138.</w:t>
      </w:r>
    </w:p>
    <w:p>
      <w:pPr>
        <w:spacing w:after="80" w:line="276" w:lineRule="auto"/>
        <w:jc w:val="both"/>
      </w:pPr>
      <w:r>
        <w:rPr>
          <w:rFonts w:ascii="Calibri" w:hAnsi="Calibri"/>
          <w:color w:val="333333"/>
          <w:sz w:val="20"/>
        </w:rPr>
        <w:t>García-Hernández, M., De la Calle-Vaquero, M. and Yubero, C. (2017). Cultural heritage and urban tourism: historic city centres under pressure. Sustainability, 9(8), 1346. doi: 10.3390/su9081346</w:t>
      </w:r>
    </w:p>
    <w:p>
      <w:pPr>
        <w:spacing w:after="80" w:line="276" w:lineRule="auto"/>
        <w:jc w:val="both"/>
      </w:pPr>
      <w:r>
        <w:rPr>
          <w:rFonts w:ascii="Calibri" w:hAnsi="Calibri"/>
          <w:color w:val="333333"/>
          <w:sz w:val="20"/>
        </w:rPr>
        <w:t>George, E. W. (2010). Intangible cultural heritage, ownership, copyrights, and tourism. International Journal of Culture, Tourism and Hospitality Research, 4, 376-388.</w:t>
      </w:r>
    </w:p>
    <w:p>
      <w:pPr>
        <w:spacing w:after="80" w:line="276" w:lineRule="auto"/>
        <w:jc w:val="both"/>
      </w:pPr>
      <w:r>
        <w:rPr>
          <w:rFonts w:ascii="Calibri" w:hAnsi="Calibri"/>
          <w:color w:val="333333"/>
          <w:sz w:val="20"/>
        </w:rPr>
        <w:t>Ghilardi, L. (2017). Making the most of cultural and creative resources: the mapping and strategy building handbook for creative towns and regions. Report developed within the context of the EU Eastern Partnership Culture and Creativity Programme. Retrieved from: www.culturepartnership.eu/en/article/creative-towns-handbook-ge.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