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стили - импорт всякого  +  потом общие +  mediaStyles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--МЕТКИ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можно оставлять в коде как память об месте в имени класса или комент метка это имя класс .NR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NR - метка для мест которые не доделаны (not ready) ('.NR')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PS - записать , сделать общим классом, общ блоком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MB - можт пригодится, пока оставим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main - белая область главный контент, дается класс для разных страниц и общий стиль для тега main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или лучше так , main общий , а потом добавляются разные / отдельные (самостоятельные ) section c контеинером внутри, и уже под них стили отталкиваясь на имя класса   -  404 сделал по ней ( .page-404)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леиблы с акциями(беидж) - label-wrap обертка для блока label-red с position: relative;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-- общие классы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.fw-block - full width banner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.read-more.more-arrow  - " Читать еще ----&gt; "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.more-arrow - крассная стрелка вправо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.title  = для Н1 которые на страницах вверху.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item-wrapper обертка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 .item - блоки по 3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 .fw.item-wrapper - по 3 на всю ширину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-- главные этапы разработки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0.1 - внизу   в фаил about пишем что уже сделано , и что делать дальше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0.2 - по блокам заемтить  время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1 - разборка по блокам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в фаил about, выписать основные блоки     (--Main Blocks )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те что повторяются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те что не будут повторяться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 xml:space="preserve">определить размеры шрифтов h1-h6 (для наглядности записать)  (--typography)</w:t>
        <w:tab/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1.2  - сложные блоки для стилей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1.3  - использование скриптов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2.1 - по блокам в п.1 уже можно определить приблизительное время для работы по страницам ( время по страницам/блокам ) - после его можно переделать в блок TESTING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3 - стили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   скопировать все стили из base/css править  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mmenu.css - стили для мменю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typography.css - подкл шрифтов, размеры;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base.css   -в начале, сброс стандартных отступов, потом базовыве блоки, их надо еще сделть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style.css - правка , модификаторы стандартных блоков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mediaStyles.css - медиа для мобильных </w:t>
        <w:tab/>
        <w:t xml:space="preserve"> 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  <w:t xml:space="preserve">4 -  в  TESTING  в фаил about пишем страницы , и что по ним еще надо сделать, что б было видно прогресс</w:t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35.0000000000002" w:right="-585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