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5.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fontTable.xml" ContentType="application/vnd.openxmlformats-officedocument.wordprocessingml.fontTable+xml"/>
  <Override PartName="/word/header6.xml" ContentType="application/vnd.openxmlformats-officedocument.wordprocessingml.header+xml"/>
  <Override PartName="/word/numbering.xml" ContentType="application/vnd.openxmlformats-officedocument.wordprocessingml.numbering+xml"/>
  <Override PartName="/word/footer6.xml" ContentType="application/vnd.openxmlformats-officedocument.wordprocessingml.footer+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jc w:val="center"/>
        <w:rPr>
          <w:sz w:val="44"/>
          <w:szCs w:val="44"/>
        </w:rPr>
      </w:pPr>
      <w:r>
        <w:rPr>
          <w:sz w:val="44"/>
          <w:szCs w:val="44"/>
        </w:rPr>
        <w:t>SOLUTION ARCHITECTURE</w:t>
      </w:r>
    </w:p>
    <w:p>
      <w:pPr>
        <w:pStyle w:val="Normal"/>
        <w:jc w:val="center"/>
        <w:rPr>
          <w:sz w:val="44"/>
          <w:szCs w:val="44"/>
        </w:rPr>
      </w:pPr>
      <w:r>
        <w:rPr>
          <w:sz w:val="44"/>
          <w:szCs w:val="44"/>
        </w:rPr>
        <w:t>DOCUMENT</w:t>
      </w:r>
    </w:p>
    <w:p>
      <w:pPr>
        <w:pStyle w:val="Normal"/>
        <w:jc w:val="center"/>
        <w:rPr>
          <w:sz w:val="44"/>
          <w:szCs w:val="44"/>
        </w:rPr>
      </w:pPr>
      <w:r>
        <w:rPr>
          <w:sz w:val="44"/>
          <w:szCs w:val="44"/>
        </w:rPr>
      </w:r>
    </w:p>
    <w:p>
      <w:pPr>
        <w:pStyle w:val="Normal"/>
        <w:jc w:val="center"/>
        <w:rPr>
          <w:sz w:val="44"/>
          <w:szCs w:val="44"/>
        </w:rPr>
      </w:pPr>
      <w:r>
        <w:rPr>
          <w:sz w:val="44"/>
          <w:szCs w:val="44"/>
        </w:rPr>
      </w:r>
    </w:p>
    <w:p>
      <w:pPr>
        <w:pStyle w:val="Normal"/>
        <w:jc w:val="center"/>
        <w:rPr>
          <w:sz w:val="44"/>
          <w:szCs w:val="44"/>
        </w:rPr>
      </w:pPr>
      <w:r>
        <w:rPr>
          <w:sz w:val="44"/>
          <w:szCs w:val="44"/>
        </w:rPr>
      </w:r>
    </w:p>
    <w:p>
      <w:pPr>
        <w:pStyle w:val="Normal"/>
        <w:jc w:val="center"/>
        <w:rPr>
          <w:sz w:val="44"/>
          <w:szCs w:val="44"/>
        </w:rPr>
      </w:pPr>
      <w:r>
        <w:rPr>
          <w:sz w:val="44"/>
          <w:szCs w:val="44"/>
        </w:rPr>
        <w:t xml:space="preserve"> </w:t>
      </w:r>
      <w:r>
        <w:rPr>
          <w:sz w:val="44"/>
          <w:szCs w:val="44"/>
        </w:rPr>
        <w:t xml:space="preserve">Project Name: Procurement Intelligence </w:t>
      </w:r>
    </w:p>
    <w:p>
      <w:pPr>
        <w:pStyle w:val="Normal"/>
        <w:jc w:val="center"/>
        <w:rPr>
          <w:sz w:val="44"/>
          <w:szCs w:val="44"/>
        </w:rPr>
      </w:pPr>
      <w:r>
        <w:rPr>
          <w:sz w:val="44"/>
          <w:szCs w:val="44"/>
        </w:rPr>
        <w:t>&amp; Vendor Risk Platform</w:t>
      </w:r>
    </w:p>
    <w:p>
      <w:pPr>
        <w:pStyle w:val="Normal"/>
        <w:jc w:val="center"/>
        <w:rPr>
          <w:sz w:val="44"/>
          <w:szCs w:val="44"/>
        </w:rPr>
      </w:pPr>
      <w:r>
        <w:rPr>
          <w:sz w:val="44"/>
          <w:szCs w:val="44"/>
        </w:rPr>
        <w:t>&lt;Project Reference:&gt;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tbl>
      <w:tblPr>
        <w:tblW w:w="9245" w:type="dxa"/>
        <w:jc w:val="start"/>
        <w:tblInd w:w="103" w:type="dxa"/>
        <w:tblLayout w:type="fixed"/>
        <w:tblCellMar>
          <w:top w:w="0" w:type="dxa"/>
          <w:start w:w="108" w:type="dxa"/>
          <w:bottom w:w="0" w:type="dxa"/>
          <w:end w:w="108" w:type="dxa"/>
        </w:tblCellMar>
        <w:tblLook w:noHBand="0" w:noVBand="0" w:firstColumn="1" w:lastRow="0" w:lastColumn="0" w:firstRow="1" w:val="00a0"/>
      </w:tblPr>
      <w:tblGrid>
        <w:gridCol w:w="2942"/>
        <w:gridCol w:w="6303"/>
      </w:tblGrid>
      <w:tr>
        <w:trPr/>
        <w:tc>
          <w:tcPr>
            <w:tcW w:w="2942" w:type="dxa"/>
            <w:tcBorders>
              <w:top w:val="single" w:sz="4" w:space="0" w:color="000000"/>
              <w:start w:val="single" w:sz="4" w:space="0" w:color="000000"/>
              <w:bottom w:val="single" w:sz="4" w:space="0" w:color="000000"/>
              <w:end w:val="single" w:sz="4" w:space="0" w:color="000000"/>
            </w:tcBorders>
            <w:shd w:color="auto" w:fill="D9D9D9" w:val="clear"/>
          </w:tcPr>
          <w:p>
            <w:pPr>
              <w:pStyle w:val="Footer"/>
              <w:rPr/>
            </w:pPr>
            <w:r>
              <w:rPr/>
              <w:t>Project Sponsor:</w:t>
            </w:r>
          </w:p>
        </w:tc>
        <w:tc>
          <w:tcPr>
            <w:tcW w:w="6303" w:type="dxa"/>
            <w:tcBorders>
              <w:top w:val="single" w:sz="4" w:space="0" w:color="000000"/>
              <w:start w:val="single" w:sz="4" w:space="0" w:color="000000"/>
              <w:bottom w:val="single" w:sz="4" w:space="0" w:color="000000"/>
              <w:end w:val="single" w:sz="4" w:space="0" w:color="000000"/>
            </w:tcBorders>
            <w:vAlign w:val="bottom"/>
          </w:tcPr>
          <w:p>
            <w:pPr>
              <w:pStyle w:val="Footer"/>
              <w:rPr/>
            </w:pPr>
            <w:r>
              <w:rPr/>
              <w:t>ChatGPT &amp; Claude</w:t>
            </w:r>
          </w:p>
        </w:tc>
      </w:tr>
      <w:tr>
        <w:trPr/>
        <w:tc>
          <w:tcPr>
            <w:tcW w:w="2942" w:type="dxa"/>
            <w:tcBorders>
              <w:top w:val="single" w:sz="4" w:space="0" w:color="000000"/>
              <w:start w:val="single" w:sz="4" w:space="0" w:color="000000"/>
              <w:bottom w:val="single" w:sz="4" w:space="0" w:color="000000"/>
              <w:end w:val="single" w:sz="4" w:space="0" w:color="000000"/>
            </w:tcBorders>
            <w:shd w:color="auto" w:fill="D9D9D9" w:val="clear"/>
          </w:tcPr>
          <w:p>
            <w:pPr>
              <w:pStyle w:val="Footer"/>
              <w:rPr/>
            </w:pPr>
            <w:r>
              <w:rPr/>
              <w:t>Business Project Manager:</w:t>
            </w:r>
          </w:p>
        </w:tc>
        <w:tc>
          <w:tcPr>
            <w:tcW w:w="6303" w:type="dxa"/>
            <w:tcBorders>
              <w:top w:val="single" w:sz="4" w:space="0" w:color="000000"/>
              <w:start w:val="single" w:sz="4" w:space="0" w:color="000000"/>
              <w:bottom w:val="single" w:sz="4" w:space="0" w:color="000000"/>
              <w:end w:val="single" w:sz="4" w:space="0" w:color="000000"/>
            </w:tcBorders>
            <w:vAlign w:val="bottom"/>
          </w:tcPr>
          <w:p>
            <w:pPr>
              <w:pStyle w:val="Footer"/>
              <w:rPr/>
            </w:pPr>
            <w:r>
              <w:rPr/>
              <w:t>Toushif Hossain</w:t>
            </w:r>
          </w:p>
        </w:tc>
      </w:tr>
      <w:tr>
        <w:trPr/>
        <w:tc>
          <w:tcPr>
            <w:tcW w:w="2942" w:type="dxa"/>
            <w:tcBorders>
              <w:top w:val="single" w:sz="4" w:space="0" w:color="000000"/>
              <w:start w:val="single" w:sz="4" w:space="0" w:color="000000"/>
              <w:bottom w:val="single" w:sz="4" w:space="0" w:color="000000"/>
              <w:end w:val="single" w:sz="4" w:space="0" w:color="000000"/>
            </w:tcBorders>
            <w:shd w:color="auto" w:fill="D9D9D9" w:val="clear"/>
          </w:tcPr>
          <w:p>
            <w:pPr>
              <w:pStyle w:val="Footer"/>
              <w:rPr/>
            </w:pPr>
            <w:r>
              <w:rPr/>
              <w:t>IT Project Manager:</w:t>
            </w:r>
          </w:p>
        </w:tc>
        <w:tc>
          <w:tcPr>
            <w:tcW w:w="6303" w:type="dxa"/>
            <w:tcBorders>
              <w:top w:val="single" w:sz="4" w:space="0" w:color="000000"/>
              <w:start w:val="single" w:sz="4" w:space="0" w:color="000000"/>
              <w:bottom w:val="single" w:sz="4" w:space="0" w:color="000000"/>
              <w:end w:val="single" w:sz="4" w:space="0" w:color="000000"/>
            </w:tcBorders>
            <w:vAlign w:val="bottom"/>
          </w:tcPr>
          <w:p>
            <w:pPr>
              <w:pStyle w:val="Footer"/>
              <w:rPr/>
            </w:pPr>
            <w:r>
              <w:rPr/>
              <w:t>Toushif Hossain</w:t>
            </w:r>
          </w:p>
        </w:tc>
      </w:tr>
      <w:tr>
        <w:trPr/>
        <w:tc>
          <w:tcPr>
            <w:tcW w:w="2942" w:type="dxa"/>
            <w:tcBorders>
              <w:top w:val="single" w:sz="4" w:space="0" w:color="000000"/>
              <w:start w:val="single" w:sz="4" w:space="0" w:color="000000"/>
              <w:bottom w:val="single" w:sz="4" w:space="0" w:color="000000"/>
              <w:end w:val="single" w:sz="4" w:space="0" w:color="000000"/>
            </w:tcBorders>
            <w:shd w:color="auto" w:fill="D9D9D9" w:val="clear"/>
          </w:tcPr>
          <w:p>
            <w:pPr>
              <w:pStyle w:val="Footer"/>
              <w:rPr/>
            </w:pPr>
            <w:r>
              <w:rPr/>
              <w:t>Business Analyst:</w:t>
            </w:r>
          </w:p>
        </w:tc>
        <w:tc>
          <w:tcPr>
            <w:tcW w:w="6303" w:type="dxa"/>
            <w:tcBorders>
              <w:top w:val="single" w:sz="4" w:space="0" w:color="000000"/>
              <w:start w:val="single" w:sz="4" w:space="0" w:color="000000"/>
              <w:bottom w:val="single" w:sz="4" w:space="0" w:color="000000"/>
              <w:end w:val="single" w:sz="4" w:space="0" w:color="000000"/>
            </w:tcBorders>
            <w:vAlign w:val="bottom"/>
          </w:tcPr>
          <w:p>
            <w:pPr>
              <w:pStyle w:val="Footer"/>
              <w:rPr/>
            </w:pPr>
            <w:r>
              <w:rPr/>
              <w:t>Toushif Hossain</w:t>
            </w:r>
          </w:p>
        </w:tc>
      </w:tr>
    </w:tbl>
    <w:p>
      <w:pPr>
        <w:pStyle w:val="Normal"/>
        <w:rPr/>
      </w:pPr>
      <w:r>
        <w:rPr/>
      </w:r>
    </w:p>
    <w:p>
      <w:pPr>
        <w:pStyle w:val="Footer"/>
        <w:rPr/>
      </w:pPr>
      <w:r>
        <w:rPr/>
      </w:r>
    </w:p>
    <w:p>
      <w:pPr>
        <w:pStyle w:val="Footer"/>
        <w:rPr/>
      </w:pPr>
      <w:r>
        <w:rPr/>
      </w:r>
    </w:p>
    <w:tbl>
      <w:tblPr>
        <w:tblW w:w="9180" w:type="dxa"/>
        <w:jc w:val="start"/>
        <w:tblInd w:w="103" w:type="dxa"/>
        <w:tblLayout w:type="fixed"/>
        <w:tblCellMar>
          <w:top w:w="0" w:type="dxa"/>
          <w:start w:w="108" w:type="dxa"/>
          <w:bottom w:w="0" w:type="dxa"/>
          <w:end w:w="108" w:type="dxa"/>
        </w:tblCellMar>
        <w:tblLook w:noHBand="0" w:noVBand="0" w:firstColumn="0" w:lastRow="0" w:lastColumn="0" w:firstRow="0" w:val="0000"/>
      </w:tblPr>
      <w:tblGrid>
        <w:gridCol w:w="2943"/>
        <w:gridCol w:w="6237"/>
      </w:tblGrid>
      <w:tr>
        <w:trPr/>
        <w:tc>
          <w:tcPr>
            <w:tcW w:w="2943" w:type="dxa"/>
            <w:tcBorders>
              <w:top w:val="single" w:sz="4" w:space="0" w:color="000000"/>
              <w:start w:val="single" w:sz="4" w:space="0" w:color="000000"/>
              <w:bottom w:val="single" w:sz="4" w:space="0" w:color="000000"/>
              <w:end w:val="single" w:sz="4" w:space="0" w:color="000000"/>
            </w:tcBorders>
            <w:shd w:color="auto" w:fill="D9D9D9" w:val="clear"/>
          </w:tcPr>
          <w:p>
            <w:pPr>
              <w:pStyle w:val="Normal"/>
              <w:rPr/>
            </w:pPr>
            <w:r>
              <w:rPr/>
              <w:t>Document Author:</w:t>
            </w:r>
          </w:p>
        </w:tc>
        <w:tc>
          <w:tcPr>
            <w:tcW w:w="6237" w:type="dxa"/>
            <w:tcBorders>
              <w:top w:val="single" w:sz="4" w:space="0" w:color="000000"/>
              <w:start w:val="single" w:sz="4" w:space="0" w:color="000000"/>
              <w:bottom w:val="single" w:sz="4" w:space="0" w:color="000000"/>
              <w:end w:val="single" w:sz="4" w:space="0" w:color="000000"/>
            </w:tcBorders>
            <w:shd w:color="auto" w:fill="FFFFFF" w:val="clear"/>
            <w:vAlign w:val="bottom"/>
          </w:tcPr>
          <w:p>
            <w:pPr>
              <w:pStyle w:val="Normal"/>
              <w:rPr/>
            </w:pPr>
            <w:r>
              <w:rPr/>
              <w:t>Toushif Hossain</w:t>
            </w:r>
          </w:p>
        </w:tc>
      </w:tr>
      <w:tr>
        <w:trPr/>
        <w:tc>
          <w:tcPr>
            <w:tcW w:w="2943" w:type="dxa"/>
            <w:tcBorders>
              <w:top w:val="single" w:sz="4" w:space="0" w:color="000000"/>
              <w:start w:val="single" w:sz="4" w:space="0" w:color="000000"/>
              <w:bottom w:val="single" w:sz="4" w:space="0" w:color="000000"/>
              <w:end w:val="single" w:sz="4" w:space="0" w:color="000000"/>
            </w:tcBorders>
            <w:shd w:color="auto" w:fill="D9D9D9" w:val="clear"/>
          </w:tcPr>
          <w:p>
            <w:pPr>
              <w:pStyle w:val="Normal"/>
              <w:rPr/>
            </w:pPr>
            <w:r>
              <w:rPr/>
              <w:t>Version Number:</w:t>
            </w:r>
          </w:p>
        </w:tc>
        <w:tc>
          <w:tcPr>
            <w:tcW w:w="6237" w:type="dxa"/>
            <w:tcBorders>
              <w:top w:val="single" w:sz="4" w:space="0" w:color="000000"/>
              <w:start w:val="single" w:sz="4" w:space="0" w:color="000000"/>
              <w:bottom w:val="single" w:sz="4" w:space="0" w:color="000000"/>
              <w:end w:val="single" w:sz="4" w:space="0" w:color="000000"/>
            </w:tcBorders>
            <w:vAlign w:val="bottom"/>
          </w:tcPr>
          <w:p>
            <w:pPr>
              <w:pStyle w:val="Normal"/>
              <w:rPr/>
            </w:pPr>
            <w:r>
              <w:rPr/>
              <w:t>V0.1</w:t>
            </w:r>
          </w:p>
        </w:tc>
      </w:tr>
      <w:tr>
        <w:trPr/>
        <w:tc>
          <w:tcPr>
            <w:tcW w:w="2943" w:type="dxa"/>
            <w:tcBorders>
              <w:top w:val="single" w:sz="4" w:space="0" w:color="000000"/>
              <w:start w:val="single" w:sz="4" w:space="0" w:color="000000"/>
              <w:bottom w:val="single" w:sz="4" w:space="0" w:color="000000"/>
              <w:end w:val="single" w:sz="4" w:space="0" w:color="000000"/>
            </w:tcBorders>
            <w:shd w:color="auto" w:fill="D9D9D9" w:val="clear"/>
          </w:tcPr>
          <w:p>
            <w:pPr>
              <w:pStyle w:val="Normal"/>
              <w:rPr/>
            </w:pPr>
            <w:r>
              <w:rPr/>
              <w:t>Last Updated:</w:t>
            </w:r>
          </w:p>
        </w:tc>
        <w:tc>
          <w:tcPr>
            <w:tcW w:w="6237" w:type="dxa"/>
            <w:tcBorders>
              <w:top w:val="single" w:sz="4" w:space="0" w:color="000000"/>
              <w:start w:val="single" w:sz="4" w:space="0" w:color="000000"/>
              <w:bottom w:val="single" w:sz="4" w:space="0" w:color="000000"/>
              <w:end w:val="single" w:sz="4" w:space="0" w:color="000000"/>
            </w:tcBorders>
            <w:vAlign w:val="bottom"/>
          </w:tcPr>
          <w:p>
            <w:pPr>
              <w:pStyle w:val="Normal"/>
              <w:rPr/>
            </w:pPr>
            <w:r>
              <w:rPr/>
              <w:t>20/08/26</w:t>
            </w:r>
          </w:p>
        </w:tc>
      </w:tr>
      <w:tr>
        <w:trPr/>
        <w:tc>
          <w:tcPr>
            <w:tcW w:w="2943" w:type="dxa"/>
            <w:tcBorders>
              <w:top w:val="single" w:sz="4" w:space="0" w:color="000000"/>
              <w:start w:val="single" w:sz="4" w:space="0" w:color="000000"/>
              <w:bottom w:val="single" w:sz="4" w:space="0" w:color="000000"/>
              <w:end w:val="single" w:sz="4" w:space="0" w:color="000000"/>
            </w:tcBorders>
            <w:shd w:color="auto" w:fill="D9D9D9" w:val="clear"/>
          </w:tcPr>
          <w:p>
            <w:pPr>
              <w:pStyle w:val="Normal"/>
              <w:rPr/>
            </w:pPr>
            <w:r>
              <w:rPr/>
              <w:t>Status:</w:t>
            </w:r>
          </w:p>
        </w:tc>
        <w:tc>
          <w:tcPr>
            <w:tcW w:w="6237" w:type="dxa"/>
            <w:tcBorders>
              <w:top w:val="single" w:sz="4" w:space="0" w:color="000000"/>
              <w:start w:val="single" w:sz="4" w:space="0" w:color="000000"/>
              <w:bottom w:val="single" w:sz="4" w:space="0" w:color="000000"/>
              <w:end w:val="single" w:sz="4" w:space="0" w:color="000000"/>
            </w:tcBorders>
            <w:vAlign w:val="bottom"/>
          </w:tcPr>
          <w:p>
            <w:pPr>
              <w:pStyle w:val="Normal"/>
              <w:rPr/>
            </w:pPr>
            <w:r>
              <w:rPr/>
              <w:t>Draft/Released</w:t>
            </w:r>
          </w:p>
        </w:tc>
      </w:tr>
    </w:tbl>
    <w:p>
      <w:pPr>
        <w:pStyle w:val="Normal"/>
        <w:rPr/>
      </w:pPr>
      <w:r>
        <w:br w:type="page"/>
      </w:r>
      <w:r>
        <w:rPr/>
        <w:t>DOCUMENT CONTROL</w:t>
      </w:r>
    </w:p>
    <w:p>
      <w:pPr>
        <w:pStyle w:val="CITInfoBlue"/>
        <w:rPr/>
      </w:pPr>
      <w:r>
        <w:rPr/>
        <w:t>&lt;Blue italic text is included to provide guidance to the author and should be deleted before publishing&gt;</w:t>
      </w:r>
    </w:p>
    <w:p>
      <w:pPr>
        <w:pStyle w:val="Normal"/>
        <w:rPr/>
      </w:pPr>
      <w:r>
        <w:rPr/>
        <w:t>Contacts</w:t>
      </w:r>
    </w:p>
    <w:p>
      <w:pPr>
        <w:pStyle w:val="CITInfoBlue"/>
        <w:rPr/>
      </w:pPr>
      <w:r>
        <w:rPr/>
        <w:t>&lt;Contacts that would be useful to provide for business information&gt;</w:t>
      </w:r>
    </w:p>
    <w:tbl>
      <w:tblPr>
        <w:tblW w:w="9180" w:type="dxa"/>
        <w:jc w:val="start"/>
        <w:tblInd w:w="103" w:type="dxa"/>
        <w:tblLayout w:type="fixed"/>
        <w:tblCellMar>
          <w:top w:w="0" w:type="dxa"/>
          <w:start w:w="108" w:type="dxa"/>
          <w:bottom w:w="0" w:type="dxa"/>
          <w:end w:w="108" w:type="dxa"/>
        </w:tblCellMar>
        <w:tblLook w:noHBand="0" w:noVBand="0" w:firstColumn="0" w:lastRow="0" w:lastColumn="0" w:firstRow="0" w:val="0000"/>
      </w:tblPr>
      <w:tblGrid>
        <w:gridCol w:w="2943"/>
        <w:gridCol w:w="6237"/>
      </w:tblGrid>
      <w:tr>
        <w:trPr/>
        <w:tc>
          <w:tcPr>
            <w:tcW w:w="2943" w:type="dxa"/>
            <w:tcBorders>
              <w:top w:val="single" w:sz="4" w:space="0" w:color="000000"/>
              <w:start w:val="single" w:sz="4" w:space="0" w:color="000000"/>
              <w:bottom w:val="single" w:sz="4" w:space="0" w:color="000000"/>
              <w:end w:val="single" w:sz="4" w:space="0" w:color="000000"/>
            </w:tcBorders>
            <w:shd w:color="auto" w:fill="D9D9D9" w:val="clear"/>
          </w:tcPr>
          <w:p>
            <w:pPr>
              <w:pStyle w:val="Normal"/>
              <w:rPr/>
            </w:pPr>
            <w:r>
              <w:rPr/>
              <w:t>Name:</w:t>
            </w:r>
          </w:p>
        </w:tc>
        <w:tc>
          <w:tcPr>
            <w:tcW w:w="6237" w:type="dxa"/>
            <w:tcBorders>
              <w:top w:val="single" w:sz="4" w:space="0" w:color="000000"/>
              <w:start w:val="single" w:sz="4" w:space="0" w:color="000000"/>
              <w:bottom w:val="single" w:sz="4" w:space="0" w:color="000000"/>
              <w:end w:val="single" w:sz="4" w:space="0" w:color="000000"/>
            </w:tcBorders>
            <w:shd w:color="auto" w:fill="FFFFFF" w:val="clear"/>
            <w:vAlign w:val="bottom"/>
          </w:tcPr>
          <w:p>
            <w:pPr>
              <w:pStyle w:val="Normal"/>
              <w:rPr/>
            </w:pPr>
            <w:r>
              <w:rPr/>
              <w:t>&lt;Contact name&gt;</w:t>
            </w:r>
          </w:p>
        </w:tc>
      </w:tr>
      <w:tr>
        <w:trPr/>
        <w:tc>
          <w:tcPr>
            <w:tcW w:w="2943" w:type="dxa"/>
            <w:tcBorders>
              <w:top w:val="single" w:sz="4" w:space="0" w:color="000000"/>
              <w:start w:val="single" w:sz="4" w:space="0" w:color="000000"/>
              <w:bottom w:val="single" w:sz="4" w:space="0" w:color="000000"/>
              <w:end w:val="single" w:sz="4" w:space="0" w:color="000000"/>
            </w:tcBorders>
            <w:shd w:color="auto" w:fill="D9D9D9" w:val="clear"/>
          </w:tcPr>
          <w:p>
            <w:pPr>
              <w:pStyle w:val="Normal"/>
              <w:rPr/>
            </w:pPr>
            <w:r>
              <w:rPr/>
              <w:t>Title:</w:t>
            </w:r>
          </w:p>
        </w:tc>
        <w:tc>
          <w:tcPr>
            <w:tcW w:w="6237" w:type="dxa"/>
            <w:tcBorders>
              <w:top w:val="single" w:sz="4" w:space="0" w:color="000000"/>
              <w:start w:val="single" w:sz="4" w:space="0" w:color="000000"/>
              <w:bottom w:val="single" w:sz="4" w:space="0" w:color="000000"/>
              <w:end w:val="single" w:sz="4" w:space="0" w:color="000000"/>
            </w:tcBorders>
            <w:vAlign w:val="bottom"/>
          </w:tcPr>
          <w:p>
            <w:pPr>
              <w:pStyle w:val="Normal"/>
              <w:rPr/>
            </w:pPr>
            <w:r>
              <w:rPr/>
              <w:t>&lt;Contact title&gt;</w:t>
            </w:r>
          </w:p>
        </w:tc>
      </w:tr>
      <w:tr>
        <w:trPr/>
        <w:tc>
          <w:tcPr>
            <w:tcW w:w="2943" w:type="dxa"/>
            <w:tcBorders>
              <w:top w:val="single" w:sz="4" w:space="0" w:color="000000"/>
              <w:start w:val="single" w:sz="4" w:space="0" w:color="000000"/>
              <w:bottom w:val="single" w:sz="4" w:space="0" w:color="000000"/>
              <w:end w:val="single" w:sz="4" w:space="0" w:color="000000"/>
            </w:tcBorders>
            <w:shd w:color="auto" w:fill="D9D9D9" w:val="clear"/>
          </w:tcPr>
          <w:p>
            <w:pPr>
              <w:pStyle w:val="Normal"/>
              <w:rPr/>
            </w:pPr>
            <w:r>
              <w:rPr/>
              <w:t>Location:</w:t>
            </w:r>
          </w:p>
        </w:tc>
        <w:tc>
          <w:tcPr>
            <w:tcW w:w="6237" w:type="dxa"/>
            <w:tcBorders>
              <w:top w:val="single" w:sz="4" w:space="0" w:color="000000"/>
              <w:start w:val="single" w:sz="4" w:space="0" w:color="000000"/>
              <w:bottom w:val="single" w:sz="4" w:space="0" w:color="000000"/>
              <w:end w:val="single" w:sz="4" w:space="0" w:color="000000"/>
            </w:tcBorders>
            <w:vAlign w:val="bottom"/>
          </w:tcPr>
          <w:p>
            <w:pPr>
              <w:pStyle w:val="Normal"/>
              <w:rPr/>
            </w:pPr>
            <w:r>
              <w:rPr/>
              <w:t>&lt;Where the contact can be located&gt;</w:t>
            </w:r>
          </w:p>
        </w:tc>
      </w:tr>
      <w:tr>
        <w:trPr/>
        <w:tc>
          <w:tcPr>
            <w:tcW w:w="2943" w:type="dxa"/>
            <w:tcBorders>
              <w:top w:val="single" w:sz="4" w:space="0" w:color="000000"/>
              <w:start w:val="single" w:sz="4" w:space="0" w:color="000000"/>
              <w:bottom w:val="single" w:sz="4" w:space="0" w:color="000000"/>
              <w:end w:val="single" w:sz="4" w:space="0" w:color="000000"/>
            </w:tcBorders>
            <w:shd w:color="auto" w:fill="D9D9D9" w:val="clear"/>
          </w:tcPr>
          <w:p>
            <w:pPr>
              <w:pStyle w:val="Normal"/>
              <w:rPr/>
            </w:pPr>
            <w:r>
              <w:rPr/>
              <w:t>Contact Number:</w:t>
            </w:r>
          </w:p>
        </w:tc>
        <w:tc>
          <w:tcPr>
            <w:tcW w:w="6237" w:type="dxa"/>
            <w:tcBorders>
              <w:top w:val="single" w:sz="4" w:space="0" w:color="000000"/>
              <w:start w:val="single" w:sz="4" w:space="0" w:color="000000"/>
              <w:bottom w:val="single" w:sz="4" w:space="0" w:color="000000"/>
              <w:end w:val="single" w:sz="4" w:space="0" w:color="000000"/>
            </w:tcBorders>
            <w:vAlign w:val="bottom"/>
          </w:tcPr>
          <w:p>
            <w:pPr>
              <w:pStyle w:val="Normal"/>
              <w:rPr/>
            </w:pPr>
            <w:r>
              <w:rPr/>
              <w:t>&lt;Contact internal/external number&gt;</w:t>
            </w:r>
          </w:p>
        </w:tc>
      </w:tr>
      <w:tr>
        <w:trPr/>
        <w:tc>
          <w:tcPr>
            <w:tcW w:w="2943" w:type="dxa"/>
            <w:tcBorders>
              <w:top w:val="single" w:sz="4" w:space="0" w:color="000000"/>
              <w:start w:val="single" w:sz="4" w:space="0" w:color="000000"/>
              <w:bottom w:val="single" w:sz="4" w:space="0" w:color="000000"/>
              <w:end w:val="single" w:sz="4" w:space="0" w:color="000000"/>
            </w:tcBorders>
            <w:shd w:color="auto" w:fill="D9D9D9" w:val="clear"/>
          </w:tcPr>
          <w:p>
            <w:pPr>
              <w:pStyle w:val="Normal"/>
              <w:rPr/>
            </w:pPr>
            <w:r>
              <w:rPr/>
              <w:t>Email:</w:t>
            </w:r>
          </w:p>
        </w:tc>
        <w:tc>
          <w:tcPr>
            <w:tcW w:w="6237" w:type="dxa"/>
            <w:tcBorders>
              <w:top w:val="single" w:sz="4" w:space="0" w:color="000000"/>
              <w:start w:val="single" w:sz="4" w:space="0" w:color="000000"/>
              <w:bottom w:val="single" w:sz="4" w:space="0" w:color="000000"/>
              <w:end w:val="single" w:sz="4" w:space="0" w:color="000000"/>
            </w:tcBorders>
            <w:vAlign w:val="bottom"/>
          </w:tcPr>
          <w:p>
            <w:pPr>
              <w:pStyle w:val="Normal"/>
              <w:rPr/>
            </w:pPr>
            <w:r>
              <w:rPr/>
              <w:t>&lt; The email correspondence for the contact&gt;</w:t>
            </w:r>
          </w:p>
        </w:tc>
      </w:tr>
    </w:tbl>
    <w:p>
      <w:pPr>
        <w:pStyle w:val="Normal"/>
        <w:rPr/>
      </w:pPr>
      <w:r>
        <w:rPr/>
      </w:r>
    </w:p>
    <w:p>
      <w:pPr>
        <w:pStyle w:val="Normal"/>
        <w:rPr/>
      </w:pPr>
      <w:r>
        <w:rPr/>
        <w:t>Document Approval</w:t>
      </w:r>
    </w:p>
    <w:p>
      <w:pPr>
        <w:pStyle w:val="CITInfoBlue"/>
        <w:rPr/>
      </w:pPr>
      <w:r>
        <w:rPr/>
        <w:t>&lt;Enter details of all stakeholders who will be subject to approval of this document&gt;</w:t>
      </w:r>
    </w:p>
    <w:tbl>
      <w:tblPr>
        <w:tblW w:w="9198" w:type="dxa"/>
        <w:jc w:val="start"/>
        <w:tblInd w:w="103" w:type="dxa"/>
        <w:tblLayout w:type="fixed"/>
        <w:tblCellMar>
          <w:top w:w="0" w:type="dxa"/>
          <w:start w:w="108" w:type="dxa"/>
          <w:bottom w:w="0" w:type="dxa"/>
          <w:end w:w="108" w:type="dxa"/>
        </w:tblCellMar>
        <w:tblLook w:noHBand="0" w:noVBand="0" w:firstColumn="0" w:lastRow="0" w:lastColumn="0" w:firstRow="0" w:val="0000"/>
      </w:tblPr>
      <w:tblGrid>
        <w:gridCol w:w="2092"/>
        <w:gridCol w:w="2127"/>
        <w:gridCol w:w="3119"/>
        <w:gridCol w:w="1860"/>
      </w:tblGrid>
      <w:tr>
        <w:trPr/>
        <w:tc>
          <w:tcPr>
            <w:tcW w:w="2092" w:type="dxa"/>
            <w:tcBorders>
              <w:top w:val="single" w:sz="4" w:space="0" w:color="000000"/>
              <w:start w:val="single" w:sz="4" w:space="0" w:color="000000"/>
              <w:bottom w:val="single" w:sz="4" w:space="0" w:color="000000"/>
              <w:end w:val="single" w:sz="4" w:space="0" w:color="000000"/>
            </w:tcBorders>
            <w:shd w:color="auto" w:fill="FFFFFF" w:val="pct15"/>
          </w:tcPr>
          <w:p>
            <w:pPr>
              <w:pStyle w:val="Normal"/>
              <w:rPr/>
            </w:pPr>
            <w:r>
              <w:rPr/>
              <w:t>Approver</w:t>
            </w:r>
          </w:p>
        </w:tc>
        <w:tc>
          <w:tcPr>
            <w:tcW w:w="2127" w:type="dxa"/>
            <w:tcBorders>
              <w:top w:val="single" w:sz="4" w:space="0" w:color="000000"/>
              <w:start w:val="single" w:sz="4" w:space="0" w:color="000000"/>
              <w:bottom w:val="single" w:sz="4" w:space="0" w:color="000000"/>
              <w:end w:val="single" w:sz="4" w:space="0" w:color="000000"/>
            </w:tcBorders>
            <w:shd w:color="auto" w:fill="FFFFFF" w:val="pct15"/>
          </w:tcPr>
          <w:p>
            <w:pPr>
              <w:pStyle w:val="Normal"/>
              <w:rPr/>
            </w:pPr>
            <w:r>
              <w:rPr/>
              <w:t>Title</w:t>
            </w:r>
          </w:p>
        </w:tc>
        <w:tc>
          <w:tcPr>
            <w:tcW w:w="3119" w:type="dxa"/>
            <w:tcBorders>
              <w:top w:val="single" w:sz="4" w:space="0" w:color="000000"/>
              <w:start w:val="single" w:sz="4" w:space="0" w:color="000000"/>
              <w:bottom w:val="single" w:sz="4" w:space="0" w:color="000000"/>
              <w:end w:val="single" w:sz="4" w:space="0" w:color="000000"/>
            </w:tcBorders>
            <w:shd w:color="auto" w:fill="FFFFFF" w:val="pct15"/>
          </w:tcPr>
          <w:p>
            <w:pPr>
              <w:pStyle w:val="Normal"/>
              <w:rPr/>
            </w:pPr>
            <w:r>
              <w:rPr/>
              <w:t>Business Area</w:t>
            </w:r>
          </w:p>
        </w:tc>
        <w:tc>
          <w:tcPr>
            <w:tcW w:w="1860" w:type="dxa"/>
            <w:tcBorders>
              <w:top w:val="single" w:sz="4" w:space="0" w:color="000000"/>
              <w:start w:val="single" w:sz="4" w:space="0" w:color="000000"/>
              <w:bottom w:val="single" w:sz="4" w:space="0" w:color="000000"/>
              <w:end w:val="single" w:sz="4" w:space="0" w:color="000000"/>
            </w:tcBorders>
            <w:shd w:color="auto" w:fill="FFFFFF" w:val="pct15"/>
          </w:tcPr>
          <w:p>
            <w:pPr>
              <w:pStyle w:val="Normal"/>
              <w:rPr/>
            </w:pPr>
            <w:r>
              <w:rPr/>
              <w:t>Approval Date</w:t>
            </w:r>
          </w:p>
        </w:tc>
      </w:tr>
      <w:tr>
        <w:trPr/>
        <w:tc>
          <w:tcPr>
            <w:tcW w:w="2092" w:type="dxa"/>
            <w:tcBorders>
              <w:top w:val="single" w:sz="4" w:space="0" w:color="000000"/>
              <w:start w:val="single" w:sz="4" w:space="0" w:color="000000"/>
              <w:bottom w:val="single" w:sz="4" w:space="0" w:color="000000"/>
              <w:end w:val="single" w:sz="4" w:space="0" w:color="000000"/>
            </w:tcBorders>
            <w:vAlign w:val="bottom"/>
          </w:tcPr>
          <w:p>
            <w:pPr>
              <w:pStyle w:val="Normal"/>
              <w:rPr/>
            </w:pPr>
            <w:r>
              <w:rPr/>
            </w:r>
          </w:p>
        </w:tc>
        <w:tc>
          <w:tcPr>
            <w:tcW w:w="2127" w:type="dxa"/>
            <w:tcBorders>
              <w:top w:val="single" w:sz="4" w:space="0" w:color="000000"/>
              <w:start w:val="single" w:sz="4" w:space="0" w:color="000000"/>
              <w:bottom w:val="single" w:sz="4" w:space="0" w:color="000000"/>
              <w:end w:val="single" w:sz="4" w:space="0" w:color="000000"/>
            </w:tcBorders>
            <w:vAlign w:val="bottom"/>
          </w:tcPr>
          <w:p>
            <w:pPr>
              <w:pStyle w:val="Normal"/>
              <w:rPr/>
            </w:pPr>
            <w:r>
              <w:rPr/>
            </w:r>
          </w:p>
        </w:tc>
        <w:tc>
          <w:tcPr>
            <w:tcW w:w="3119" w:type="dxa"/>
            <w:tcBorders>
              <w:top w:val="single" w:sz="4" w:space="0" w:color="000000"/>
              <w:start w:val="single" w:sz="4" w:space="0" w:color="000000"/>
              <w:bottom w:val="single" w:sz="4" w:space="0" w:color="000000"/>
              <w:end w:val="single" w:sz="4" w:space="0" w:color="000000"/>
            </w:tcBorders>
            <w:vAlign w:val="bottom"/>
          </w:tcPr>
          <w:p>
            <w:pPr>
              <w:pStyle w:val="Normal"/>
              <w:rPr/>
            </w:pPr>
            <w:r>
              <w:rPr/>
            </w:r>
          </w:p>
        </w:tc>
        <w:tc>
          <w:tcPr>
            <w:tcW w:w="1860" w:type="dxa"/>
            <w:tcBorders>
              <w:top w:val="single" w:sz="4" w:space="0" w:color="000000"/>
              <w:start w:val="single" w:sz="4" w:space="0" w:color="000000"/>
              <w:bottom w:val="single" w:sz="4" w:space="0" w:color="000000"/>
              <w:end w:val="single" w:sz="4" w:space="0" w:color="000000"/>
            </w:tcBorders>
            <w:vAlign w:val="bottom"/>
          </w:tcPr>
          <w:p>
            <w:pPr>
              <w:pStyle w:val="Normal"/>
              <w:rPr/>
            </w:pPr>
            <w:r>
              <w:rPr/>
            </w:r>
          </w:p>
        </w:tc>
      </w:tr>
    </w:tbl>
    <w:p>
      <w:pPr>
        <w:pStyle w:val="Normal"/>
        <w:rPr/>
      </w:pPr>
      <w:r>
        <w:rPr/>
      </w:r>
    </w:p>
    <w:p>
      <w:pPr>
        <w:pStyle w:val="Normal"/>
        <w:rPr/>
      </w:pPr>
      <w:r>
        <w:rPr/>
        <w:t>Document Distribution</w:t>
      </w:r>
    </w:p>
    <w:p>
      <w:pPr>
        <w:pStyle w:val="CITInfoBlue"/>
        <w:rPr/>
      </w:pPr>
      <w:r>
        <w:rPr/>
        <w:t>&lt;Enter details of all stakeholders who will be subject to receipt of this document for reference purposes&gt;</w:t>
      </w:r>
    </w:p>
    <w:tbl>
      <w:tblPr>
        <w:tblW w:w="9180" w:type="dxa"/>
        <w:jc w:val="start"/>
        <w:tblInd w:w="103" w:type="dxa"/>
        <w:tblLayout w:type="fixed"/>
        <w:tblCellMar>
          <w:top w:w="0" w:type="dxa"/>
          <w:start w:w="108" w:type="dxa"/>
          <w:bottom w:w="0" w:type="dxa"/>
          <w:end w:w="108" w:type="dxa"/>
        </w:tblCellMar>
        <w:tblLook w:noHBand="0" w:noVBand="0" w:firstColumn="0" w:lastRow="0" w:lastColumn="0" w:firstRow="0" w:val="0000"/>
      </w:tblPr>
      <w:tblGrid>
        <w:gridCol w:w="2093"/>
        <w:gridCol w:w="2834"/>
        <w:gridCol w:w="4253"/>
      </w:tblGrid>
      <w:tr>
        <w:trPr/>
        <w:tc>
          <w:tcPr>
            <w:tcW w:w="2093" w:type="dxa"/>
            <w:tcBorders>
              <w:top w:val="single" w:sz="4" w:space="0" w:color="000000"/>
              <w:start w:val="single" w:sz="4" w:space="0" w:color="000000"/>
              <w:bottom w:val="single" w:sz="4" w:space="0" w:color="000000"/>
              <w:end w:val="single" w:sz="4" w:space="0" w:color="000000"/>
            </w:tcBorders>
            <w:shd w:color="auto" w:fill="FFFFFF" w:val="pct15"/>
          </w:tcPr>
          <w:p>
            <w:pPr>
              <w:pStyle w:val="Normal"/>
              <w:rPr/>
            </w:pPr>
            <w:r>
              <w:rPr/>
              <w:t>Name</w:t>
            </w:r>
          </w:p>
        </w:tc>
        <w:tc>
          <w:tcPr>
            <w:tcW w:w="2834" w:type="dxa"/>
            <w:tcBorders>
              <w:top w:val="single" w:sz="4" w:space="0" w:color="000000"/>
              <w:start w:val="single" w:sz="4" w:space="0" w:color="000000"/>
              <w:bottom w:val="single" w:sz="4" w:space="0" w:color="000000"/>
              <w:end w:val="single" w:sz="4" w:space="0" w:color="000000"/>
            </w:tcBorders>
            <w:shd w:color="auto" w:fill="FFFFFF" w:val="pct15"/>
          </w:tcPr>
          <w:p>
            <w:pPr>
              <w:pStyle w:val="Normal"/>
              <w:rPr/>
            </w:pPr>
            <w:r>
              <w:rPr/>
              <w:t>Title</w:t>
            </w:r>
          </w:p>
        </w:tc>
        <w:tc>
          <w:tcPr>
            <w:tcW w:w="4253" w:type="dxa"/>
            <w:tcBorders>
              <w:top w:val="single" w:sz="4" w:space="0" w:color="000000"/>
              <w:start w:val="single" w:sz="4" w:space="0" w:color="000000"/>
              <w:bottom w:val="single" w:sz="4" w:space="0" w:color="000000"/>
              <w:end w:val="single" w:sz="4" w:space="0" w:color="000000"/>
            </w:tcBorders>
            <w:shd w:color="auto" w:fill="FFFFFF" w:val="pct15"/>
          </w:tcPr>
          <w:p>
            <w:pPr>
              <w:pStyle w:val="Normal"/>
              <w:rPr/>
            </w:pPr>
            <w:r>
              <w:rPr/>
              <w:t>Business Area</w:t>
            </w:r>
          </w:p>
        </w:tc>
      </w:tr>
      <w:tr>
        <w:trPr/>
        <w:tc>
          <w:tcPr>
            <w:tcW w:w="2093" w:type="dxa"/>
            <w:tcBorders>
              <w:top w:val="single" w:sz="4" w:space="0" w:color="000000"/>
              <w:start w:val="single" w:sz="4" w:space="0" w:color="000000"/>
              <w:bottom w:val="single" w:sz="4" w:space="0" w:color="000000"/>
              <w:end w:val="single" w:sz="4" w:space="0" w:color="000000"/>
            </w:tcBorders>
            <w:vAlign w:val="bottom"/>
          </w:tcPr>
          <w:p>
            <w:pPr>
              <w:pStyle w:val="Normal"/>
              <w:rPr/>
            </w:pPr>
            <w:r>
              <w:rPr/>
            </w:r>
          </w:p>
        </w:tc>
        <w:tc>
          <w:tcPr>
            <w:tcW w:w="2834" w:type="dxa"/>
            <w:tcBorders>
              <w:top w:val="single" w:sz="4" w:space="0" w:color="000000"/>
              <w:start w:val="single" w:sz="4" w:space="0" w:color="000000"/>
              <w:bottom w:val="single" w:sz="4" w:space="0" w:color="000000"/>
              <w:end w:val="single" w:sz="4" w:space="0" w:color="000000"/>
            </w:tcBorders>
            <w:vAlign w:val="bottom"/>
          </w:tcPr>
          <w:p>
            <w:pPr>
              <w:pStyle w:val="Normal"/>
              <w:rPr/>
            </w:pPr>
            <w:r>
              <w:rPr/>
            </w:r>
          </w:p>
        </w:tc>
        <w:tc>
          <w:tcPr>
            <w:tcW w:w="4253" w:type="dxa"/>
            <w:tcBorders>
              <w:top w:val="single" w:sz="4" w:space="0" w:color="000000"/>
              <w:start w:val="single" w:sz="4" w:space="0" w:color="000000"/>
              <w:bottom w:val="single" w:sz="4" w:space="0" w:color="000000"/>
              <w:end w:val="single" w:sz="4" w:space="0" w:color="000000"/>
            </w:tcBorders>
            <w:vAlign w:val="bottom"/>
          </w:tcPr>
          <w:p>
            <w:pPr>
              <w:pStyle w:val="Normal"/>
              <w:rPr/>
            </w:pPr>
            <w:r>
              <w:rPr/>
            </w:r>
          </w:p>
        </w:tc>
      </w:tr>
    </w:tbl>
    <w:p>
      <w:pPr>
        <w:pStyle w:val="Normal"/>
        <w:rPr/>
      </w:pPr>
      <w:r>
        <w:rPr/>
      </w:r>
    </w:p>
    <w:p>
      <w:pPr>
        <w:pStyle w:val="Normal"/>
        <w:rPr/>
      </w:pPr>
      <w:r>
        <w:rPr/>
        <w:t>Revision History</w:t>
      </w:r>
    </w:p>
    <w:p>
      <w:pPr>
        <w:pStyle w:val="CITInfoBlue"/>
        <w:rPr/>
      </w:pPr>
      <w:r>
        <w:rPr/>
        <w:t>&lt;Initially a document will be numbered 0.1 to 0.9 until it becomes the first issue for approval at which point the document is numbered 1.0. For future updates the document will be numbered using decimals to 1 place until it adopts the next whole number for issue&gt;</w:t>
      </w:r>
    </w:p>
    <w:tbl>
      <w:tblPr>
        <w:tblW w:w="9180" w:type="dxa"/>
        <w:jc w:val="start"/>
        <w:tblInd w:w="103" w:type="dxa"/>
        <w:tblLayout w:type="fixed"/>
        <w:tblCellMar>
          <w:top w:w="0" w:type="dxa"/>
          <w:start w:w="108" w:type="dxa"/>
          <w:bottom w:w="0" w:type="dxa"/>
          <w:end w:w="108" w:type="dxa"/>
        </w:tblCellMar>
        <w:tblLook w:noHBand="0" w:noVBand="0" w:firstColumn="0" w:lastRow="0" w:lastColumn="0" w:firstRow="0" w:val="0000"/>
      </w:tblPr>
      <w:tblGrid>
        <w:gridCol w:w="959"/>
        <w:gridCol w:w="1984"/>
        <w:gridCol w:w="993"/>
        <w:gridCol w:w="3968"/>
        <w:gridCol w:w="1276"/>
      </w:tblGrid>
      <w:tr>
        <w:trPr/>
        <w:tc>
          <w:tcPr>
            <w:tcW w:w="959" w:type="dxa"/>
            <w:tcBorders>
              <w:top w:val="single" w:sz="4" w:space="0" w:color="000000"/>
              <w:start w:val="single" w:sz="4" w:space="0" w:color="000000"/>
              <w:bottom w:val="single" w:sz="4" w:space="0" w:color="000000"/>
              <w:end w:val="single" w:sz="4" w:space="0" w:color="000000"/>
            </w:tcBorders>
            <w:shd w:color="auto" w:fill="FFFFFF" w:val="pct15"/>
          </w:tcPr>
          <w:p>
            <w:pPr>
              <w:pStyle w:val="Normal"/>
              <w:rPr/>
            </w:pPr>
            <w:r>
              <w:rPr/>
              <w:t>Date</w:t>
            </w:r>
          </w:p>
        </w:tc>
        <w:tc>
          <w:tcPr>
            <w:tcW w:w="1984" w:type="dxa"/>
            <w:tcBorders>
              <w:top w:val="single" w:sz="4" w:space="0" w:color="000000"/>
              <w:start w:val="single" w:sz="4" w:space="0" w:color="000000"/>
              <w:bottom w:val="single" w:sz="4" w:space="0" w:color="000000"/>
              <w:end w:val="single" w:sz="4" w:space="0" w:color="000000"/>
            </w:tcBorders>
            <w:shd w:color="auto" w:fill="FFFFFF" w:val="pct15"/>
          </w:tcPr>
          <w:p>
            <w:pPr>
              <w:pStyle w:val="Normal"/>
              <w:rPr/>
            </w:pPr>
            <w:r>
              <w:rPr/>
              <w:t>Author</w:t>
            </w:r>
          </w:p>
        </w:tc>
        <w:tc>
          <w:tcPr>
            <w:tcW w:w="993" w:type="dxa"/>
            <w:tcBorders>
              <w:top w:val="single" w:sz="4" w:space="0" w:color="000000"/>
              <w:start w:val="single" w:sz="4" w:space="0" w:color="000000"/>
              <w:bottom w:val="single" w:sz="4" w:space="0" w:color="000000"/>
              <w:end w:val="single" w:sz="4" w:space="0" w:color="000000"/>
            </w:tcBorders>
            <w:shd w:color="auto" w:fill="FFFFFF" w:val="pct15"/>
          </w:tcPr>
          <w:p>
            <w:pPr>
              <w:pStyle w:val="Normal"/>
              <w:rPr/>
            </w:pPr>
            <w:r>
              <w:rPr/>
              <w:t>Version</w:t>
            </w:r>
          </w:p>
        </w:tc>
        <w:tc>
          <w:tcPr>
            <w:tcW w:w="3968" w:type="dxa"/>
            <w:tcBorders>
              <w:top w:val="single" w:sz="4" w:space="0" w:color="000000"/>
              <w:start w:val="single" w:sz="4" w:space="0" w:color="000000"/>
              <w:bottom w:val="single" w:sz="4" w:space="0" w:color="000000"/>
              <w:end w:val="single" w:sz="4" w:space="0" w:color="000000"/>
            </w:tcBorders>
            <w:shd w:color="auto" w:fill="FFFFFF" w:val="pct15"/>
          </w:tcPr>
          <w:p>
            <w:pPr>
              <w:pStyle w:val="Normal"/>
              <w:rPr/>
            </w:pPr>
            <w:r>
              <w:rPr/>
              <w:t>Summary Of Changes</w:t>
            </w:r>
          </w:p>
        </w:tc>
        <w:tc>
          <w:tcPr>
            <w:tcW w:w="1276" w:type="dxa"/>
            <w:tcBorders>
              <w:top w:val="single" w:sz="4" w:space="0" w:color="000000"/>
              <w:start w:val="single" w:sz="4" w:space="0" w:color="000000"/>
              <w:bottom w:val="single" w:sz="4" w:space="0" w:color="000000"/>
              <w:end w:val="single" w:sz="4" w:space="0" w:color="000000"/>
            </w:tcBorders>
            <w:shd w:color="auto" w:fill="FFFFFF" w:val="pct15"/>
          </w:tcPr>
          <w:p>
            <w:pPr>
              <w:pStyle w:val="Normal"/>
              <w:rPr/>
            </w:pPr>
            <w:r>
              <w:rPr/>
              <w:t>Status</w:t>
            </w:r>
          </w:p>
        </w:tc>
      </w:tr>
      <w:tr>
        <w:trPr/>
        <w:tc>
          <w:tcPr>
            <w:tcW w:w="959" w:type="dxa"/>
            <w:tcBorders>
              <w:top w:val="single" w:sz="4" w:space="0" w:color="000000"/>
              <w:start w:val="single" w:sz="4" w:space="0" w:color="000000"/>
              <w:bottom w:val="single" w:sz="4" w:space="0" w:color="000000"/>
              <w:end w:val="single" w:sz="4" w:space="0" w:color="000000"/>
            </w:tcBorders>
          </w:tcPr>
          <w:p>
            <w:pPr>
              <w:pStyle w:val="Normal"/>
              <w:rPr/>
            </w:pPr>
            <w:r>
              <w:rPr/>
            </w:r>
          </w:p>
        </w:tc>
        <w:tc>
          <w:tcPr>
            <w:tcW w:w="1984" w:type="dxa"/>
            <w:tcBorders>
              <w:top w:val="single" w:sz="4" w:space="0" w:color="000000"/>
              <w:start w:val="single" w:sz="4" w:space="0" w:color="000000"/>
              <w:bottom w:val="single" w:sz="4" w:space="0" w:color="000000"/>
              <w:end w:val="single" w:sz="4" w:space="0" w:color="000000"/>
            </w:tcBorders>
          </w:tcPr>
          <w:p>
            <w:pPr>
              <w:pStyle w:val="Normal"/>
              <w:rPr/>
            </w:pPr>
            <w:r>
              <w:rPr/>
            </w:r>
          </w:p>
        </w:tc>
        <w:tc>
          <w:tcPr>
            <w:tcW w:w="993" w:type="dxa"/>
            <w:tcBorders>
              <w:top w:val="single" w:sz="4" w:space="0" w:color="000000"/>
              <w:start w:val="single" w:sz="4" w:space="0" w:color="000000"/>
              <w:bottom w:val="single" w:sz="4" w:space="0" w:color="000000"/>
              <w:end w:val="single" w:sz="4" w:space="0" w:color="000000"/>
            </w:tcBorders>
          </w:tcPr>
          <w:p>
            <w:pPr>
              <w:pStyle w:val="Normal"/>
              <w:rPr/>
            </w:pPr>
            <w:r>
              <w:rPr/>
            </w:r>
          </w:p>
        </w:tc>
        <w:tc>
          <w:tcPr>
            <w:tcW w:w="3968" w:type="dxa"/>
            <w:tcBorders>
              <w:top w:val="single" w:sz="4" w:space="0" w:color="000000"/>
              <w:start w:val="single" w:sz="4" w:space="0" w:color="000000"/>
              <w:bottom w:val="single" w:sz="4" w:space="0" w:color="000000"/>
              <w:end w:val="single" w:sz="4" w:space="0" w:color="000000"/>
            </w:tcBorders>
          </w:tcPr>
          <w:p>
            <w:pPr>
              <w:pStyle w:val="Normal"/>
              <w:rPr/>
            </w:pPr>
            <w:r>
              <w:rPr/>
            </w:r>
          </w:p>
        </w:tc>
        <w:tc>
          <w:tcPr>
            <w:tcW w:w="1276" w:type="dxa"/>
            <w:tcBorders>
              <w:top w:val="single" w:sz="4" w:space="0" w:color="000000"/>
              <w:start w:val="single" w:sz="4" w:space="0" w:color="000000"/>
              <w:bottom w:val="single" w:sz="4" w:space="0" w:color="000000"/>
              <w:end w:val="single" w:sz="4" w:space="0" w:color="000000"/>
            </w:tcBorders>
          </w:tcPr>
          <w:p>
            <w:pPr>
              <w:pStyle w:val="Normal"/>
              <w:rPr/>
            </w:pPr>
            <w:r>
              <w:rPr/>
            </w:r>
          </w:p>
        </w:tc>
      </w:tr>
    </w:tbl>
    <w:p>
      <w:pPr>
        <w:pStyle w:val="Normal"/>
        <w:rPr/>
      </w:pPr>
      <w:r>
        <w:rPr/>
      </w:r>
    </w:p>
    <w:p>
      <w:pPr>
        <w:pStyle w:val="Normal"/>
        <w:rPr/>
      </w:pPr>
      <w:r>
        <w:rPr/>
        <w:t>Related Documents</w:t>
      </w:r>
    </w:p>
    <w:p>
      <w:pPr>
        <w:pStyle w:val="CITInfoBlue"/>
        <w:rPr/>
      </w:pPr>
      <w:r>
        <w:rPr/>
        <w:t xml:space="preserve">&lt;List any significant documents that precede and relate to the project&gt; </w:t>
      </w:r>
    </w:p>
    <w:tbl>
      <w:tblPr>
        <w:tblW w:w="9198" w:type="dxa"/>
        <w:jc w:val="start"/>
        <w:tblInd w:w="103" w:type="dxa"/>
        <w:tblLayout w:type="fixed"/>
        <w:tblCellMar>
          <w:top w:w="0" w:type="dxa"/>
          <w:start w:w="108" w:type="dxa"/>
          <w:bottom w:w="0" w:type="dxa"/>
          <w:end w:w="108" w:type="dxa"/>
        </w:tblCellMar>
        <w:tblLook w:noHBand="0" w:noVBand="0" w:firstColumn="0" w:lastRow="0" w:lastColumn="0" w:firstRow="0" w:val="0000"/>
      </w:tblPr>
      <w:tblGrid>
        <w:gridCol w:w="3509"/>
        <w:gridCol w:w="2128"/>
        <w:gridCol w:w="1841"/>
        <w:gridCol w:w="1720"/>
      </w:tblGrid>
      <w:tr>
        <w:trPr/>
        <w:tc>
          <w:tcPr>
            <w:tcW w:w="3509" w:type="dxa"/>
            <w:tcBorders>
              <w:top w:val="single" w:sz="4" w:space="0" w:color="000000"/>
              <w:start w:val="single" w:sz="4" w:space="0" w:color="000000"/>
              <w:bottom w:val="single" w:sz="4" w:space="0" w:color="000000"/>
              <w:end w:val="single" w:sz="4" w:space="0" w:color="000000"/>
            </w:tcBorders>
            <w:shd w:color="000000" w:fill="FFFFFF" w:val="pct15"/>
          </w:tcPr>
          <w:p>
            <w:pPr>
              <w:pStyle w:val="Normal"/>
              <w:rPr/>
            </w:pPr>
            <w:r>
              <w:rPr/>
              <w:t>Document Name</w:t>
            </w:r>
          </w:p>
        </w:tc>
        <w:tc>
          <w:tcPr>
            <w:tcW w:w="2128" w:type="dxa"/>
            <w:tcBorders>
              <w:top w:val="single" w:sz="4" w:space="0" w:color="000000"/>
              <w:start w:val="single" w:sz="4" w:space="0" w:color="000000"/>
              <w:bottom w:val="single" w:sz="4" w:space="0" w:color="000000"/>
              <w:end w:val="single" w:sz="4" w:space="0" w:color="000000"/>
            </w:tcBorders>
            <w:shd w:color="000000" w:fill="FFFFFF" w:val="pct15"/>
          </w:tcPr>
          <w:p>
            <w:pPr>
              <w:pStyle w:val="Normal"/>
              <w:rPr/>
            </w:pPr>
            <w:r>
              <w:rPr/>
              <w:t>Version</w:t>
            </w:r>
          </w:p>
        </w:tc>
        <w:tc>
          <w:tcPr>
            <w:tcW w:w="1841" w:type="dxa"/>
            <w:tcBorders>
              <w:top w:val="single" w:sz="4" w:space="0" w:color="000000"/>
              <w:start w:val="single" w:sz="4" w:space="0" w:color="000000"/>
              <w:bottom w:val="single" w:sz="4" w:space="0" w:color="000000"/>
              <w:end w:val="single" w:sz="4" w:space="0" w:color="000000"/>
            </w:tcBorders>
            <w:shd w:color="000000" w:fill="FFFFFF" w:val="pct15"/>
          </w:tcPr>
          <w:p>
            <w:pPr>
              <w:pStyle w:val="Normal"/>
              <w:rPr/>
            </w:pPr>
            <w:r>
              <w:rPr/>
              <w:t>Author</w:t>
            </w:r>
          </w:p>
        </w:tc>
        <w:tc>
          <w:tcPr>
            <w:tcW w:w="1720" w:type="dxa"/>
            <w:tcBorders>
              <w:top w:val="single" w:sz="4" w:space="0" w:color="000000"/>
              <w:start w:val="single" w:sz="4" w:space="0" w:color="000000"/>
              <w:bottom w:val="single" w:sz="4" w:space="0" w:color="000000"/>
              <w:end w:val="single" w:sz="4" w:space="0" w:color="000000"/>
            </w:tcBorders>
            <w:shd w:color="000000" w:fill="FFFFFF" w:val="pct15"/>
          </w:tcPr>
          <w:p>
            <w:pPr>
              <w:pStyle w:val="Normal"/>
              <w:rPr/>
            </w:pPr>
            <w:r>
              <w:rPr/>
              <w:t>Date</w:t>
            </w:r>
          </w:p>
        </w:tc>
      </w:tr>
      <w:tr>
        <w:trPr/>
        <w:tc>
          <w:tcPr>
            <w:tcW w:w="3509" w:type="dxa"/>
            <w:tcBorders>
              <w:top w:val="single" w:sz="4" w:space="0" w:color="000000"/>
              <w:start w:val="single" w:sz="4" w:space="0" w:color="000000"/>
              <w:bottom w:val="single" w:sz="4" w:space="0" w:color="000000"/>
              <w:end w:val="single" w:sz="4" w:space="0" w:color="000000"/>
            </w:tcBorders>
            <w:vAlign w:val="bottom"/>
          </w:tcPr>
          <w:p>
            <w:pPr>
              <w:pStyle w:val="Footer"/>
              <w:rPr/>
            </w:pPr>
            <w:r>
              <w:rPr/>
            </w:r>
          </w:p>
        </w:tc>
        <w:tc>
          <w:tcPr>
            <w:tcW w:w="2128" w:type="dxa"/>
            <w:tcBorders>
              <w:top w:val="single" w:sz="4" w:space="0" w:color="000000"/>
              <w:start w:val="single" w:sz="4" w:space="0" w:color="000000"/>
              <w:bottom w:val="single" w:sz="4" w:space="0" w:color="000000"/>
              <w:end w:val="single" w:sz="4" w:space="0" w:color="000000"/>
            </w:tcBorders>
            <w:vAlign w:val="bottom"/>
          </w:tcPr>
          <w:p>
            <w:pPr>
              <w:pStyle w:val="Normal"/>
              <w:rPr/>
            </w:pPr>
            <w:r>
              <w:rPr/>
            </w:r>
          </w:p>
        </w:tc>
        <w:tc>
          <w:tcPr>
            <w:tcW w:w="1841" w:type="dxa"/>
            <w:tcBorders>
              <w:top w:val="single" w:sz="4" w:space="0" w:color="000000"/>
              <w:start w:val="single" w:sz="4" w:space="0" w:color="000000"/>
              <w:bottom w:val="single" w:sz="4" w:space="0" w:color="000000"/>
              <w:end w:val="single" w:sz="4" w:space="0" w:color="000000"/>
            </w:tcBorders>
            <w:vAlign w:val="bottom"/>
          </w:tcPr>
          <w:p>
            <w:pPr>
              <w:pStyle w:val="Normal"/>
              <w:rPr/>
            </w:pPr>
            <w:r>
              <w:rPr/>
            </w:r>
          </w:p>
        </w:tc>
        <w:tc>
          <w:tcPr>
            <w:tcW w:w="1720" w:type="dxa"/>
            <w:tcBorders>
              <w:top w:val="single" w:sz="4" w:space="0" w:color="000000"/>
              <w:start w:val="single" w:sz="4" w:space="0" w:color="000000"/>
              <w:bottom w:val="single" w:sz="4" w:space="0" w:color="000000"/>
              <w:end w:val="single" w:sz="4" w:space="0" w:color="000000"/>
            </w:tcBorders>
            <w:vAlign w:val="bottom"/>
          </w:tcPr>
          <w:p>
            <w:pPr>
              <w:pStyle w:val="Normal"/>
              <w:rPr/>
            </w:pPr>
            <w:r>
              <w:rPr/>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&lt;Not all of the following sections may be applicable to the work being performed. If so, the preference would be to keep the section heading, but make a note such as “This section is not applicable for this process” and provide an explanation for the reasons why&gt;</w:t>
      </w:r>
    </w:p>
    <w:p>
      <w:pPr>
        <w:pStyle w:val="Normal"/>
        <w:rPr/>
      </w:pPr>
      <w:r>
        <w:rPr/>
      </w:r>
    </w:p>
    <w:p>
      <w:pPr>
        <w:pStyle w:val="Normal"/>
        <w:rPr/>
      </w:pPr>
      <w:r>
        <w:rPr/>
      </w:r>
    </w:p>
    <w:p>
      <w:pPr>
        <w:pStyle w:val="Normal"/>
        <w:rPr/>
      </w:pPr>
      <w:r>
        <w:rPr/>
      </w:r>
    </w:p>
    <w:p>
      <w:pPr>
        <w:pStyle w:val="Normal"/>
        <w:rPr/>
      </w:pPr>
      <w:r>
        <w:rPr/>
      </w:r>
    </w:p>
    <w:p>
      <w:pPr>
        <w:pStyle w:val="Normal"/>
        <w:spacing w:before="0" w:after="0"/>
        <w:r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09" w:top="1440" w:footer="709" w:bottom="1440"/>
          <w:pgNumType w:fmt="decimal"/>
          <w:formProt w:val="false"/>
          <w:titlePg/>
          <w:textDirection w:val="lrTb"/>
          <w:docGrid w:type="default" w:linePitch="272" w:charSpace="0"/>
        </w:sectPr>
      </w:pPr>
      <w:r>
        <w:rPr/>
      </w:r>
    </w:p>
    <w:p>
      <w:pPr>
        <w:pStyle w:val="Normal"/>
        <w:rPr/>
      </w:pPr>
      <w:r>
        <w:rPr/>
        <w:t>Table of Contents</w:t>
      </w:r>
    </w:p>
    <w:p>
      <w:pPr>
        <w:pStyle w:val="Normal"/>
        <w:rPr>
          <w:lang w:val="en-US"/>
        </w:rPr>
      </w:pPr>
      <w:r>
        <w:rPr>
          <w:lang w:val="en-US"/>
        </w:rPr>
      </w:r>
    </w:p>
    <w:sdt>
      <w:sdtPr>
        <w:docPartObj>
          <w:docPartGallery w:val="Table of Contents"/>
          <w:docPartUnique w:val="true"/>
        </w:docPartObj>
      </w:sdtPr>
      <w:sdtContent>
        <w:p>
          <w:pPr>
            <w:pStyle w:val="TOC1"/>
            <w:tabs>
              <w:tab w:val="clear" w:pos="720"/>
              <w:tab w:val="left" w:pos="400" w:leader="none"/>
              <w:tab w:val="right" w:pos="9019" w:leader="dot"/>
            </w:tabs>
            <w:rPr>
              <w:rFonts w:eastAsia="ＭＳ 明朝" w:cs="" w:cstheme="minorBidi" w:eastAsiaTheme="minorEastAsia"/>
              <w:kern w:val="2"/>
              <w:sz w:val="24"/>
              <w:szCs w:val="24"/>
              <w:lang w:val="en-US"/>
              <w14:ligatures w14:val="standardContextual"/>
            </w:rPr>
          </w:pPr>
          <w:r>
            <w:fldChar w:fldCharType="begin"/>
          </w:r>
          <w:r>
            <w:rPr>
              <w:rStyle w:val="IndexLink"/>
              <w:webHidden/>
            </w:rPr>
            <w:instrText xml:space="preserve"> TOC \z \o "1-3" \u \h</w:instrText>
          </w:r>
          <w:r>
            <w:rPr>
              <w:rStyle w:val="IndexLink"/>
              <w:webHidden/>
            </w:rPr>
            <w:fldChar w:fldCharType="separate"/>
          </w:r>
          <w:hyperlink w:anchor="_Toc239804408">
            <w:r>
              <w:rPr>
                <w:rStyle w:val="IndexLink"/>
                <w:webHidden/>
              </w:rPr>
              <w:t>1</w:t>
            </w:r>
            <w:r>
              <w:rPr>
                <w:rStyle w:val="IndexLink"/>
                <w:rFonts w:eastAsia="ＭＳ 明朝" w:cs="" w:cstheme="minorBidi" w:eastAsiaTheme="minorEastAsia"/>
                <w:kern w:val="2"/>
                <w:sz w:val="24"/>
                <w:szCs w:val="24"/>
                <w:lang w:val="en-US"/>
                <w14:ligatures w14:val="standardContextual"/>
              </w:rPr>
              <w:tab/>
            </w:r>
            <w:r>
              <w:rPr>
                <w:rStyle w:val="IndexLink"/>
              </w:rPr>
              <w:t>Introduction</w:t>
            </w:r>
            <w:r>
              <w:rPr>
                <w:webHidden/>
              </w:rPr>
              <w:fldChar w:fldCharType="begin"/>
            </w:r>
            <w:r>
              <w:rPr>
                <w:webHidden/>
              </w:rPr>
              <w:instrText xml:space="preserve">PAGEREF _Toc239804408 \h</w:instrText>
            </w:r>
            <w:r>
              <w:rPr>
                <w:webHidden/>
              </w:rPr>
              <w:fldChar w:fldCharType="separate"/>
            </w:r>
            <w:r>
              <w:rPr>
                <w:rStyle w:val="IndexLink"/>
                <w:vanish w:val="false"/>
              </w:rPr>
              <w:tab/>
              <w:t>5</w:t>
            </w:r>
            <w:r>
              <w:rPr>
                <w:webHidden/>
              </w:rPr>
              <w:fldChar w:fldCharType="end"/>
            </w:r>
          </w:hyperlink>
        </w:p>
        <w:p>
          <w:pPr>
            <w:pStyle w:val="TOC2"/>
            <w:tabs>
              <w:tab w:val="clear" w:pos="720"/>
              <w:tab w:val="left" w:pos="800" w:leader="none"/>
              <w:tab w:val="right" w:pos="9019" w:leader="dot"/>
            </w:tabs>
            <w:rPr>
              <w:rFonts w:eastAsia="ＭＳ 明朝" w:cs="" w:cstheme="minorBidi" w:eastAsiaTheme="minorEastAsia"/>
              <w:kern w:val="2"/>
              <w:sz w:val="24"/>
              <w:szCs w:val="24"/>
              <w:lang w:val="en-US"/>
              <w14:ligatures w14:val="standardContextual"/>
            </w:rPr>
          </w:pPr>
          <w:hyperlink w:anchor="_Toc239804409">
            <w:r>
              <w:rPr>
                <w:rStyle w:val="IndexLink"/>
                <w:webHidden/>
              </w:rPr>
              <w:t>1.1</w:t>
            </w:r>
            <w:r>
              <w:rPr>
                <w:rStyle w:val="IndexLink"/>
                <w:rFonts w:eastAsia="ＭＳ 明朝" w:cs="" w:cstheme="minorBidi" w:eastAsiaTheme="minorEastAsia"/>
                <w:kern w:val="2"/>
                <w:sz w:val="24"/>
                <w:szCs w:val="24"/>
                <w:lang w:val="en-US"/>
                <w14:ligatures w14:val="standardContextual"/>
              </w:rPr>
              <w:tab/>
            </w:r>
            <w:r>
              <w:rPr>
                <w:rStyle w:val="IndexLink"/>
              </w:rPr>
              <w:t>Document Purpose</w:t>
            </w:r>
            <w:r>
              <w:rPr>
                <w:webHidden/>
              </w:rPr>
              <w:fldChar w:fldCharType="begin"/>
            </w:r>
            <w:r>
              <w:rPr>
                <w:webHidden/>
              </w:rPr>
              <w:instrText xml:space="preserve">PAGEREF _Toc239804409 \h</w:instrText>
            </w:r>
            <w:r>
              <w:rPr>
                <w:webHidden/>
              </w:rPr>
              <w:fldChar w:fldCharType="separate"/>
            </w:r>
            <w:r>
              <w:rPr>
                <w:rStyle w:val="IndexLink"/>
                <w:vanish w:val="false"/>
              </w:rPr>
              <w:tab/>
              <w:t>5</w:t>
            </w:r>
            <w:r>
              <w:rPr>
                <w:webHidden/>
              </w:rPr>
              <w:fldChar w:fldCharType="end"/>
            </w:r>
          </w:hyperlink>
        </w:p>
        <w:p>
          <w:pPr>
            <w:pStyle w:val="TOC2"/>
            <w:tabs>
              <w:tab w:val="clear" w:pos="720"/>
              <w:tab w:val="left" w:pos="800" w:leader="none"/>
              <w:tab w:val="right" w:pos="9019" w:leader="dot"/>
            </w:tabs>
            <w:rPr>
              <w:rFonts w:eastAsia="ＭＳ 明朝" w:cs="" w:cstheme="minorBidi" w:eastAsiaTheme="minorEastAsia"/>
              <w:kern w:val="2"/>
              <w:sz w:val="24"/>
              <w:szCs w:val="24"/>
              <w:lang w:val="en-US"/>
              <w14:ligatures w14:val="standardContextual"/>
            </w:rPr>
          </w:pPr>
          <w:hyperlink w:anchor="_Toc239804410">
            <w:r>
              <w:rPr>
                <w:rStyle w:val="IndexLink"/>
                <w:webHidden/>
              </w:rPr>
              <w:t>1.2</w:t>
            </w:r>
            <w:r>
              <w:rPr>
                <w:rStyle w:val="IndexLink"/>
                <w:rFonts w:eastAsia="ＭＳ 明朝" w:cs="" w:cstheme="minorBidi" w:eastAsiaTheme="minorEastAsia"/>
                <w:kern w:val="2"/>
                <w:sz w:val="24"/>
                <w:szCs w:val="24"/>
                <w:lang w:val="en-US"/>
                <w14:ligatures w14:val="standardContextual"/>
              </w:rPr>
              <w:tab/>
            </w:r>
            <w:r>
              <w:rPr>
                <w:rStyle w:val="IndexLink"/>
              </w:rPr>
              <w:t>Document Scope</w:t>
            </w:r>
            <w:r>
              <w:rPr>
                <w:webHidden/>
              </w:rPr>
              <w:fldChar w:fldCharType="begin"/>
            </w:r>
            <w:r>
              <w:rPr>
                <w:webHidden/>
              </w:rPr>
              <w:instrText xml:space="preserve">PAGEREF _Toc239804410 \h</w:instrText>
            </w:r>
            <w:r>
              <w:rPr>
                <w:webHidden/>
              </w:rPr>
              <w:fldChar w:fldCharType="separate"/>
            </w:r>
            <w:r>
              <w:rPr>
                <w:rStyle w:val="IndexLink"/>
                <w:vanish w:val="false"/>
              </w:rPr>
              <w:tab/>
              <w:t>5</w:t>
            </w:r>
            <w:r>
              <w:rPr>
                <w:webHidden/>
              </w:rPr>
              <w:fldChar w:fldCharType="end"/>
            </w:r>
          </w:hyperlink>
        </w:p>
        <w:p>
          <w:pPr>
            <w:pStyle w:val="TOC2"/>
            <w:tabs>
              <w:tab w:val="clear" w:pos="720"/>
              <w:tab w:val="left" w:pos="800" w:leader="none"/>
              <w:tab w:val="right" w:pos="9019" w:leader="dot"/>
            </w:tabs>
            <w:rPr>
              <w:rFonts w:eastAsia="ＭＳ 明朝" w:cs="" w:cstheme="minorBidi" w:eastAsiaTheme="minorEastAsia"/>
              <w:kern w:val="2"/>
              <w:sz w:val="24"/>
              <w:szCs w:val="24"/>
              <w:lang w:val="en-US"/>
              <w14:ligatures w14:val="standardContextual"/>
            </w:rPr>
          </w:pPr>
          <w:hyperlink w:anchor="_Toc239804411">
            <w:r>
              <w:rPr>
                <w:rStyle w:val="IndexLink"/>
                <w:webHidden/>
              </w:rPr>
              <w:t>1.3</w:t>
            </w:r>
            <w:r>
              <w:rPr>
                <w:rStyle w:val="IndexLink"/>
                <w:rFonts w:eastAsia="ＭＳ 明朝" w:cs="" w:cstheme="minorBidi" w:eastAsiaTheme="minorEastAsia"/>
                <w:kern w:val="2"/>
                <w:sz w:val="24"/>
                <w:szCs w:val="24"/>
                <w:lang w:val="en-US"/>
                <w14:ligatures w14:val="standardContextual"/>
              </w:rPr>
              <w:tab/>
            </w:r>
            <w:r>
              <w:rPr>
                <w:rStyle w:val="IndexLink"/>
              </w:rPr>
              <w:t>Document Audience</w:t>
            </w:r>
            <w:r>
              <w:rPr>
                <w:webHidden/>
              </w:rPr>
              <w:fldChar w:fldCharType="begin"/>
            </w:r>
            <w:r>
              <w:rPr>
                <w:webHidden/>
              </w:rPr>
              <w:instrText xml:space="preserve">PAGEREF _Toc239804411 \h</w:instrText>
            </w:r>
            <w:r>
              <w:rPr>
                <w:webHidden/>
              </w:rPr>
              <w:fldChar w:fldCharType="separate"/>
            </w:r>
            <w:r>
              <w:rPr>
                <w:rStyle w:val="IndexLink"/>
                <w:vanish w:val="false"/>
              </w:rPr>
              <w:tab/>
              <w:t>5</w:t>
            </w:r>
            <w:r>
              <w:rPr>
                <w:webHidden/>
              </w:rPr>
              <w:fldChar w:fldCharType="end"/>
            </w:r>
          </w:hyperlink>
        </w:p>
        <w:p>
          <w:pPr>
            <w:pStyle w:val="TOC2"/>
            <w:tabs>
              <w:tab w:val="clear" w:pos="720"/>
              <w:tab w:val="left" w:pos="800" w:leader="none"/>
              <w:tab w:val="right" w:pos="9019" w:leader="dot"/>
            </w:tabs>
            <w:rPr>
              <w:rFonts w:eastAsia="ＭＳ 明朝" w:cs="" w:cstheme="minorBidi" w:eastAsiaTheme="minorEastAsia"/>
              <w:kern w:val="2"/>
              <w:sz w:val="24"/>
              <w:szCs w:val="24"/>
              <w:lang w:val="en-US"/>
              <w14:ligatures w14:val="standardContextual"/>
            </w:rPr>
          </w:pPr>
          <w:hyperlink w:anchor="_Toc239804412">
            <w:r>
              <w:rPr>
                <w:rStyle w:val="IndexLink"/>
                <w:webHidden/>
              </w:rPr>
              <w:t>1.4</w:t>
            </w:r>
            <w:r>
              <w:rPr>
                <w:rStyle w:val="IndexLink"/>
                <w:rFonts w:eastAsia="ＭＳ 明朝" w:cs="" w:cstheme="minorBidi" w:eastAsiaTheme="minorEastAsia"/>
                <w:kern w:val="2"/>
                <w:sz w:val="24"/>
                <w:szCs w:val="24"/>
                <w:lang w:val="en-US"/>
                <w14:ligatures w14:val="standardContextual"/>
              </w:rPr>
              <w:tab/>
            </w:r>
            <w:r>
              <w:rPr>
                <w:rStyle w:val="IndexLink"/>
              </w:rPr>
              <w:t>Definitions</w:t>
            </w:r>
            <w:r>
              <w:rPr>
                <w:webHidden/>
              </w:rPr>
              <w:fldChar w:fldCharType="begin"/>
            </w:r>
            <w:r>
              <w:rPr>
                <w:webHidden/>
              </w:rPr>
              <w:instrText xml:space="preserve">PAGEREF _Toc239804412 \h</w:instrText>
            </w:r>
            <w:r>
              <w:rPr>
                <w:webHidden/>
              </w:rPr>
              <w:fldChar w:fldCharType="separate"/>
            </w:r>
            <w:r>
              <w:rPr>
                <w:rStyle w:val="IndexLink"/>
                <w:vanish w:val="false"/>
              </w:rPr>
              <w:tab/>
              <w:t>6</w:t>
            </w:r>
            <w:r>
              <w:rPr>
                <w:webHidden/>
              </w:rPr>
              <w:fldChar w:fldCharType="end"/>
            </w:r>
          </w:hyperlink>
        </w:p>
        <w:p>
          <w:pPr>
            <w:pStyle w:val="TOC1"/>
            <w:tabs>
              <w:tab w:val="clear" w:pos="720"/>
              <w:tab w:val="left" w:pos="400" w:leader="none"/>
              <w:tab w:val="right" w:pos="9019" w:leader="dot"/>
            </w:tabs>
            <w:rPr>
              <w:rFonts w:eastAsia="ＭＳ 明朝" w:cs="" w:cstheme="minorBidi" w:eastAsiaTheme="minorEastAsia"/>
              <w:kern w:val="2"/>
              <w:sz w:val="24"/>
              <w:szCs w:val="24"/>
              <w:lang w:val="en-US"/>
              <w14:ligatures w14:val="standardContextual"/>
            </w:rPr>
          </w:pPr>
          <w:hyperlink w:anchor="_Toc239804413">
            <w:r>
              <w:rPr>
                <w:rStyle w:val="IndexLink"/>
                <w:webHidden/>
              </w:rPr>
              <w:t>2</w:t>
            </w:r>
            <w:r>
              <w:rPr>
                <w:rStyle w:val="IndexLink"/>
                <w:rFonts w:eastAsia="ＭＳ 明朝" w:cs="" w:cstheme="minorBidi" w:eastAsiaTheme="minorEastAsia"/>
                <w:kern w:val="2"/>
                <w:sz w:val="24"/>
                <w:szCs w:val="24"/>
                <w:lang w:val="en-US"/>
                <w14:ligatures w14:val="standardContextual"/>
              </w:rPr>
              <w:tab/>
            </w:r>
            <w:r>
              <w:rPr>
                <w:rStyle w:val="IndexLink"/>
              </w:rPr>
              <w:t>Solution Architecture</w:t>
            </w:r>
            <w:r>
              <w:rPr>
                <w:webHidden/>
              </w:rPr>
              <w:fldChar w:fldCharType="begin"/>
            </w:r>
            <w:r>
              <w:rPr>
                <w:webHidden/>
              </w:rPr>
              <w:instrText xml:space="preserve">PAGEREF _Toc239804413 \h</w:instrText>
            </w:r>
            <w:r>
              <w:rPr>
                <w:webHidden/>
              </w:rPr>
              <w:fldChar w:fldCharType="separate"/>
            </w:r>
            <w:r>
              <w:rPr>
                <w:rStyle w:val="IndexLink"/>
                <w:vanish w:val="false"/>
              </w:rPr>
              <w:tab/>
              <w:t>7</w:t>
            </w:r>
            <w:r>
              <w:rPr>
                <w:webHidden/>
              </w:rPr>
              <w:fldChar w:fldCharType="end"/>
            </w:r>
          </w:hyperlink>
        </w:p>
        <w:p>
          <w:pPr>
            <w:pStyle w:val="TOC2"/>
            <w:tabs>
              <w:tab w:val="clear" w:pos="720"/>
              <w:tab w:val="left" w:pos="800" w:leader="none"/>
              <w:tab w:val="right" w:pos="9019" w:leader="dot"/>
            </w:tabs>
            <w:rPr>
              <w:rFonts w:eastAsia="ＭＳ 明朝" w:cs="" w:cstheme="minorBidi" w:eastAsiaTheme="minorEastAsia"/>
              <w:kern w:val="2"/>
              <w:sz w:val="24"/>
              <w:szCs w:val="24"/>
              <w:lang w:val="en-US"/>
              <w14:ligatures w14:val="standardContextual"/>
            </w:rPr>
          </w:pPr>
          <w:hyperlink w:anchor="_Toc239804414">
            <w:r>
              <w:rPr>
                <w:rStyle w:val="IndexLink"/>
                <w:webHidden/>
              </w:rPr>
              <w:t>2.1</w:t>
            </w:r>
            <w:r>
              <w:rPr>
                <w:rStyle w:val="IndexLink"/>
                <w:rFonts w:eastAsia="ＭＳ 明朝" w:cs="" w:cstheme="minorBidi" w:eastAsiaTheme="minorEastAsia"/>
                <w:kern w:val="2"/>
                <w:sz w:val="24"/>
                <w:szCs w:val="24"/>
                <w:lang w:val="en-US"/>
                <w14:ligatures w14:val="standardContextual"/>
              </w:rPr>
              <w:tab/>
            </w:r>
            <w:r>
              <w:rPr>
                <w:rStyle w:val="IndexLink"/>
              </w:rPr>
              <w:t>Solution Objectives</w:t>
            </w:r>
            <w:r>
              <w:rPr>
                <w:webHidden/>
              </w:rPr>
              <w:fldChar w:fldCharType="begin"/>
            </w:r>
            <w:r>
              <w:rPr>
                <w:webHidden/>
              </w:rPr>
              <w:instrText xml:space="preserve">PAGEREF _Toc239804414 \h</w:instrText>
            </w:r>
            <w:r>
              <w:rPr>
                <w:webHidden/>
              </w:rPr>
              <w:fldChar w:fldCharType="separate"/>
            </w:r>
            <w:r>
              <w:rPr>
                <w:rStyle w:val="IndexLink"/>
                <w:vanish w:val="false"/>
              </w:rPr>
              <w:tab/>
              <w:t>7</w:t>
            </w:r>
            <w:r>
              <w:rPr>
                <w:webHidden/>
              </w:rPr>
              <w:fldChar w:fldCharType="end"/>
            </w:r>
          </w:hyperlink>
        </w:p>
        <w:p>
          <w:pPr>
            <w:pStyle w:val="TOC2"/>
            <w:tabs>
              <w:tab w:val="clear" w:pos="720"/>
              <w:tab w:val="left" w:pos="800" w:leader="none"/>
              <w:tab w:val="right" w:pos="9019" w:leader="dot"/>
            </w:tabs>
            <w:rPr>
              <w:rFonts w:eastAsia="ＭＳ 明朝" w:cs="" w:cstheme="minorBidi" w:eastAsiaTheme="minorEastAsia"/>
              <w:kern w:val="2"/>
              <w:sz w:val="24"/>
              <w:szCs w:val="24"/>
              <w:lang w:val="en-US"/>
              <w14:ligatures w14:val="standardContextual"/>
            </w:rPr>
          </w:pPr>
          <w:hyperlink w:anchor="_Toc239804415">
            <w:r>
              <w:rPr>
                <w:rStyle w:val="IndexLink"/>
                <w:webHidden/>
              </w:rPr>
              <w:t>2.2</w:t>
            </w:r>
            <w:r>
              <w:rPr>
                <w:rStyle w:val="IndexLink"/>
                <w:rFonts w:eastAsia="ＭＳ 明朝" w:cs="" w:cstheme="minorBidi" w:eastAsiaTheme="minorEastAsia"/>
                <w:kern w:val="2"/>
                <w:sz w:val="24"/>
                <w:szCs w:val="24"/>
                <w:lang w:val="en-US"/>
                <w14:ligatures w14:val="standardContextual"/>
              </w:rPr>
              <w:tab/>
            </w:r>
            <w:r>
              <w:rPr>
                <w:rStyle w:val="IndexLink"/>
              </w:rPr>
              <w:t>Solution Scope</w:t>
            </w:r>
            <w:r>
              <w:rPr>
                <w:webHidden/>
              </w:rPr>
              <w:fldChar w:fldCharType="begin"/>
            </w:r>
            <w:r>
              <w:rPr>
                <w:webHidden/>
              </w:rPr>
              <w:instrText xml:space="preserve">PAGEREF _Toc239804415 \h</w:instrText>
            </w:r>
            <w:r>
              <w:rPr>
                <w:webHidden/>
              </w:rPr>
              <w:fldChar w:fldCharType="separate"/>
            </w:r>
            <w:r>
              <w:rPr>
                <w:rStyle w:val="IndexLink"/>
                <w:vanish w:val="false"/>
              </w:rPr>
              <w:tab/>
              <w:t>7</w:t>
            </w:r>
            <w:r>
              <w:rPr>
                <w:webHidden/>
              </w:rPr>
              <w:fldChar w:fldCharType="end"/>
            </w:r>
          </w:hyperlink>
        </w:p>
        <w:p>
          <w:pPr>
            <w:pStyle w:val="TOC3"/>
            <w:tabs>
              <w:tab w:val="clear" w:pos="720"/>
              <w:tab w:val="left" w:pos="1200" w:leader="none"/>
              <w:tab w:val="right" w:pos="9019" w:leader="dot"/>
            </w:tabs>
            <w:rPr>
              <w:rFonts w:eastAsia="ＭＳ 明朝" w:cs="" w:cstheme="minorBidi" w:eastAsiaTheme="minorEastAsia"/>
              <w:kern w:val="2"/>
              <w:sz w:val="24"/>
              <w:szCs w:val="24"/>
              <w:lang w:val="en-US"/>
              <w14:ligatures w14:val="standardContextual"/>
            </w:rPr>
          </w:pPr>
          <w:hyperlink w:anchor="_Toc239804416">
            <w:r>
              <w:rPr>
                <w:rStyle w:val="IndexLink"/>
                <w:webHidden/>
              </w:rPr>
              <w:t>2.2.1</w:t>
            </w:r>
            <w:r>
              <w:rPr>
                <w:rStyle w:val="IndexLink"/>
                <w:rFonts w:eastAsia="ＭＳ 明朝" w:cs="" w:cstheme="minorBidi" w:eastAsiaTheme="minorEastAsia"/>
                <w:kern w:val="2"/>
                <w:sz w:val="24"/>
                <w:szCs w:val="24"/>
                <w:lang w:val="en-US"/>
                <w14:ligatures w14:val="standardContextual"/>
              </w:rPr>
              <w:tab/>
            </w:r>
            <w:r>
              <w:rPr>
                <w:rStyle w:val="IndexLink"/>
              </w:rPr>
              <w:t>In Scope</w:t>
            </w:r>
            <w:r>
              <w:rPr>
                <w:webHidden/>
              </w:rPr>
              <w:fldChar w:fldCharType="begin"/>
            </w:r>
            <w:r>
              <w:rPr>
                <w:webHidden/>
              </w:rPr>
              <w:instrText xml:space="preserve">PAGEREF _Toc239804416 \h</w:instrText>
            </w:r>
            <w:r>
              <w:rPr>
                <w:webHidden/>
              </w:rPr>
              <w:fldChar w:fldCharType="separate"/>
            </w:r>
            <w:r>
              <w:rPr>
                <w:rStyle w:val="IndexLink"/>
                <w:vanish w:val="false"/>
              </w:rPr>
              <w:tab/>
              <w:t>7</w:t>
            </w:r>
            <w:r>
              <w:rPr>
                <w:webHidden/>
              </w:rPr>
              <w:fldChar w:fldCharType="end"/>
            </w:r>
          </w:hyperlink>
        </w:p>
        <w:p>
          <w:pPr>
            <w:pStyle w:val="TOC3"/>
            <w:tabs>
              <w:tab w:val="clear" w:pos="720"/>
              <w:tab w:val="left" w:pos="1200" w:leader="none"/>
              <w:tab w:val="right" w:pos="9019" w:leader="dot"/>
            </w:tabs>
            <w:rPr>
              <w:rFonts w:eastAsia="ＭＳ 明朝" w:cs="" w:cstheme="minorBidi" w:eastAsiaTheme="minorEastAsia"/>
              <w:kern w:val="2"/>
              <w:sz w:val="24"/>
              <w:szCs w:val="24"/>
              <w:lang w:val="en-US"/>
              <w14:ligatures w14:val="standardContextual"/>
            </w:rPr>
          </w:pPr>
          <w:hyperlink w:anchor="_Toc239804417">
            <w:r>
              <w:rPr>
                <w:rStyle w:val="IndexLink"/>
                <w:webHidden/>
              </w:rPr>
              <w:t>2.2.2</w:t>
            </w:r>
            <w:r>
              <w:rPr>
                <w:rStyle w:val="IndexLink"/>
                <w:rFonts w:eastAsia="ＭＳ 明朝" w:cs="" w:cstheme="minorBidi" w:eastAsiaTheme="minorEastAsia"/>
                <w:kern w:val="2"/>
                <w:sz w:val="24"/>
                <w:szCs w:val="24"/>
                <w:lang w:val="en-US"/>
                <w14:ligatures w14:val="standardContextual"/>
              </w:rPr>
              <w:tab/>
            </w:r>
            <w:r>
              <w:rPr>
                <w:rStyle w:val="IndexLink"/>
              </w:rPr>
              <w:t>Out of Scope</w:t>
            </w:r>
            <w:r>
              <w:rPr>
                <w:webHidden/>
              </w:rPr>
              <w:fldChar w:fldCharType="begin"/>
            </w:r>
            <w:r>
              <w:rPr>
                <w:webHidden/>
              </w:rPr>
              <w:instrText xml:space="preserve">PAGEREF _Toc239804417 \h</w:instrText>
            </w:r>
            <w:r>
              <w:rPr>
                <w:webHidden/>
              </w:rPr>
              <w:fldChar w:fldCharType="separate"/>
            </w:r>
            <w:r>
              <w:rPr>
                <w:rStyle w:val="IndexLink"/>
                <w:vanish w:val="false"/>
              </w:rPr>
              <w:tab/>
              <w:t>8</w:t>
            </w:r>
            <w:r>
              <w:rPr>
                <w:webHidden/>
              </w:rPr>
              <w:fldChar w:fldCharType="end"/>
            </w:r>
          </w:hyperlink>
        </w:p>
        <w:p>
          <w:pPr>
            <w:pStyle w:val="TOC3"/>
            <w:tabs>
              <w:tab w:val="clear" w:pos="720"/>
              <w:tab w:val="left" w:pos="1200" w:leader="none"/>
              <w:tab w:val="right" w:pos="9019" w:leader="dot"/>
            </w:tabs>
            <w:rPr>
              <w:rFonts w:eastAsia="ＭＳ 明朝" w:cs="" w:cstheme="minorBidi" w:eastAsiaTheme="minorEastAsia"/>
              <w:kern w:val="2"/>
              <w:sz w:val="24"/>
              <w:szCs w:val="24"/>
              <w:lang w:val="en-US"/>
              <w14:ligatures w14:val="standardContextual"/>
            </w:rPr>
          </w:pPr>
          <w:hyperlink w:anchor="_Toc239804418">
            <w:r>
              <w:rPr>
                <w:rStyle w:val="IndexLink"/>
                <w:webHidden/>
              </w:rPr>
              <w:t>2.2.3</w:t>
            </w:r>
            <w:r>
              <w:rPr>
                <w:rStyle w:val="IndexLink"/>
                <w:rFonts w:eastAsia="ＭＳ 明朝" w:cs="" w:cstheme="minorBidi" w:eastAsiaTheme="minorEastAsia"/>
                <w:kern w:val="2"/>
                <w:sz w:val="24"/>
                <w:szCs w:val="24"/>
                <w:lang w:val="en-US"/>
                <w14:ligatures w14:val="standardContextual"/>
              </w:rPr>
              <w:tab/>
            </w:r>
            <w:r>
              <w:rPr>
                <w:rStyle w:val="IndexLink"/>
              </w:rPr>
              <w:t>Assumptions</w:t>
            </w:r>
            <w:r>
              <w:rPr>
                <w:webHidden/>
              </w:rPr>
              <w:fldChar w:fldCharType="begin"/>
            </w:r>
            <w:r>
              <w:rPr>
                <w:webHidden/>
              </w:rPr>
              <w:instrText xml:space="preserve">PAGEREF _Toc239804418 \h</w:instrText>
            </w:r>
            <w:r>
              <w:rPr>
                <w:webHidden/>
              </w:rPr>
              <w:fldChar w:fldCharType="separate"/>
            </w:r>
            <w:r>
              <w:rPr>
                <w:rStyle w:val="IndexLink"/>
                <w:vanish w:val="false"/>
              </w:rPr>
              <w:tab/>
              <w:t>9</w:t>
            </w:r>
            <w:r>
              <w:rPr>
                <w:webHidden/>
              </w:rPr>
              <w:fldChar w:fldCharType="end"/>
            </w:r>
          </w:hyperlink>
        </w:p>
        <w:p>
          <w:pPr>
            <w:pStyle w:val="TOC3"/>
            <w:tabs>
              <w:tab w:val="clear" w:pos="720"/>
              <w:tab w:val="left" w:pos="1200" w:leader="none"/>
              <w:tab w:val="right" w:pos="9019" w:leader="dot"/>
            </w:tabs>
            <w:rPr>
              <w:rFonts w:eastAsia="ＭＳ 明朝" w:cs="" w:cstheme="minorBidi" w:eastAsiaTheme="minorEastAsia"/>
              <w:kern w:val="2"/>
              <w:sz w:val="24"/>
              <w:szCs w:val="24"/>
              <w:lang w:val="en-US"/>
              <w14:ligatures w14:val="standardContextual"/>
            </w:rPr>
          </w:pPr>
          <w:hyperlink w:anchor="_Toc239804419">
            <w:r>
              <w:rPr>
                <w:rStyle w:val="IndexLink"/>
                <w:webHidden/>
              </w:rPr>
              <w:t>2.2.4</w:t>
            </w:r>
            <w:r>
              <w:rPr>
                <w:rStyle w:val="IndexLink"/>
                <w:rFonts w:eastAsia="ＭＳ 明朝" w:cs="" w:cstheme="minorBidi" w:eastAsiaTheme="minorEastAsia"/>
                <w:kern w:val="2"/>
                <w:sz w:val="24"/>
                <w:szCs w:val="24"/>
                <w:lang w:val="en-US"/>
                <w14:ligatures w14:val="standardContextual"/>
              </w:rPr>
              <w:tab/>
            </w:r>
            <w:r>
              <w:rPr>
                <w:rStyle w:val="IndexLink"/>
              </w:rPr>
              <w:t>Constraints</w:t>
            </w:r>
            <w:r>
              <w:rPr>
                <w:webHidden/>
              </w:rPr>
              <w:fldChar w:fldCharType="begin"/>
            </w:r>
            <w:r>
              <w:rPr>
                <w:webHidden/>
              </w:rPr>
              <w:instrText xml:space="preserve">PAGEREF _Toc239804419 \h</w:instrText>
            </w:r>
            <w:r>
              <w:rPr>
                <w:webHidden/>
              </w:rPr>
              <w:fldChar w:fldCharType="separate"/>
            </w:r>
            <w:r>
              <w:rPr>
                <w:rStyle w:val="IndexLink"/>
                <w:vanish w:val="false"/>
              </w:rPr>
              <w:tab/>
              <w:t>9</w:t>
            </w:r>
            <w:r>
              <w:rPr>
                <w:webHidden/>
              </w:rPr>
              <w:fldChar w:fldCharType="end"/>
            </w:r>
          </w:hyperlink>
        </w:p>
        <w:p>
          <w:pPr>
            <w:pStyle w:val="TOC3"/>
            <w:tabs>
              <w:tab w:val="clear" w:pos="720"/>
              <w:tab w:val="left" w:pos="1200" w:leader="none"/>
              <w:tab w:val="right" w:pos="9019" w:leader="dot"/>
            </w:tabs>
            <w:rPr>
              <w:rFonts w:eastAsia="ＭＳ 明朝" w:cs="" w:cstheme="minorBidi" w:eastAsiaTheme="minorEastAsia"/>
              <w:kern w:val="2"/>
              <w:sz w:val="24"/>
              <w:szCs w:val="24"/>
              <w:lang w:val="en-US"/>
              <w14:ligatures w14:val="standardContextual"/>
            </w:rPr>
          </w:pPr>
          <w:hyperlink w:anchor="_Toc239804420">
            <w:r>
              <w:rPr>
                <w:rStyle w:val="IndexLink"/>
                <w:webHidden/>
              </w:rPr>
              <w:t>2.2.5</w:t>
            </w:r>
            <w:r>
              <w:rPr>
                <w:rStyle w:val="IndexLink"/>
                <w:rFonts w:eastAsia="ＭＳ 明朝" w:cs="" w:cstheme="minorBidi" w:eastAsiaTheme="minorEastAsia"/>
                <w:kern w:val="2"/>
                <w:sz w:val="24"/>
                <w:szCs w:val="24"/>
                <w:lang w:val="en-US"/>
                <w14:ligatures w14:val="standardContextual"/>
              </w:rPr>
              <w:tab/>
            </w:r>
            <w:r>
              <w:rPr>
                <w:rStyle w:val="IndexLink"/>
              </w:rPr>
              <w:t>Dependencies</w:t>
            </w:r>
            <w:r>
              <w:rPr>
                <w:webHidden/>
              </w:rPr>
              <w:fldChar w:fldCharType="begin"/>
            </w:r>
            <w:r>
              <w:rPr>
                <w:webHidden/>
              </w:rPr>
              <w:instrText xml:space="preserve">PAGEREF _Toc239804420 \h</w:instrText>
            </w:r>
            <w:r>
              <w:rPr>
                <w:webHidden/>
              </w:rPr>
              <w:fldChar w:fldCharType="separate"/>
            </w:r>
            <w:r>
              <w:rPr>
                <w:rStyle w:val="IndexLink"/>
                <w:vanish w:val="false"/>
              </w:rPr>
              <w:tab/>
              <w:t>9</w:t>
            </w:r>
            <w:r>
              <w:rPr>
                <w:webHidden/>
              </w:rPr>
              <w:fldChar w:fldCharType="end"/>
            </w:r>
          </w:hyperlink>
        </w:p>
        <w:p>
          <w:pPr>
            <w:pStyle w:val="TOC3"/>
            <w:tabs>
              <w:tab w:val="clear" w:pos="720"/>
              <w:tab w:val="left" w:pos="1200" w:leader="none"/>
              <w:tab w:val="right" w:pos="9019" w:leader="dot"/>
            </w:tabs>
            <w:rPr>
              <w:rFonts w:eastAsia="ＭＳ 明朝" w:cs="" w:cstheme="minorBidi" w:eastAsiaTheme="minorEastAsia"/>
              <w:kern w:val="2"/>
              <w:sz w:val="24"/>
              <w:szCs w:val="24"/>
              <w:lang w:val="en-US"/>
              <w14:ligatures w14:val="standardContextual"/>
            </w:rPr>
          </w:pPr>
          <w:hyperlink w:anchor="_Toc239804421">
            <w:r>
              <w:rPr>
                <w:rStyle w:val="IndexLink"/>
                <w:webHidden/>
              </w:rPr>
              <w:t>2.2.6</w:t>
            </w:r>
            <w:r>
              <w:rPr>
                <w:rStyle w:val="IndexLink"/>
                <w:rFonts w:eastAsia="ＭＳ 明朝" w:cs="" w:cstheme="minorBidi" w:eastAsiaTheme="minorEastAsia"/>
                <w:kern w:val="2"/>
                <w:sz w:val="24"/>
                <w:szCs w:val="24"/>
                <w:lang w:val="en-US"/>
                <w14:ligatures w14:val="standardContextual"/>
              </w:rPr>
              <w:tab/>
            </w:r>
            <w:r>
              <w:rPr>
                <w:rStyle w:val="IndexLink"/>
              </w:rPr>
              <w:t>Key Architecture Decisions</w:t>
            </w:r>
            <w:r>
              <w:rPr>
                <w:webHidden/>
              </w:rPr>
              <w:fldChar w:fldCharType="begin"/>
            </w:r>
            <w:r>
              <w:rPr>
                <w:webHidden/>
              </w:rPr>
              <w:instrText xml:space="preserve">PAGEREF _Toc239804421 \h</w:instrText>
            </w:r>
            <w:r>
              <w:rPr>
                <w:webHidden/>
              </w:rPr>
              <w:fldChar w:fldCharType="separate"/>
            </w:r>
            <w:r>
              <w:rPr>
                <w:rStyle w:val="IndexLink"/>
                <w:vanish w:val="false"/>
              </w:rPr>
              <w:tab/>
              <w:t>10</w:t>
            </w:r>
            <w:r>
              <w:rPr>
                <w:webHidden/>
              </w:rPr>
              <w:fldChar w:fldCharType="end"/>
            </w:r>
          </w:hyperlink>
        </w:p>
        <w:p>
          <w:pPr>
            <w:pStyle w:val="TOC1"/>
            <w:tabs>
              <w:tab w:val="clear" w:pos="720"/>
              <w:tab w:val="left" w:pos="400" w:leader="none"/>
              <w:tab w:val="right" w:pos="9019" w:leader="dot"/>
            </w:tabs>
            <w:rPr>
              <w:rFonts w:eastAsia="ＭＳ 明朝" w:cs="" w:cstheme="minorBidi" w:eastAsiaTheme="minorEastAsia"/>
              <w:kern w:val="2"/>
              <w:sz w:val="24"/>
              <w:szCs w:val="24"/>
              <w:lang w:val="en-US"/>
              <w14:ligatures w14:val="standardContextual"/>
            </w:rPr>
          </w:pPr>
          <w:hyperlink w:anchor="_Toc239804422">
            <w:r>
              <w:rPr>
                <w:rStyle w:val="IndexLink"/>
                <w:webHidden/>
                <w:lang w:val="en-US"/>
              </w:rPr>
              <w:t>3</w:t>
            </w:r>
            <w:r>
              <w:rPr>
                <w:rStyle w:val="IndexLink"/>
                <w:rFonts w:eastAsia="ＭＳ 明朝" w:cs="" w:cstheme="minorBidi" w:eastAsiaTheme="minorEastAsia"/>
                <w:kern w:val="2"/>
                <w:sz w:val="24"/>
                <w:szCs w:val="24"/>
                <w:lang w:val="en-US"/>
                <w14:ligatures w14:val="standardContextual"/>
              </w:rPr>
              <w:tab/>
            </w:r>
            <w:r>
              <w:rPr>
                <w:rStyle w:val="IndexLink"/>
                <w:lang w:val="en-US"/>
              </w:rPr>
              <w:t>Business Context</w:t>
            </w:r>
            <w:r>
              <w:rPr>
                <w:webHidden/>
              </w:rPr>
              <w:fldChar w:fldCharType="begin"/>
            </w:r>
            <w:r>
              <w:rPr>
                <w:webHidden/>
              </w:rPr>
              <w:instrText xml:space="preserve">PAGEREF _Toc239804422 \h</w:instrText>
            </w:r>
            <w:r>
              <w:rPr>
                <w:webHidden/>
              </w:rPr>
              <w:fldChar w:fldCharType="separate"/>
            </w:r>
            <w:r>
              <w:rPr>
                <w:rStyle w:val="IndexLink"/>
                <w:vanish w:val="false"/>
              </w:rPr>
              <w:tab/>
              <w:t>11</w:t>
            </w:r>
            <w:r>
              <w:rPr>
                <w:webHidden/>
              </w:rPr>
              <w:fldChar w:fldCharType="end"/>
            </w:r>
          </w:hyperlink>
        </w:p>
        <w:p>
          <w:pPr>
            <w:pStyle w:val="TOC2"/>
            <w:tabs>
              <w:tab w:val="clear" w:pos="720"/>
              <w:tab w:val="left" w:pos="800" w:leader="none"/>
              <w:tab w:val="right" w:pos="9019" w:leader="dot"/>
            </w:tabs>
            <w:rPr>
              <w:rFonts w:eastAsia="ＭＳ 明朝" w:cs="" w:cstheme="minorBidi" w:eastAsiaTheme="minorEastAsia"/>
              <w:kern w:val="2"/>
              <w:sz w:val="24"/>
              <w:szCs w:val="24"/>
              <w:lang w:val="en-US"/>
              <w14:ligatures w14:val="standardContextual"/>
            </w:rPr>
          </w:pPr>
          <w:hyperlink w:anchor="_Toc239804423">
            <w:r>
              <w:rPr>
                <w:rStyle w:val="IndexLink"/>
                <w:webHidden/>
              </w:rPr>
              <w:t>3.1</w:t>
            </w:r>
            <w:r>
              <w:rPr>
                <w:rStyle w:val="IndexLink"/>
                <w:rFonts w:eastAsia="ＭＳ 明朝" w:cs="" w:cstheme="minorBidi" w:eastAsiaTheme="minorEastAsia"/>
                <w:kern w:val="2"/>
                <w:sz w:val="24"/>
                <w:szCs w:val="24"/>
                <w:lang w:val="en-US"/>
                <w14:ligatures w14:val="standardContextual"/>
              </w:rPr>
              <w:tab/>
            </w:r>
            <w:r>
              <w:rPr>
                <w:rStyle w:val="IndexLink"/>
              </w:rPr>
              <w:t>Business Capabilities</w:t>
            </w:r>
            <w:r>
              <w:rPr>
                <w:webHidden/>
              </w:rPr>
              <w:fldChar w:fldCharType="begin"/>
            </w:r>
            <w:r>
              <w:rPr>
                <w:webHidden/>
              </w:rPr>
              <w:instrText xml:space="preserve">PAGEREF _Toc239804423 \h</w:instrText>
            </w:r>
            <w:r>
              <w:rPr>
                <w:webHidden/>
              </w:rPr>
              <w:fldChar w:fldCharType="separate"/>
            </w:r>
            <w:r>
              <w:rPr>
                <w:rStyle w:val="IndexLink"/>
                <w:vanish w:val="false"/>
              </w:rPr>
              <w:tab/>
              <w:t>11</w:t>
            </w:r>
            <w:r>
              <w:rPr>
                <w:webHidden/>
              </w:rPr>
              <w:fldChar w:fldCharType="end"/>
            </w:r>
          </w:hyperlink>
        </w:p>
        <w:p>
          <w:pPr>
            <w:pStyle w:val="TOC2"/>
            <w:tabs>
              <w:tab w:val="clear" w:pos="720"/>
              <w:tab w:val="left" w:pos="800" w:leader="none"/>
              <w:tab w:val="right" w:pos="9019" w:leader="dot"/>
            </w:tabs>
            <w:rPr>
              <w:rFonts w:eastAsia="ＭＳ 明朝" w:cs="" w:cstheme="minorBidi" w:eastAsiaTheme="minorEastAsia"/>
              <w:kern w:val="2"/>
              <w:sz w:val="24"/>
              <w:szCs w:val="24"/>
              <w:lang w:val="en-US"/>
              <w14:ligatures w14:val="standardContextual"/>
            </w:rPr>
          </w:pPr>
          <w:hyperlink w:anchor="_Toc239804424">
            <w:r>
              <w:rPr>
                <w:rStyle w:val="IndexLink"/>
                <w:webHidden/>
              </w:rPr>
              <w:t>3.2</w:t>
            </w:r>
            <w:r>
              <w:rPr>
                <w:rStyle w:val="IndexLink"/>
                <w:rFonts w:eastAsia="ＭＳ 明朝" w:cs="" w:cstheme="minorBidi" w:eastAsiaTheme="minorEastAsia"/>
                <w:kern w:val="2"/>
                <w:sz w:val="24"/>
                <w:szCs w:val="24"/>
                <w:lang w:val="en-US"/>
                <w14:ligatures w14:val="standardContextual"/>
              </w:rPr>
              <w:tab/>
            </w:r>
            <w:r>
              <w:rPr>
                <w:rStyle w:val="IndexLink"/>
              </w:rPr>
              <w:t>Key Business Requirements</w:t>
            </w:r>
            <w:r>
              <w:rPr>
                <w:webHidden/>
              </w:rPr>
              <w:fldChar w:fldCharType="begin"/>
            </w:r>
            <w:r>
              <w:rPr>
                <w:webHidden/>
              </w:rPr>
              <w:instrText xml:space="preserve">PAGEREF _Toc239804424 \h</w:instrText>
            </w:r>
            <w:r>
              <w:rPr>
                <w:webHidden/>
              </w:rPr>
              <w:fldChar w:fldCharType="separate"/>
            </w:r>
            <w:r>
              <w:rPr>
                <w:rStyle w:val="IndexLink"/>
                <w:vanish w:val="false"/>
              </w:rPr>
              <w:tab/>
              <w:t>11</w:t>
            </w:r>
            <w:r>
              <w:rPr>
                <w:webHidden/>
              </w:rPr>
              <w:fldChar w:fldCharType="end"/>
            </w:r>
          </w:hyperlink>
        </w:p>
        <w:p>
          <w:pPr>
            <w:pStyle w:val="TOC3"/>
            <w:tabs>
              <w:tab w:val="clear" w:pos="720"/>
              <w:tab w:val="left" w:pos="1200" w:leader="none"/>
              <w:tab w:val="right" w:pos="9019" w:leader="dot"/>
            </w:tabs>
            <w:rPr>
              <w:rFonts w:eastAsia="ＭＳ 明朝" w:cs="" w:cstheme="minorBidi" w:eastAsiaTheme="minorEastAsia"/>
              <w:kern w:val="2"/>
              <w:sz w:val="24"/>
              <w:szCs w:val="24"/>
              <w:lang w:val="en-US"/>
              <w14:ligatures w14:val="standardContextual"/>
            </w:rPr>
          </w:pPr>
          <w:hyperlink w:anchor="_Toc239804425">
            <w:r>
              <w:rPr>
                <w:rStyle w:val="IndexLink"/>
                <w:webHidden/>
              </w:rPr>
              <w:t>3.2.1</w:t>
            </w:r>
            <w:r>
              <w:rPr>
                <w:rStyle w:val="IndexLink"/>
                <w:rFonts w:eastAsia="ＭＳ 明朝" w:cs="" w:cstheme="minorBidi" w:eastAsiaTheme="minorEastAsia"/>
                <w:kern w:val="2"/>
                <w:sz w:val="24"/>
                <w:szCs w:val="24"/>
                <w:lang w:val="en-US"/>
                <w14:ligatures w14:val="standardContextual"/>
              </w:rPr>
              <w:tab/>
            </w:r>
            <w:r>
              <w:rPr>
                <w:rStyle w:val="IndexLink"/>
              </w:rPr>
              <w:t>Key Business Processes</w:t>
            </w:r>
            <w:r>
              <w:rPr>
                <w:webHidden/>
              </w:rPr>
              <w:fldChar w:fldCharType="begin"/>
            </w:r>
            <w:r>
              <w:rPr>
                <w:webHidden/>
              </w:rPr>
              <w:instrText xml:space="preserve">PAGEREF _Toc239804425 \h</w:instrText>
            </w:r>
            <w:r>
              <w:rPr>
                <w:webHidden/>
              </w:rPr>
              <w:fldChar w:fldCharType="separate"/>
            </w:r>
            <w:r>
              <w:rPr>
                <w:rStyle w:val="IndexLink"/>
                <w:vanish w:val="false"/>
              </w:rPr>
              <w:tab/>
              <w:t>13</w:t>
            </w:r>
            <w:r>
              <w:rPr>
                <w:webHidden/>
              </w:rPr>
              <w:fldChar w:fldCharType="end"/>
            </w:r>
          </w:hyperlink>
        </w:p>
        <w:p>
          <w:pPr>
            <w:pStyle w:val="TOC3"/>
            <w:tabs>
              <w:tab w:val="clear" w:pos="720"/>
              <w:tab w:val="left" w:pos="1200" w:leader="none"/>
              <w:tab w:val="right" w:pos="9019" w:leader="dot"/>
            </w:tabs>
            <w:rPr>
              <w:rFonts w:eastAsia="ＭＳ 明朝" w:cs="" w:cstheme="minorBidi" w:eastAsiaTheme="minorEastAsia"/>
              <w:kern w:val="2"/>
              <w:sz w:val="24"/>
              <w:szCs w:val="24"/>
              <w:lang w:val="en-US"/>
              <w14:ligatures w14:val="standardContextual"/>
            </w:rPr>
          </w:pPr>
          <w:hyperlink w:anchor="_Toc239804426">
            <w:r>
              <w:rPr>
                <w:rStyle w:val="IndexLink"/>
                <w:webHidden/>
              </w:rPr>
              <w:t>3.2.2</w:t>
            </w:r>
            <w:r>
              <w:rPr>
                <w:rStyle w:val="IndexLink"/>
                <w:rFonts w:eastAsia="ＭＳ 明朝" w:cs="" w:cstheme="minorBidi" w:eastAsiaTheme="minorEastAsia"/>
                <w:kern w:val="2"/>
                <w:sz w:val="24"/>
                <w:szCs w:val="24"/>
                <w:lang w:val="en-US"/>
                <w14:ligatures w14:val="standardContextual"/>
              </w:rPr>
              <w:tab/>
            </w:r>
            <w:r>
              <w:rPr>
                <w:rStyle w:val="IndexLink"/>
              </w:rPr>
              <w:t>Business Users</w:t>
            </w:r>
            <w:r>
              <w:rPr>
                <w:webHidden/>
              </w:rPr>
              <w:fldChar w:fldCharType="begin"/>
            </w:r>
            <w:r>
              <w:rPr>
                <w:webHidden/>
              </w:rPr>
              <w:instrText xml:space="preserve">PAGEREF _Toc239804426 \h</w:instrText>
            </w:r>
            <w:r>
              <w:rPr>
                <w:webHidden/>
              </w:rPr>
              <w:fldChar w:fldCharType="separate"/>
            </w:r>
            <w:r>
              <w:rPr>
                <w:rStyle w:val="IndexLink"/>
                <w:vanish w:val="false"/>
              </w:rPr>
              <w:tab/>
              <w:t>19</w:t>
            </w:r>
            <w:r>
              <w:rPr>
                <w:webHidden/>
              </w:rPr>
              <w:fldChar w:fldCharType="end"/>
            </w:r>
          </w:hyperlink>
        </w:p>
        <w:p>
          <w:pPr>
            <w:pStyle w:val="TOC2"/>
            <w:tabs>
              <w:tab w:val="clear" w:pos="720"/>
              <w:tab w:val="left" w:pos="800" w:leader="none"/>
              <w:tab w:val="right" w:pos="9019" w:leader="dot"/>
            </w:tabs>
            <w:rPr>
              <w:rFonts w:eastAsia="ＭＳ 明朝" w:cs="" w:cstheme="minorBidi" w:eastAsiaTheme="minorEastAsia"/>
              <w:kern w:val="2"/>
              <w:sz w:val="24"/>
              <w:szCs w:val="24"/>
              <w:lang w:val="en-US"/>
              <w14:ligatures w14:val="standardContextual"/>
            </w:rPr>
          </w:pPr>
          <w:hyperlink w:anchor="_Toc239804427">
            <w:r>
              <w:rPr>
                <w:rStyle w:val="IndexLink"/>
                <w:webHidden/>
              </w:rPr>
              <w:t>3.3</w:t>
            </w:r>
            <w:r>
              <w:rPr>
                <w:rStyle w:val="IndexLink"/>
                <w:rFonts w:eastAsia="ＭＳ 明朝" w:cs="" w:cstheme="minorBidi" w:eastAsiaTheme="minorEastAsia"/>
                <w:kern w:val="2"/>
                <w:sz w:val="24"/>
                <w:szCs w:val="24"/>
                <w:lang w:val="en-US"/>
                <w14:ligatures w14:val="standardContextual"/>
              </w:rPr>
              <w:tab/>
            </w:r>
            <w:r>
              <w:rPr>
                <w:rStyle w:val="IndexLink"/>
              </w:rPr>
              <w:t>Non-Functional Requirements</w:t>
            </w:r>
            <w:r>
              <w:rPr>
                <w:webHidden/>
              </w:rPr>
              <w:fldChar w:fldCharType="begin"/>
            </w:r>
            <w:r>
              <w:rPr>
                <w:webHidden/>
              </w:rPr>
              <w:instrText xml:space="preserve">PAGEREF _Toc239804427 \h</w:instrText>
            </w:r>
            <w:r>
              <w:rPr>
                <w:webHidden/>
              </w:rPr>
              <w:fldChar w:fldCharType="separate"/>
            </w:r>
            <w:r>
              <w:rPr>
                <w:rStyle w:val="IndexLink"/>
                <w:vanish w:val="false"/>
              </w:rPr>
              <w:tab/>
              <w:t>19</w:t>
            </w:r>
            <w:r>
              <w:rPr>
                <w:webHidden/>
              </w:rPr>
              <w:fldChar w:fldCharType="end"/>
            </w:r>
          </w:hyperlink>
        </w:p>
        <w:p>
          <w:pPr>
            <w:pStyle w:val="TOC1"/>
            <w:tabs>
              <w:tab w:val="clear" w:pos="720"/>
              <w:tab w:val="left" w:pos="400" w:leader="none"/>
              <w:tab w:val="right" w:pos="9019" w:leader="dot"/>
            </w:tabs>
            <w:rPr>
              <w:rFonts w:eastAsia="ＭＳ 明朝" w:cs="" w:cstheme="minorBidi" w:eastAsiaTheme="minorEastAsia"/>
              <w:kern w:val="2"/>
              <w:sz w:val="24"/>
              <w:szCs w:val="24"/>
              <w:lang w:val="en-US"/>
              <w14:ligatures w14:val="standardContextual"/>
            </w:rPr>
          </w:pPr>
          <w:hyperlink w:anchor="_Toc239804428">
            <w:r>
              <w:rPr>
                <w:rStyle w:val="IndexLink"/>
                <w:webHidden/>
                <w:lang w:val="en-US"/>
              </w:rPr>
              <w:t>4</w:t>
            </w:r>
            <w:r>
              <w:rPr>
                <w:rStyle w:val="IndexLink"/>
                <w:rFonts w:eastAsia="ＭＳ 明朝" w:cs="" w:cstheme="minorBidi" w:eastAsiaTheme="minorEastAsia"/>
                <w:kern w:val="2"/>
                <w:sz w:val="24"/>
                <w:szCs w:val="24"/>
                <w:lang w:val="en-US"/>
                <w14:ligatures w14:val="standardContextual"/>
              </w:rPr>
              <w:tab/>
            </w:r>
            <w:r>
              <w:rPr>
                <w:rStyle w:val="IndexLink"/>
                <w:bCs/>
                <w:lang w:val="en-US"/>
              </w:rPr>
              <w:t>Conceptual Solution Overview</w:t>
            </w:r>
            <w:r>
              <w:rPr>
                <w:webHidden/>
              </w:rPr>
              <w:fldChar w:fldCharType="begin"/>
            </w:r>
            <w:r>
              <w:rPr>
                <w:webHidden/>
              </w:rPr>
              <w:instrText xml:space="preserve">PAGEREF _Toc239804428 \h</w:instrText>
            </w:r>
            <w:r>
              <w:rPr>
                <w:webHidden/>
              </w:rPr>
              <w:fldChar w:fldCharType="separate"/>
            </w:r>
            <w:r>
              <w:rPr>
                <w:rStyle w:val="IndexLink"/>
                <w:vanish w:val="false"/>
              </w:rPr>
              <w:tab/>
              <w:t>21</w:t>
            </w:r>
            <w:r>
              <w:rPr>
                <w:webHidden/>
              </w:rPr>
              <w:fldChar w:fldCharType="end"/>
            </w:r>
          </w:hyperlink>
        </w:p>
        <w:p>
          <w:pPr>
            <w:pStyle w:val="TOC2"/>
            <w:tabs>
              <w:tab w:val="clear" w:pos="720"/>
              <w:tab w:val="left" w:pos="800" w:leader="none"/>
              <w:tab w:val="right" w:pos="9019" w:leader="dot"/>
            </w:tabs>
            <w:rPr>
              <w:rFonts w:eastAsia="ＭＳ 明朝" w:cs="" w:cstheme="minorBidi" w:eastAsiaTheme="minorEastAsia"/>
              <w:kern w:val="2"/>
              <w:sz w:val="24"/>
              <w:szCs w:val="24"/>
              <w:lang w:val="en-US"/>
              <w14:ligatures w14:val="standardContextual"/>
            </w:rPr>
          </w:pPr>
          <w:hyperlink w:anchor="_Toc239804429">
            <w:r>
              <w:rPr>
                <w:rStyle w:val="IndexLink"/>
                <w:webHidden/>
              </w:rPr>
              <w:t>4.1</w:t>
            </w:r>
            <w:r>
              <w:rPr>
                <w:rStyle w:val="IndexLink"/>
                <w:rFonts w:eastAsia="ＭＳ 明朝" w:cs="" w:cstheme="minorBidi" w:eastAsiaTheme="minorEastAsia"/>
                <w:kern w:val="2"/>
                <w:sz w:val="24"/>
                <w:szCs w:val="24"/>
                <w:lang w:val="en-US"/>
                <w14:ligatures w14:val="standardContextual"/>
              </w:rPr>
              <w:tab/>
            </w:r>
            <w:r>
              <w:rPr>
                <w:rStyle w:val="IndexLink"/>
              </w:rPr>
              <w:t>Conceptual Solution Architecture Diagram</w:t>
            </w:r>
            <w:r>
              <w:rPr>
                <w:webHidden/>
              </w:rPr>
              <w:fldChar w:fldCharType="begin"/>
            </w:r>
            <w:r>
              <w:rPr>
                <w:webHidden/>
              </w:rPr>
              <w:instrText xml:space="preserve">PAGEREF _Toc239804429 \h</w:instrText>
            </w:r>
            <w:r>
              <w:rPr>
                <w:webHidden/>
              </w:rPr>
              <w:fldChar w:fldCharType="separate"/>
            </w:r>
            <w:r>
              <w:rPr>
                <w:rStyle w:val="IndexLink"/>
                <w:vanish w:val="false"/>
              </w:rPr>
              <w:tab/>
              <w:t>21</w:t>
            </w:r>
            <w:r>
              <w:rPr>
                <w:webHidden/>
              </w:rPr>
              <w:fldChar w:fldCharType="end"/>
            </w:r>
          </w:hyperlink>
        </w:p>
        <w:p>
          <w:pPr>
            <w:pStyle w:val="TOC1"/>
            <w:tabs>
              <w:tab w:val="clear" w:pos="720"/>
              <w:tab w:val="left" w:pos="400" w:leader="none"/>
              <w:tab w:val="right" w:pos="9019" w:leader="dot"/>
            </w:tabs>
            <w:rPr>
              <w:rFonts w:eastAsia="ＭＳ 明朝" w:cs="" w:cstheme="minorBidi" w:eastAsiaTheme="minorEastAsia"/>
              <w:kern w:val="2"/>
              <w:sz w:val="24"/>
              <w:szCs w:val="24"/>
              <w:lang w:val="en-US"/>
              <w14:ligatures w14:val="standardContextual"/>
            </w:rPr>
          </w:pPr>
          <w:hyperlink w:anchor="_Toc239804430">
            <w:r>
              <w:rPr>
                <w:rStyle w:val="IndexLink"/>
                <w:bCs/>
                <w:webHidden/>
                <w:lang w:val="en-US"/>
              </w:rPr>
              <w:t>5</w:t>
            </w:r>
            <w:r>
              <w:rPr>
                <w:rStyle w:val="IndexLink"/>
                <w:rFonts w:eastAsia="ＭＳ 明朝" w:cs="" w:cstheme="minorBidi" w:eastAsiaTheme="minorEastAsia"/>
                <w:kern w:val="2"/>
                <w:sz w:val="24"/>
                <w:szCs w:val="24"/>
                <w:lang w:val="en-US"/>
                <w14:ligatures w14:val="standardContextual"/>
              </w:rPr>
              <w:tab/>
            </w:r>
            <w:r>
              <w:rPr>
                <w:rStyle w:val="IndexLink"/>
                <w:bCs/>
                <w:lang w:val="en-US"/>
              </w:rPr>
              <w:t>Solution Architecture</w:t>
            </w:r>
            <w:r>
              <w:rPr>
                <w:webHidden/>
              </w:rPr>
              <w:fldChar w:fldCharType="begin"/>
            </w:r>
            <w:r>
              <w:rPr>
                <w:webHidden/>
              </w:rPr>
              <w:instrText xml:space="preserve">PAGEREF _Toc239804430 \h</w:instrText>
            </w:r>
            <w:r>
              <w:rPr>
                <w:webHidden/>
              </w:rPr>
              <w:fldChar w:fldCharType="separate"/>
            </w:r>
            <w:r>
              <w:rPr>
                <w:rStyle w:val="IndexLink"/>
                <w:vanish w:val="false"/>
              </w:rPr>
              <w:tab/>
              <w:t>22</w:t>
            </w:r>
            <w:r>
              <w:rPr>
                <w:webHidden/>
              </w:rPr>
              <w:fldChar w:fldCharType="end"/>
            </w:r>
          </w:hyperlink>
        </w:p>
        <w:p>
          <w:pPr>
            <w:pStyle w:val="TOC2"/>
            <w:tabs>
              <w:tab w:val="clear" w:pos="720"/>
              <w:tab w:val="left" w:pos="800" w:leader="none"/>
              <w:tab w:val="right" w:pos="9019" w:leader="dot"/>
            </w:tabs>
            <w:rPr>
              <w:rFonts w:eastAsia="ＭＳ 明朝" w:cs="" w:cstheme="minorBidi" w:eastAsiaTheme="minorEastAsia"/>
              <w:kern w:val="2"/>
              <w:sz w:val="24"/>
              <w:szCs w:val="24"/>
              <w:lang w:val="en-US"/>
              <w14:ligatures w14:val="standardContextual"/>
            </w:rPr>
          </w:pPr>
          <w:hyperlink w:anchor="_Toc239804431">
            <w:r>
              <w:rPr>
                <w:rStyle w:val="IndexLink"/>
                <w:webHidden/>
                <w:lang w:val="en-US"/>
              </w:rPr>
              <w:t>5.1</w:t>
            </w:r>
            <w:r>
              <w:rPr>
                <w:rStyle w:val="IndexLink"/>
                <w:rFonts w:eastAsia="ＭＳ 明朝" w:cs="" w:cstheme="minorBidi" w:eastAsiaTheme="minorEastAsia"/>
                <w:kern w:val="2"/>
                <w:sz w:val="24"/>
                <w:szCs w:val="24"/>
                <w:lang w:val="en-US"/>
                <w14:ligatures w14:val="standardContextual"/>
              </w:rPr>
              <w:tab/>
            </w:r>
            <w:r>
              <w:rPr>
                <w:rStyle w:val="IndexLink"/>
              </w:rPr>
              <w:t>Information Architecture</w:t>
            </w:r>
            <w:r>
              <w:rPr>
                <w:webHidden/>
              </w:rPr>
              <w:fldChar w:fldCharType="begin"/>
            </w:r>
            <w:r>
              <w:rPr>
                <w:webHidden/>
              </w:rPr>
              <w:instrText xml:space="preserve">PAGEREF _Toc239804431 \h</w:instrText>
            </w:r>
            <w:r>
              <w:rPr>
                <w:webHidden/>
              </w:rPr>
              <w:fldChar w:fldCharType="separate"/>
            </w:r>
            <w:r>
              <w:rPr>
                <w:rStyle w:val="IndexLink"/>
                <w:vanish w:val="false"/>
              </w:rPr>
              <w:tab/>
              <w:t>22</w:t>
            </w:r>
            <w:r>
              <w:rPr>
                <w:webHidden/>
              </w:rPr>
              <w:fldChar w:fldCharType="end"/>
            </w:r>
          </w:hyperlink>
        </w:p>
        <w:p>
          <w:pPr>
            <w:pStyle w:val="TOC3"/>
            <w:tabs>
              <w:tab w:val="clear" w:pos="720"/>
              <w:tab w:val="left" w:pos="1200" w:leader="none"/>
              <w:tab w:val="right" w:pos="9019" w:leader="dot"/>
            </w:tabs>
            <w:rPr>
              <w:rFonts w:eastAsia="ＭＳ 明朝" w:cs="" w:cstheme="minorBidi" w:eastAsiaTheme="minorEastAsia"/>
              <w:kern w:val="2"/>
              <w:sz w:val="24"/>
              <w:szCs w:val="24"/>
              <w:lang w:val="en-US"/>
              <w14:ligatures w14:val="standardContextual"/>
            </w:rPr>
          </w:pPr>
          <w:hyperlink w:anchor="_Toc239804432">
            <w:r>
              <w:rPr>
                <w:rStyle w:val="IndexLink"/>
                <w:webHidden/>
              </w:rPr>
              <w:t>5.1.1</w:t>
            </w:r>
            <w:r>
              <w:rPr>
                <w:rStyle w:val="IndexLink"/>
                <w:rFonts w:eastAsia="ＭＳ 明朝" w:cs="" w:cstheme="minorBidi" w:eastAsiaTheme="minorEastAsia"/>
                <w:kern w:val="2"/>
                <w:sz w:val="24"/>
                <w:szCs w:val="24"/>
                <w:lang w:val="en-US"/>
                <w14:ligatures w14:val="standardContextual"/>
              </w:rPr>
              <w:tab/>
            </w:r>
            <w:r>
              <w:rPr>
                <w:rStyle w:val="IndexLink"/>
              </w:rPr>
              <w:t>Data Object Inventory</w:t>
            </w:r>
            <w:r>
              <w:rPr>
                <w:webHidden/>
              </w:rPr>
              <w:fldChar w:fldCharType="begin"/>
            </w:r>
            <w:r>
              <w:rPr>
                <w:webHidden/>
              </w:rPr>
              <w:instrText xml:space="preserve">PAGEREF _Toc239804432 \h</w:instrText>
            </w:r>
            <w:r>
              <w:rPr>
                <w:webHidden/>
              </w:rPr>
              <w:fldChar w:fldCharType="separate"/>
            </w:r>
            <w:r>
              <w:rPr>
                <w:rStyle w:val="IndexLink"/>
                <w:vanish w:val="false"/>
              </w:rPr>
              <w:tab/>
              <w:t>22</w:t>
            </w:r>
            <w:r>
              <w:rPr>
                <w:webHidden/>
              </w:rPr>
              <w:fldChar w:fldCharType="end"/>
            </w:r>
          </w:hyperlink>
        </w:p>
        <w:p>
          <w:pPr>
            <w:pStyle w:val="TOC3"/>
            <w:tabs>
              <w:tab w:val="clear" w:pos="720"/>
              <w:tab w:val="left" w:pos="1200" w:leader="none"/>
              <w:tab w:val="right" w:pos="9019" w:leader="dot"/>
            </w:tabs>
            <w:rPr>
              <w:rFonts w:eastAsia="ＭＳ 明朝" w:cs="" w:cstheme="minorBidi" w:eastAsiaTheme="minorEastAsia"/>
              <w:kern w:val="2"/>
              <w:sz w:val="24"/>
              <w:szCs w:val="24"/>
              <w:lang w:val="en-US"/>
              <w14:ligatures w14:val="standardContextual"/>
            </w:rPr>
          </w:pPr>
          <w:hyperlink w:anchor="_Toc239804433">
            <w:r>
              <w:rPr>
                <w:rStyle w:val="IndexLink"/>
                <w:webHidden/>
              </w:rPr>
              <w:t>5.1.2</w:t>
            </w:r>
            <w:r>
              <w:rPr>
                <w:rStyle w:val="IndexLink"/>
                <w:rFonts w:eastAsia="ＭＳ 明朝" w:cs="" w:cstheme="minorBidi" w:eastAsiaTheme="minorEastAsia"/>
                <w:kern w:val="2"/>
                <w:sz w:val="24"/>
                <w:szCs w:val="24"/>
                <w:lang w:val="en-US"/>
                <w14:ligatures w14:val="standardContextual"/>
              </w:rPr>
              <w:tab/>
            </w:r>
            <w:r>
              <w:rPr>
                <w:rStyle w:val="IndexLink"/>
              </w:rPr>
              <w:t>System of Record vs System of Insight</w:t>
            </w:r>
            <w:r>
              <w:rPr>
                <w:webHidden/>
              </w:rPr>
              <w:fldChar w:fldCharType="begin"/>
            </w:r>
            <w:r>
              <w:rPr>
                <w:webHidden/>
              </w:rPr>
              <w:instrText xml:space="preserve">PAGEREF _Toc239804433 \h</w:instrText>
            </w:r>
            <w:r>
              <w:rPr>
                <w:webHidden/>
              </w:rPr>
              <w:fldChar w:fldCharType="separate"/>
            </w:r>
            <w:r>
              <w:rPr>
                <w:rStyle w:val="IndexLink"/>
                <w:vanish w:val="false"/>
              </w:rPr>
              <w:tab/>
              <w:t>22</w:t>
            </w:r>
            <w:r>
              <w:rPr>
                <w:webHidden/>
              </w:rPr>
              <w:fldChar w:fldCharType="end"/>
            </w:r>
          </w:hyperlink>
        </w:p>
        <w:p>
          <w:pPr>
            <w:pStyle w:val="TOC2"/>
            <w:tabs>
              <w:tab w:val="clear" w:pos="720"/>
              <w:tab w:val="left" w:pos="800" w:leader="none"/>
              <w:tab w:val="right" w:pos="9019" w:leader="dot"/>
            </w:tabs>
            <w:rPr>
              <w:rFonts w:eastAsia="ＭＳ 明朝" w:cs="" w:cstheme="minorBidi" w:eastAsiaTheme="minorEastAsia"/>
              <w:kern w:val="2"/>
              <w:sz w:val="24"/>
              <w:szCs w:val="24"/>
              <w:lang w:val="en-US"/>
              <w14:ligatures w14:val="standardContextual"/>
            </w:rPr>
          </w:pPr>
          <w:hyperlink w:anchor="_Toc239804434">
            <w:r>
              <w:rPr>
                <w:rStyle w:val="IndexLink"/>
                <w:webHidden/>
                <w:lang w:val="en-US"/>
              </w:rPr>
              <w:t>5.2</w:t>
            </w:r>
            <w:r>
              <w:rPr>
                <w:rStyle w:val="IndexLink"/>
                <w:rFonts w:eastAsia="ＭＳ 明朝" w:cs="" w:cstheme="minorBidi" w:eastAsiaTheme="minorEastAsia"/>
                <w:kern w:val="2"/>
                <w:sz w:val="24"/>
                <w:szCs w:val="24"/>
                <w:lang w:val="en-US"/>
                <w14:ligatures w14:val="standardContextual"/>
              </w:rPr>
              <w:tab/>
            </w:r>
            <w:r>
              <w:rPr>
                <w:rStyle w:val="IndexLink"/>
              </w:rPr>
              <w:t>Application Architecture</w:t>
            </w:r>
            <w:r>
              <w:rPr>
                <w:webHidden/>
              </w:rPr>
              <w:fldChar w:fldCharType="begin"/>
            </w:r>
            <w:r>
              <w:rPr>
                <w:webHidden/>
              </w:rPr>
              <w:instrText xml:space="preserve">PAGEREF _Toc239804434 \h</w:instrText>
            </w:r>
            <w:r>
              <w:rPr>
                <w:webHidden/>
              </w:rPr>
              <w:fldChar w:fldCharType="separate"/>
            </w:r>
            <w:r>
              <w:rPr>
                <w:rStyle w:val="IndexLink"/>
                <w:vanish w:val="false"/>
              </w:rPr>
              <w:tab/>
              <w:t>22</w:t>
            </w:r>
            <w:r>
              <w:rPr>
                <w:webHidden/>
              </w:rPr>
              <w:fldChar w:fldCharType="end"/>
            </w:r>
          </w:hyperlink>
        </w:p>
        <w:p>
          <w:pPr>
            <w:pStyle w:val="TOC3"/>
            <w:tabs>
              <w:tab w:val="clear" w:pos="720"/>
              <w:tab w:val="left" w:pos="1200" w:leader="none"/>
              <w:tab w:val="right" w:pos="9019" w:leader="dot"/>
            </w:tabs>
            <w:rPr>
              <w:rFonts w:eastAsia="ＭＳ 明朝" w:cs="" w:cstheme="minorBidi" w:eastAsiaTheme="minorEastAsia"/>
              <w:kern w:val="2"/>
              <w:sz w:val="24"/>
              <w:szCs w:val="24"/>
              <w:lang w:val="en-US"/>
              <w14:ligatures w14:val="standardContextual"/>
            </w:rPr>
          </w:pPr>
          <w:hyperlink w:anchor="_Toc239804435">
            <w:r>
              <w:rPr>
                <w:rStyle w:val="IndexLink"/>
                <w:webHidden/>
              </w:rPr>
              <w:t>5.2.1</w:t>
            </w:r>
            <w:r>
              <w:rPr>
                <w:rStyle w:val="IndexLink"/>
                <w:rFonts w:eastAsia="ＭＳ 明朝" w:cs="" w:cstheme="minorBidi" w:eastAsiaTheme="minorEastAsia"/>
                <w:kern w:val="2"/>
                <w:sz w:val="24"/>
                <w:szCs w:val="24"/>
                <w:lang w:val="en-US"/>
                <w14:ligatures w14:val="standardContextual"/>
              </w:rPr>
              <w:tab/>
            </w:r>
            <w:r>
              <w:rPr>
                <w:rStyle w:val="IndexLink"/>
              </w:rPr>
              <w:t>Application Inventory</w:t>
            </w:r>
            <w:r>
              <w:rPr>
                <w:webHidden/>
              </w:rPr>
              <w:fldChar w:fldCharType="begin"/>
            </w:r>
            <w:r>
              <w:rPr>
                <w:webHidden/>
              </w:rPr>
              <w:instrText xml:space="preserve">PAGEREF _Toc239804435 \h</w:instrText>
            </w:r>
            <w:r>
              <w:rPr>
                <w:webHidden/>
              </w:rPr>
              <w:fldChar w:fldCharType="separate"/>
            </w:r>
            <w:r>
              <w:rPr>
                <w:rStyle w:val="IndexLink"/>
                <w:vanish w:val="false"/>
              </w:rPr>
              <w:tab/>
              <w:t>22</w:t>
            </w:r>
            <w:r>
              <w:rPr>
                <w:webHidden/>
              </w:rPr>
              <w:fldChar w:fldCharType="end"/>
            </w:r>
          </w:hyperlink>
        </w:p>
        <w:p>
          <w:pPr>
            <w:pStyle w:val="TOC2"/>
            <w:tabs>
              <w:tab w:val="clear" w:pos="720"/>
              <w:tab w:val="left" w:pos="800" w:leader="none"/>
              <w:tab w:val="right" w:pos="9019" w:leader="dot"/>
            </w:tabs>
            <w:rPr>
              <w:rFonts w:eastAsia="ＭＳ 明朝" w:cs="" w:cstheme="minorBidi" w:eastAsiaTheme="minorEastAsia"/>
              <w:kern w:val="2"/>
              <w:sz w:val="24"/>
              <w:szCs w:val="24"/>
              <w:lang w:val="en-US"/>
              <w14:ligatures w14:val="standardContextual"/>
            </w:rPr>
          </w:pPr>
          <w:hyperlink w:anchor="_Toc239804436">
            <w:r>
              <w:rPr>
                <w:rStyle w:val="IndexLink"/>
                <w:webHidden/>
                <w:lang w:val="en-US"/>
              </w:rPr>
              <w:t>5.3</w:t>
            </w:r>
            <w:r>
              <w:rPr>
                <w:rStyle w:val="IndexLink"/>
                <w:rFonts w:eastAsia="ＭＳ 明朝" w:cs="" w:cstheme="minorBidi" w:eastAsiaTheme="minorEastAsia"/>
                <w:kern w:val="2"/>
                <w:sz w:val="24"/>
                <w:szCs w:val="24"/>
                <w:lang w:val="en-US"/>
                <w14:ligatures w14:val="standardContextual"/>
              </w:rPr>
              <w:tab/>
            </w:r>
            <w:r>
              <w:rPr>
                <w:rStyle w:val="IndexLink"/>
              </w:rPr>
              <w:t>Integration Architecture</w:t>
            </w:r>
            <w:r>
              <w:rPr>
                <w:webHidden/>
              </w:rPr>
              <w:fldChar w:fldCharType="begin"/>
            </w:r>
            <w:r>
              <w:rPr>
                <w:webHidden/>
              </w:rPr>
              <w:instrText xml:space="preserve">PAGEREF _Toc239804436 \h</w:instrText>
            </w:r>
            <w:r>
              <w:rPr>
                <w:webHidden/>
              </w:rPr>
              <w:fldChar w:fldCharType="separate"/>
            </w:r>
            <w:r>
              <w:rPr>
                <w:rStyle w:val="IndexLink"/>
                <w:vanish w:val="false"/>
              </w:rPr>
              <w:tab/>
              <w:t>22</w:t>
            </w:r>
            <w:r>
              <w:rPr>
                <w:webHidden/>
              </w:rPr>
              <w:fldChar w:fldCharType="end"/>
            </w:r>
          </w:hyperlink>
        </w:p>
        <w:p>
          <w:pPr>
            <w:pStyle w:val="TOC3"/>
            <w:tabs>
              <w:tab w:val="clear" w:pos="720"/>
              <w:tab w:val="left" w:pos="1200" w:leader="none"/>
              <w:tab w:val="right" w:pos="9019" w:leader="dot"/>
            </w:tabs>
            <w:rPr>
              <w:rFonts w:eastAsia="ＭＳ 明朝" w:cs="" w:cstheme="minorBidi" w:eastAsiaTheme="minorEastAsia"/>
              <w:kern w:val="2"/>
              <w:sz w:val="24"/>
              <w:szCs w:val="24"/>
              <w:lang w:val="en-US"/>
              <w14:ligatures w14:val="standardContextual"/>
            </w:rPr>
          </w:pPr>
          <w:hyperlink w:anchor="_Toc239804437">
            <w:r>
              <w:rPr>
                <w:rStyle w:val="IndexLink"/>
                <w:webHidden/>
              </w:rPr>
              <w:t>5.3.1</w:t>
            </w:r>
            <w:r>
              <w:rPr>
                <w:rStyle w:val="IndexLink"/>
                <w:rFonts w:eastAsia="ＭＳ 明朝" w:cs="" w:cstheme="minorBidi" w:eastAsiaTheme="minorEastAsia"/>
                <w:kern w:val="2"/>
                <w:sz w:val="24"/>
                <w:szCs w:val="24"/>
                <w:lang w:val="en-US"/>
                <w14:ligatures w14:val="standardContextual"/>
              </w:rPr>
              <w:tab/>
            </w:r>
            <w:r>
              <w:rPr>
                <w:rStyle w:val="IndexLink"/>
              </w:rPr>
              <w:t>Interface Inventory</w:t>
            </w:r>
            <w:r>
              <w:rPr>
                <w:webHidden/>
              </w:rPr>
              <w:fldChar w:fldCharType="begin"/>
            </w:r>
            <w:r>
              <w:rPr>
                <w:webHidden/>
              </w:rPr>
              <w:instrText xml:space="preserve">PAGEREF _Toc239804437 \h</w:instrText>
            </w:r>
            <w:r>
              <w:rPr>
                <w:webHidden/>
              </w:rPr>
              <w:fldChar w:fldCharType="separate"/>
            </w:r>
            <w:r>
              <w:rPr>
                <w:rStyle w:val="IndexLink"/>
                <w:vanish w:val="false"/>
              </w:rPr>
              <w:tab/>
              <w:t>22</w:t>
            </w:r>
            <w:r>
              <w:rPr>
                <w:webHidden/>
              </w:rPr>
              <w:fldChar w:fldCharType="end"/>
            </w:r>
          </w:hyperlink>
        </w:p>
        <w:p>
          <w:pPr>
            <w:pStyle w:val="TOC2"/>
            <w:tabs>
              <w:tab w:val="clear" w:pos="720"/>
              <w:tab w:val="left" w:pos="800" w:leader="none"/>
              <w:tab w:val="right" w:pos="9019" w:leader="dot"/>
            </w:tabs>
            <w:rPr>
              <w:rFonts w:eastAsia="ＭＳ 明朝" w:cs="" w:cstheme="minorBidi" w:eastAsiaTheme="minorEastAsia"/>
              <w:kern w:val="2"/>
              <w:sz w:val="24"/>
              <w:szCs w:val="24"/>
              <w:lang w:val="en-US"/>
              <w14:ligatures w14:val="standardContextual"/>
            </w:rPr>
          </w:pPr>
          <w:hyperlink w:anchor="_Toc239804438">
            <w:r>
              <w:rPr>
                <w:rStyle w:val="IndexLink"/>
                <w:webHidden/>
                <w:lang w:val="en-US"/>
              </w:rPr>
              <w:t>5.4</w:t>
            </w:r>
            <w:r>
              <w:rPr>
                <w:rStyle w:val="IndexLink"/>
                <w:rFonts w:eastAsia="ＭＳ 明朝" w:cs="" w:cstheme="minorBidi" w:eastAsiaTheme="minorEastAsia"/>
                <w:kern w:val="2"/>
                <w:sz w:val="24"/>
                <w:szCs w:val="24"/>
                <w:lang w:val="en-US"/>
                <w14:ligatures w14:val="standardContextual"/>
              </w:rPr>
              <w:tab/>
            </w:r>
            <w:r>
              <w:rPr>
                <w:rStyle w:val="IndexLink"/>
              </w:rPr>
              <w:t>Infrastructure Architecture</w:t>
            </w:r>
            <w:r>
              <w:rPr>
                <w:webHidden/>
              </w:rPr>
              <w:fldChar w:fldCharType="begin"/>
            </w:r>
            <w:r>
              <w:rPr>
                <w:webHidden/>
              </w:rPr>
              <w:instrText xml:space="preserve">PAGEREF _Toc239804438 \h</w:instrText>
            </w:r>
            <w:r>
              <w:rPr>
                <w:webHidden/>
              </w:rPr>
              <w:fldChar w:fldCharType="separate"/>
            </w:r>
            <w:r>
              <w:rPr>
                <w:rStyle w:val="IndexLink"/>
                <w:vanish w:val="false"/>
              </w:rPr>
              <w:tab/>
              <w:t>23</w:t>
            </w:r>
            <w:r>
              <w:rPr>
                <w:webHidden/>
              </w:rPr>
              <w:fldChar w:fldCharType="end"/>
            </w:r>
          </w:hyperlink>
        </w:p>
        <w:p>
          <w:pPr>
            <w:pStyle w:val="TOC3"/>
            <w:tabs>
              <w:tab w:val="clear" w:pos="720"/>
              <w:tab w:val="left" w:pos="1200" w:leader="none"/>
              <w:tab w:val="right" w:pos="9019" w:leader="dot"/>
            </w:tabs>
            <w:rPr>
              <w:rFonts w:eastAsia="ＭＳ 明朝" w:cs="" w:cstheme="minorBidi" w:eastAsiaTheme="minorEastAsia"/>
              <w:kern w:val="2"/>
              <w:sz w:val="24"/>
              <w:szCs w:val="24"/>
              <w:lang w:val="en-US"/>
              <w14:ligatures w14:val="standardContextual"/>
            </w:rPr>
          </w:pPr>
          <w:hyperlink w:anchor="_Toc239804439">
            <w:r>
              <w:rPr>
                <w:rStyle w:val="IndexLink"/>
                <w:webHidden/>
              </w:rPr>
              <w:t>5.4.1</w:t>
            </w:r>
            <w:r>
              <w:rPr>
                <w:rStyle w:val="IndexLink"/>
                <w:rFonts w:eastAsia="ＭＳ 明朝" w:cs="" w:cstheme="minorBidi" w:eastAsiaTheme="minorEastAsia"/>
                <w:kern w:val="2"/>
                <w:sz w:val="24"/>
                <w:szCs w:val="24"/>
                <w:lang w:val="en-US"/>
                <w14:ligatures w14:val="standardContextual"/>
              </w:rPr>
              <w:tab/>
            </w:r>
            <w:r>
              <w:rPr>
                <w:rStyle w:val="IndexLink"/>
              </w:rPr>
              <w:t>Infrastructure Repository</w:t>
            </w:r>
            <w:r>
              <w:rPr>
                <w:webHidden/>
              </w:rPr>
              <w:fldChar w:fldCharType="begin"/>
            </w:r>
            <w:r>
              <w:rPr>
                <w:webHidden/>
              </w:rPr>
              <w:instrText xml:space="preserve">PAGEREF _Toc239804439 \h</w:instrText>
            </w:r>
            <w:r>
              <w:rPr>
                <w:webHidden/>
              </w:rPr>
              <w:fldChar w:fldCharType="separate"/>
            </w:r>
            <w:r>
              <w:rPr>
                <w:rStyle w:val="IndexLink"/>
                <w:vanish w:val="false"/>
              </w:rPr>
              <w:tab/>
              <w:t>23</w:t>
            </w:r>
            <w:r>
              <w:rPr>
                <w:webHidden/>
              </w:rPr>
              <w:fldChar w:fldCharType="end"/>
            </w:r>
          </w:hyperlink>
        </w:p>
        <w:p>
          <w:pPr>
            <w:pStyle w:val="TOC2"/>
            <w:tabs>
              <w:tab w:val="clear" w:pos="720"/>
              <w:tab w:val="left" w:pos="800" w:leader="none"/>
              <w:tab w:val="right" w:pos="9019" w:leader="dot"/>
            </w:tabs>
            <w:rPr>
              <w:rFonts w:eastAsia="ＭＳ 明朝" w:cs="" w:cstheme="minorBidi" w:eastAsiaTheme="minorEastAsia"/>
              <w:kern w:val="2"/>
              <w:sz w:val="24"/>
              <w:szCs w:val="24"/>
              <w:lang w:val="en-US"/>
              <w14:ligatures w14:val="standardContextual"/>
            </w:rPr>
          </w:pPr>
          <w:hyperlink w:anchor="_Toc239804440">
            <w:r>
              <w:rPr>
                <w:rStyle w:val="IndexLink"/>
                <w:webHidden/>
                <w:lang w:val="en-US"/>
              </w:rPr>
              <w:t>5.5</w:t>
            </w:r>
            <w:r>
              <w:rPr>
                <w:rStyle w:val="IndexLink"/>
                <w:rFonts w:eastAsia="ＭＳ 明朝" w:cs="" w:cstheme="minorBidi" w:eastAsiaTheme="minorEastAsia"/>
                <w:kern w:val="2"/>
                <w:sz w:val="24"/>
                <w:szCs w:val="24"/>
                <w:lang w:val="en-US"/>
                <w14:ligatures w14:val="standardContextual"/>
              </w:rPr>
              <w:tab/>
            </w:r>
            <w:r>
              <w:rPr>
                <w:rStyle w:val="IndexLink"/>
              </w:rPr>
              <w:t>Security Architecture</w:t>
            </w:r>
            <w:r>
              <w:rPr>
                <w:webHidden/>
              </w:rPr>
              <w:fldChar w:fldCharType="begin"/>
            </w:r>
            <w:r>
              <w:rPr>
                <w:webHidden/>
              </w:rPr>
              <w:instrText xml:space="preserve">PAGEREF _Toc239804440 \h</w:instrText>
            </w:r>
            <w:r>
              <w:rPr>
                <w:webHidden/>
              </w:rPr>
              <w:fldChar w:fldCharType="separate"/>
            </w:r>
            <w:r>
              <w:rPr>
                <w:rStyle w:val="IndexLink"/>
                <w:vanish w:val="false"/>
              </w:rPr>
              <w:tab/>
              <w:t>23</w:t>
            </w:r>
            <w:r>
              <w:rPr>
                <w:webHidden/>
              </w:rPr>
              <w:fldChar w:fldCharType="end"/>
            </w:r>
          </w:hyperlink>
        </w:p>
        <w:p>
          <w:pPr>
            <w:pStyle w:val="TOC3"/>
            <w:tabs>
              <w:tab w:val="clear" w:pos="720"/>
              <w:tab w:val="left" w:pos="1200" w:leader="none"/>
              <w:tab w:val="right" w:pos="9019" w:leader="dot"/>
            </w:tabs>
            <w:rPr>
              <w:rFonts w:eastAsia="ＭＳ 明朝" w:cs="" w:cstheme="minorBidi" w:eastAsiaTheme="minorEastAsia"/>
              <w:kern w:val="2"/>
              <w:sz w:val="24"/>
              <w:szCs w:val="24"/>
              <w:lang w:val="en-US"/>
              <w14:ligatures w14:val="standardContextual"/>
            </w:rPr>
          </w:pPr>
          <w:hyperlink w:anchor="_Toc239804441">
            <w:r>
              <w:rPr>
                <w:rStyle w:val="IndexLink"/>
                <w:webHidden/>
              </w:rPr>
              <w:t>5.5.1</w:t>
            </w:r>
            <w:r>
              <w:rPr>
                <w:rStyle w:val="IndexLink"/>
                <w:rFonts w:eastAsia="ＭＳ 明朝" w:cs="" w:cstheme="minorBidi" w:eastAsiaTheme="minorEastAsia"/>
                <w:kern w:val="2"/>
                <w:sz w:val="24"/>
                <w:szCs w:val="24"/>
                <w:lang w:val="en-US"/>
                <w14:ligatures w14:val="standardContextual"/>
              </w:rPr>
              <w:tab/>
            </w:r>
            <w:r>
              <w:rPr>
                <w:rStyle w:val="IndexLink"/>
              </w:rPr>
              <w:t>Identity and Access Management</w:t>
            </w:r>
            <w:r>
              <w:rPr>
                <w:webHidden/>
              </w:rPr>
              <w:fldChar w:fldCharType="begin"/>
            </w:r>
            <w:r>
              <w:rPr>
                <w:webHidden/>
              </w:rPr>
              <w:instrText xml:space="preserve">PAGEREF _Toc239804441 \h</w:instrText>
            </w:r>
            <w:r>
              <w:rPr>
                <w:webHidden/>
              </w:rPr>
              <w:fldChar w:fldCharType="separate"/>
            </w:r>
            <w:r>
              <w:rPr>
                <w:rStyle w:val="IndexLink"/>
                <w:vanish w:val="false"/>
              </w:rPr>
              <w:tab/>
              <w:t>23</w:t>
            </w:r>
            <w:r>
              <w:rPr>
                <w:webHidden/>
              </w:rPr>
              <w:fldChar w:fldCharType="end"/>
            </w:r>
          </w:hyperlink>
        </w:p>
        <w:p>
          <w:pPr>
            <w:pStyle w:val="TOC3"/>
            <w:tabs>
              <w:tab w:val="clear" w:pos="720"/>
              <w:tab w:val="left" w:pos="1200" w:leader="none"/>
              <w:tab w:val="right" w:pos="9019" w:leader="dot"/>
            </w:tabs>
            <w:rPr>
              <w:rFonts w:eastAsia="ＭＳ 明朝" w:cs="" w:cstheme="minorBidi" w:eastAsiaTheme="minorEastAsia"/>
              <w:kern w:val="2"/>
              <w:sz w:val="24"/>
              <w:szCs w:val="24"/>
              <w:lang w:val="en-US"/>
              <w14:ligatures w14:val="standardContextual"/>
            </w:rPr>
          </w:pPr>
          <w:hyperlink w:anchor="_Toc239804442">
            <w:r>
              <w:rPr>
                <w:rStyle w:val="IndexLink"/>
                <w:webHidden/>
              </w:rPr>
              <w:t>5.5.2</w:t>
            </w:r>
            <w:r>
              <w:rPr>
                <w:rStyle w:val="IndexLink"/>
                <w:rFonts w:eastAsia="ＭＳ 明朝" w:cs="" w:cstheme="minorBidi" w:eastAsiaTheme="minorEastAsia"/>
                <w:kern w:val="2"/>
                <w:sz w:val="24"/>
                <w:szCs w:val="24"/>
                <w:lang w:val="en-US"/>
                <w14:ligatures w14:val="standardContextual"/>
              </w:rPr>
              <w:tab/>
            </w:r>
            <w:r>
              <w:rPr>
                <w:rStyle w:val="IndexLink"/>
              </w:rPr>
              <w:t>Threat Model</w:t>
            </w:r>
            <w:r>
              <w:rPr>
                <w:webHidden/>
              </w:rPr>
              <w:fldChar w:fldCharType="begin"/>
            </w:r>
            <w:r>
              <w:rPr>
                <w:webHidden/>
              </w:rPr>
              <w:instrText xml:space="preserve">PAGEREF _Toc239804442 \h</w:instrText>
            </w:r>
            <w:r>
              <w:rPr>
                <w:webHidden/>
              </w:rPr>
              <w:fldChar w:fldCharType="separate"/>
            </w:r>
            <w:r>
              <w:rPr>
                <w:rStyle w:val="IndexLink"/>
                <w:vanish w:val="false"/>
              </w:rPr>
              <w:tab/>
              <w:t>23</w:t>
            </w:r>
            <w:r>
              <w:rPr>
                <w:webHidden/>
              </w:rPr>
              <w:fldChar w:fldCharType="end"/>
            </w:r>
          </w:hyperlink>
          <w:r>
            <w:rPr>
              <w:rStyle w:val="IndexLink"/>
              <w:vanish w:val="false"/>
            </w:rPr>
            <w:fldChar w:fldCharType="end"/>
          </w:r>
        </w:p>
      </w:sdtContent>
    </w:sdt>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rPr/>
      </w:pPr>
      <w:bookmarkStart w:id="0" w:name="_Toc239804408"/>
      <w:bookmarkStart w:id="1" w:name="_Toc337656202"/>
      <w:r>
        <w:rPr/>
        <w:t>Introduction</w:t>
      </w:r>
      <w:bookmarkEnd w:id="0"/>
      <w:bookmarkEnd w:id="1"/>
    </w:p>
    <w:p>
      <w:pPr>
        <w:pStyle w:val="Heading2"/>
        <w:rPr/>
      </w:pPr>
      <w:bookmarkStart w:id="2" w:name="_Toc239804409"/>
      <w:r>
        <w:rPr/>
        <w:t>Document Purpose</w:t>
      </w:r>
      <w:bookmarkEnd w:id="2"/>
    </w:p>
    <w:p>
      <w:pPr>
        <w:pStyle w:val="Normal"/>
        <w:rPr/>
      </w:pPr>
      <w:r>
        <w:rPr/>
        <w:t>The purpose of this document is to define the target solution architecture for the proposed Procurement Intelligence &amp; Vendor Risk Platform. This document describes the architectural approach, solution components, integrations, security considerations, information architecture, infrastructure requirements, and operational considerations required to deliver the business objectives identified within the approved Business Requirements Document (BRD).</w:t>
      </w:r>
    </w:p>
    <w:p>
      <w:pPr>
        <w:pStyle w:val="Normal"/>
        <w:rPr/>
      </w:pPr>
      <w:r>
        <w:rPr/>
      </w:r>
    </w:p>
    <w:p>
      <w:pPr>
        <w:pStyle w:val="Normal"/>
        <w:rPr/>
      </w:pPr>
      <w:r>
        <w:rPr/>
        <w:t>The document serves as a reference for business stakeholders, solution architects, developers, testers, project managers, infrastructure teams, and support teams to ensure a common understanding of the proposed solution and its implementation approach.</w:t>
      </w:r>
    </w:p>
    <w:p>
      <w:pPr>
        <w:pStyle w:val="Normal"/>
        <w:rPr/>
      </w:pPr>
      <w:r>
        <w:rPr/>
      </w:r>
    </w:p>
    <w:p>
      <w:pPr>
        <w:pStyle w:val="Normal"/>
        <w:rPr/>
      </w:pPr>
      <w:r>
        <w:rPr/>
      </w:r>
    </w:p>
    <w:p>
      <w:pPr>
        <w:pStyle w:val="Heading2"/>
        <w:rPr/>
      </w:pPr>
      <w:bookmarkStart w:id="3" w:name="_Toc239804410"/>
      <w:r>
        <w:rPr/>
        <w:t>Document Scope</w:t>
      </w:r>
      <w:bookmarkEnd w:id="3"/>
    </w:p>
    <w:p>
      <w:pPr>
        <w:pStyle w:val="Normal"/>
        <w:rPr>
          <w:lang w:val="en-US"/>
        </w:rPr>
      </w:pPr>
      <w:r>
        <w:rPr>
          <w:lang w:val="en-US"/>
        </w:rPr>
        <w:t>This document covers the architecture and high-level design of the Procurement Intelligence &amp; Vendor Risk Platform, including:</w:t>
      </w:r>
    </w:p>
    <w:p>
      <w:pPr>
        <w:pStyle w:val="Normal"/>
        <w:rPr>
          <w:lang w:val="en-US"/>
        </w:rPr>
      </w:pPr>
      <w:r>
        <w:rPr>
          <w:lang w:val="en-US"/>
        </w:rPr>
      </w:r>
    </w:p>
    <w:p>
      <w:pPr>
        <w:pStyle w:val="ListParagraph"/>
        <w:numPr>
          <w:ilvl w:val="0"/>
          <w:numId w:val="2"/>
        </w:numPr>
        <w:rPr>
          <w:lang w:val="en-US"/>
        </w:rPr>
      </w:pPr>
      <w:r>
        <w:rPr>
          <w:lang w:val="en-US"/>
        </w:rPr>
        <w:t>Solution architecture principles and decisions.</w:t>
      </w:r>
    </w:p>
    <w:p>
      <w:pPr>
        <w:pStyle w:val="ListParagraph"/>
        <w:numPr>
          <w:ilvl w:val="0"/>
          <w:numId w:val="2"/>
        </w:numPr>
        <w:rPr>
          <w:lang w:val="en-US"/>
        </w:rPr>
      </w:pPr>
      <w:r>
        <w:rPr>
          <w:lang w:val="en-US"/>
        </w:rPr>
        <w:t>Business, application, information, integration, infrastructure, and security architecture.</w:t>
      </w:r>
    </w:p>
    <w:p>
      <w:pPr>
        <w:pStyle w:val="ListParagraph"/>
        <w:numPr>
          <w:ilvl w:val="0"/>
          <w:numId w:val="2"/>
        </w:numPr>
        <w:rPr>
          <w:lang w:val="en-US"/>
        </w:rPr>
      </w:pPr>
      <w:r>
        <w:rPr>
          <w:lang w:val="en-US"/>
        </w:rPr>
        <w:t>Integration with Microsoft Dynamics 365 Business Central.</w:t>
      </w:r>
    </w:p>
    <w:p>
      <w:pPr>
        <w:pStyle w:val="ListParagraph"/>
        <w:numPr>
          <w:ilvl w:val="0"/>
          <w:numId w:val="2"/>
        </w:numPr>
        <w:rPr>
          <w:lang w:val="en-US"/>
        </w:rPr>
      </w:pPr>
      <w:r>
        <w:rPr>
          <w:lang w:val="en-US"/>
        </w:rPr>
        <w:t>Vendor compliance management capabilities.</w:t>
      </w:r>
    </w:p>
    <w:p>
      <w:pPr>
        <w:pStyle w:val="ListParagraph"/>
        <w:numPr>
          <w:ilvl w:val="0"/>
          <w:numId w:val="2"/>
        </w:numPr>
        <w:rPr>
          <w:lang w:val="en-US"/>
        </w:rPr>
      </w:pPr>
      <w:r>
        <w:rPr>
          <w:lang w:val="en-US"/>
        </w:rPr>
        <w:t>Vendor performance monitoring capabilities.</w:t>
      </w:r>
    </w:p>
    <w:p>
      <w:pPr>
        <w:pStyle w:val="ListParagraph"/>
        <w:numPr>
          <w:ilvl w:val="0"/>
          <w:numId w:val="2"/>
        </w:numPr>
        <w:rPr>
          <w:lang w:val="en-US"/>
        </w:rPr>
      </w:pPr>
      <w:r>
        <w:rPr>
          <w:lang w:val="en-US"/>
        </w:rPr>
        <w:t>Vendor risk assessment capabilities.</w:t>
      </w:r>
    </w:p>
    <w:p>
      <w:pPr>
        <w:pStyle w:val="ListParagraph"/>
        <w:numPr>
          <w:ilvl w:val="0"/>
          <w:numId w:val="2"/>
        </w:numPr>
        <w:rPr>
          <w:lang w:val="en-US"/>
        </w:rPr>
      </w:pPr>
      <w:r>
        <w:rPr>
          <w:lang w:val="en-US"/>
        </w:rPr>
        <w:t>Power BI Reporting and notification capabilities.</w:t>
      </w:r>
    </w:p>
    <w:p>
      <w:pPr>
        <w:pStyle w:val="ListParagraph"/>
        <w:numPr>
          <w:ilvl w:val="0"/>
          <w:numId w:val="2"/>
        </w:numPr>
        <w:rPr>
          <w:lang w:val="en-US"/>
        </w:rPr>
      </w:pPr>
      <w:r>
        <w:rPr>
          <w:lang w:val="en-US"/>
        </w:rPr>
        <w:t>Operational and deployment considerations.</w:t>
      </w:r>
    </w:p>
    <w:p>
      <w:pPr>
        <w:pStyle w:val="Normal"/>
        <w:rPr>
          <w:lang w:val="en-US"/>
        </w:rPr>
      </w:pPr>
      <w:r>
        <w:rPr>
          <w:lang w:val="en-US"/>
        </w:rPr>
      </w:r>
    </w:p>
    <w:p>
      <w:pPr>
        <w:pStyle w:val="Normal"/>
        <w:rPr>
          <w:lang w:val="en-US"/>
        </w:rPr>
      </w:pPr>
      <w:r>
        <w:rPr>
          <w:lang w:val="en-US"/>
        </w:rPr>
        <w:t>This document does not provide detailed technical specifications, database schemas, source code designs, or detailed user interface designs. These will be addressed in subsequent design and implementation artifacts.</w:t>
      </w:r>
    </w:p>
    <w:p>
      <w:pPr>
        <w:pStyle w:val="Normal"/>
        <w:rPr/>
      </w:pPr>
      <w:r>
        <w:rPr/>
      </w:r>
    </w:p>
    <w:p>
      <w:pPr>
        <w:pStyle w:val="Normal"/>
        <w:rPr/>
      </w:pPr>
      <w:r>
        <w:rPr/>
      </w:r>
    </w:p>
    <w:p>
      <w:pPr>
        <w:pStyle w:val="Heading2"/>
        <w:rPr/>
      </w:pPr>
      <w:bookmarkStart w:id="4" w:name="_Toc239804411"/>
      <w:r>
        <w:rPr/>
        <w:t>Document Audience</w:t>
      </w:r>
      <w:bookmarkEnd w:id="4"/>
    </w:p>
    <w:p>
      <w:pPr>
        <w:pStyle w:val="Normal"/>
        <w:rPr/>
      </w:pPr>
      <w:r>
        <w:rPr/>
        <w:t>This document is intended for the following stakeholders:</w:t>
      </w:r>
    </w:p>
    <w:p>
      <w:pPr>
        <w:pStyle w:val="Normal"/>
        <w:rPr/>
      </w:pPr>
      <w:r>
        <w:rPr/>
      </w:r>
    </w:p>
    <w:tbl>
      <w:tblPr>
        <w:tblW w:w="9139" w:type="dxa"/>
        <w:jc w:val="start"/>
        <w:tblInd w:w="10" w:type="dxa"/>
        <w:tblLayout w:type="fixed"/>
        <w:tblCellMar>
          <w:top w:w="15" w:type="dxa"/>
          <w:start w:w="15" w:type="dxa"/>
          <w:bottom w:w="15" w:type="dxa"/>
          <w:end w:w="15" w:type="dxa"/>
        </w:tblCellMar>
        <w:tblLook w:noHBand="0" w:noVBand="1" w:firstColumn="1" w:lastRow="0" w:lastColumn="0" w:firstRow="1" w:val="04a0"/>
      </w:tblPr>
      <w:tblGrid>
        <w:gridCol w:w="3186"/>
        <w:gridCol w:w="5953"/>
      </w:tblGrid>
      <w:tr>
        <w:trPr>
          <w:tblHeader w:val="true"/>
        </w:trPr>
        <w:tc>
          <w:tcPr>
            <w:tcW w:w="3186" w:type="dxa"/>
            <w:tcBorders>
              <w:top w:val="single" w:sz="4" w:space="0" w:color="000000"/>
              <w:start w:val="single" w:sz="4" w:space="0" w:color="000000"/>
              <w:bottom w:val="single" w:sz="4" w:space="0" w:color="000000"/>
              <w:end w:val="single" w:sz="4" w:space="0" w:color="000000"/>
            </w:tcBorders>
            <w:shd w:color="auto" w:fill="D9D9D9" w:val="clear"/>
            <w:vAlign w:val="center"/>
          </w:tcPr>
          <w:p>
            <w:pPr>
              <w:pStyle w:val="Normal"/>
              <w:rPr>
                <w:lang w:val="en-US"/>
              </w:rPr>
            </w:pPr>
            <w:r>
              <w:rPr>
                <w:lang w:val="en-US"/>
              </w:rPr>
              <w:t>Stakeholder Group</w:t>
            </w:r>
          </w:p>
        </w:tc>
        <w:tc>
          <w:tcPr>
            <w:tcW w:w="5953" w:type="dxa"/>
            <w:tcBorders>
              <w:top w:val="single" w:sz="4" w:space="0" w:color="000000"/>
              <w:start w:val="single" w:sz="4" w:space="0" w:color="000000"/>
              <w:bottom w:val="single" w:sz="4" w:space="0" w:color="000000"/>
              <w:end w:val="single" w:sz="4" w:space="0" w:color="000000"/>
            </w:tcBorders>
            <w:shd w:color="auto" w:fill="D9D9D9" w:val="clear"/>
            <w:vAlign w:val="center"/>
          </w:tcPr>
          <w:p>
            <w:pPr>
              <w:pStyle w:val="Normal"/>
              <w:rPr>
                <w:lang w:val="en-US"/>
              </w:rPr>
            </w:pPr>
            <w:r>
              <w:rPr>
                <w:lang w:val="en-US"/>
              </w:rPr>
              <w:t>Purpose</w:t>
            </w:r>
          </w:p>
        </w:tc>
      </w:tr>
      <w:tr>
        <w:trPr/>
        <w:tc>
          <w:tcPr>
            <w:tcW w:w="3186"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Business Sponsors</w:t>
            </w:r>
          </w:p>
        </w:tc>
        <w:tc>
          <w:tcPr>
            <w:tcW w:w="5953"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Review solution alignment with business objectives.</w:t>
            </w:r>
          </w:p>
        </w:tc>
      </w:tr>
      <w:tr>
        <w:trPr/>
        <w:tc>
          <w:tcPr>
            <w:tcW w:w="3186"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Procurement Management</w:t>
            </w:r>
          </w:p>
        </w:tc>
        <w:tc>
          <w:tcPr>
            <w:tcW w:w="5953"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Validate business capabilities and expected outcomes.</w:t>
            </w:r>
          </w:p>
        </w:tc>
      </w:tr>
      <w:tr>
        <w:trPr/>
        <w:tc>
          <w:tcPr>
            <w:tcW w:w="3186"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Finance and Compliance Teams</w:t>
            </w:r>
          </w:p>
        </w:tc>
        <w:tc>
          <w:tcPr>
            <w:tcW w:w="5953"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Review compliance, governance, and Power BI reporting requirements.</w:t>
            </w:r>
          </w:p>
        </w:tc>
      </w:tr>
      <w:tr>
        <w:trPr/>
        <w:tc>
          <w:tcPr>
            <w:tcW w:w="3186"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Solution Architects</w:t>
            </w:r>
          </w:p>
        </w:tc>
        <w:tc>
          <w:tcPr>
            <w:tcW w:w="5953"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Define and govern the overall solution architecture.</w:t>
            </w:r>
          </w:p>
        </w:tc>
      </w:tr>
      <w:tr>
        <w:trPr/>
        <w:tc>
          <w:tcPr>
            <w:tcW w:w="3186"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Technical Leads and Developers</w:t>
            </w:r>
          </w:p>
        </w:tc>
        <w:tc>
          <w:tcPr>
            <w:tcW w:w="5953"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Understand the target architecture and implementation approach.</w:t>
            </w:r>
          </w:p>
        </w:tc>
      </w:tr>
      <w:tr>
        <w:trPr/>
        <w:tc>
          <w:tcPr>
            <w:tcW w:w="3186"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Integration Specialists</w:t>
            </w:r>
          </w:p>
        </w:tc>
        <w:tc>
          <w:tcPr>
            <w:tcW w:w="5953"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Review integration architecture and interface requirements.</w:t>
            </w:r>
          </w:p>
        </w:tc>
      </w:tr>
      <w:tr>
        <w:trPr/>
        <w:tc>
          <w:tcPr>
            <w:tcW w:w="3186"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Infrastructure and Operations Teams</w:t>
            </w:r>
          </w:p>
        </w:tc>
        <w:tc>
          <w:tcPr>
            <w:tcW w:w="5953"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Review deployment, support, and operational requirements.</w:t>
            </w:r>
          </w:p>
        </w:tc>
      </w:tr>
      <w:tr>
        <w:trPr/>
        <w:tc>
          <w:tcPr>
            <w:tcW w:w="3186"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Quality Assurance Team</w:t>
            </w:r>
          </w:p>
        </w:tc>
        <w:tc>
          <w:tcPr>
            <w:tcW w:w="5953"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Understand solution scope and architecture for testing activities.</w:t>
            </w:r>
          </w:p>
        </w:tc>
      </w:tr>
      <w:tr>
        <w:trPr/>
        <w:tc>
          <w:tcPr>
            <w:tcW w:w="3186"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Project Management Team</w:t>
            </w:r>
          </w:p>
        </w:tc>
        <w:tc>
          <w:tcPr>
            <w:tcW w:w="5953"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Support planning, governance, and delivery activities.</w:t>
            </w:r>
          </w:p>
        </w:tc>
      </w:tr>
    </w:tbl>
    <w:p>
      <w:pPr>
        <w:pStyle w:val="Normal"/>
        <w:rPr/>
      </w:pPr>
      <w:r>
        <w:rPr/>
      </w:r>
    </w:p>
    <w:p>
      <w:pPr>
        <w:pStyle w:val="Normal"/>
        <w:rPr/>
      </w:pPr>
      <w:r>
        <w:rPr/>
      </w:r>
    </w:p>
    <w:p>
      <w:pPr>
        <w:pStyle w:val="Heading2"/>
        <w:rPr/>
      </w:pPr>
      <w:bookmarkStart w:id="5" w:name="_Toc239804412"/>
      <w:r>
        <w:rPr/>
        <w:t>Definitions</w:t>
      </w:r>
      <w:bookmarkEnd w:id="5"/>
    </w:p>
    <w:tbl>
      <w:tblPr>
        <w:tblW w:w="9219" w:type="dxa"/>
        <w:jc w:val="start"/>
        <w:tblInd w:w="10" w:type="dxa"/>
        <w:tblLayout w:type="fixed"/>
        <w:tblCellMar>
          <w:top w:w="15" w:type="dxa"/>
          <w:start w:w="15" w:type="dxa"/>
          <w:bottom w:w="15" w:type="dxa"/>
          <w:end w:w="15" w:type="dxa"/>
        </w:tblCellMar>
        <w:tblLook w:noHBand="0" w:noVBand="1" w:firstColumn="1" w:lastRow="0" w:lastColumn="0" w:firstRow="1" w:val="04a0"/>
      </w:tblPr>
      <w:tblGrid>
        <w:gridCol w:w="2182"/>
        <w:gridCol w:w="7037"/>
      </w:tblGrid>
      <w:tr>
        <w:trPr>
          <w:tblHeader w:val="true"/>
        </w:trPr>
        <w:tc>
          <w:tcPr>
            <w:tcW w:w="2182" w:type="dxa"/>
            <w:tcBorders>
              <w:top w:val="single" w:sz="4" w:space="0" w:color="000000"/>
              <w:start w:val="single" w:sz="4" w:space="0" w:color="000000"/>
              <w:bottom w:val="single" w:sz="4" w:space="0" w:color="000000"/>
              <w:end w:val="single" w:sz="4" w:space="0" w:color="000000"/>
            </w:tcBorders>
            <w:shd w:color="auto" w:fill="D9D9D9" w:val="clear"/>
            <w:vAlign w:val="center"/>
          </w:tcPr>
          <w:p>
            <w:pPr>
              <w:pStyle w:val="Normal"/>
              <w:rPr>
                <w:lang w:val="en-US"/>
              </w:rPr>
            </w:pPr>
            <w:r>
              <w:rPr>
                <w:lang w:val="en-US"/>
              </w:rPr>
              <w:t>Term / Acronym</w:t>
            </w:r>
          </w:p>
        </w:tc>
        <w:tc>
          <w:tcPr>
            <w:tcW w:w="7037" w:type="dxa"/>
            <w:tcBorders>
              <w:top w:val="single" w:sz="4" w:space="0" w:color="000000"/>
              <w:start w:val="single" w:sz="4" w:space="0" w:color="000000"/>
              <w:bottom w:val="single" w:sz="4" w:space="0" w:color="000000"/>
              <w:end w:val="single" w:sz="4" w:space="0" w:color="000000"/>
            </w:tcBorders>
            <w:shd w:color="auto" w:fill="D9D9D9" w:val="clear"/>
            <w:vAlign w:val="center"/>
          </w:tcPr>
          <w:p>
            <w:pPr>
              <w:pStyle w:val="Normal"/>
              <w:rPr>
                <w:lang w:val="en-US"/>
              </w:rPr>
            </w:pPr>
            <w:r>
              <w:rPr>
                <w:lang w:val="en-US"/>
              </w:rPr>
              <w:t>Definition</w:t>
            </w:r>
          </w:p>
        </w:tc>
      </w:tr>
      <w:tr>
        <w:trPr/>
        <w:tc>
          <w:tcPr>
            <w:tcW w:w="2182"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API</w:t>
            </w:r>
          </w:p>
        </w:tc>
        <w:tc>
          <w:tcPr>
            <w:tcW w:w="7037"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Application Programming Interface</w:t>
            </w:r>
          </w:p>
        </w:tc>
      </w:tr>
      <w:tr>
        <w:trPr/>
        <w:tc>
          <w:tcPr>
            <w:tcW w:w="2182"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BRD</w:t>
            </w:r>
          </w:p>
        </w:tc>
        <w:tc>
          <w:tcPr>
            <w:tcW w:w="7037"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Business Requirements Document</w:t>
            </w:r>
          </w:p>
        </w:tc>
      </w:tr>
      <w:tr>
        <w:trPr/>
        <w:tc>
          <w:tcPr>
            <w:tcW w:w="2182"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ERP</w:t>
            </w:r>
          </w:p>
        </w:tc>
        <w:tc>
          <w:tcPr>
            <w:tcW w:w="7037"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Enterprise Resource Planning</w:t>
            </w:r>
          </w:p>
        </w:tc>
      </w:tr>
      <w:tr>
        <w:trPr/>
        <w:tc>
          <w:tcPr>
            <w:tcW w:w="2182"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D365 BC</w:t>
            </w:r>
          </w:p>
        </w:tc>
        <w:tc>
          <w:tcPr>
            <w:tcW w:w="7037"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Microsoft Dynamics 365 Business Central</w:t>
            </w:r>
          </w:p>
        </w:tc>
      </w:tr>
      <w:tr>
        <w:trPr/>
        <w:tc>
          <w:tcPr>
            <w:tcW w:w="2182"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Power BI</w:t>
            </w:r>
          </w:p>
        </w:tc>
        <w:tc>
          <w:tcPr>
            <w:tcW w:w="7037"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Microsoft Power Business Intelligence</w:t>
            </w:r>
          </w:p>
        </w:tc>
      </w:tr>
      <w:tr>
        <w:trPr/>
        <w:tc>
          <w:tcPr>
            <w:tcW w:w="2182"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KPI</w:t>
            </w:r>
          </w:p>
        </w:tc>
        <w:tc>
          <w:tcPr>
            <w:tcW w:w="7037"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Key Performance Indicator</w:t>
            </w:r>
          </w:p>
        </w:tc>
      </w:tr>
      <w:tr>
        <w:trPr/>
        <w:tc>
          <w:tcPr>
            <w:tcW w:w="2182"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PO</w:t>
            </w:r>
          </w:p>
        </w:tc>
        <w:tc>
          <w:tcPr>
            <w:tcW w:w="7037"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Purchase Order</w:t>
            </w:r>
          </w:p>
        </w:tc>
      </w:tr>
      <w:tr>
        <w:trPr/>
        <w:tc>
          <w:tcPr>
            <w:tcW w:w="2182"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SLA</w:t>
            </w:r>
          </w:p>
        </w:tc>
        <w:tc>
          <w:tcPr>
            <w:tcW w:w="7037"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Service Level Agreement</w:t>
            </w:r>
          </w:p>
        </w:tc>
      </w:tr>
      <w:tr>
        <w:trPr/>
        <w:tc>
          <w:tcPr>
            <w:tcW w:w="2182"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Vendor Risk Score</w:t>
            </w:r>
          </w:p>
        </w:tc>
        <w:tc>
          <w:tcPr>
            <w:tcW w:w="7037"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A calculated measure representing the overall risk level associated with a vendor.</w:t>
            </w:r>
          </w:p>
        </w:tc>
      </w:tr>
      <w:tr>
        <w:trPr/>
        <w:tc>
          <w:tcPr>
            <w:tcW w:w="2182"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Compliance Document</w:t>
            </w:r>
          </w:p>
        </w:tc>
        <w:tc>
          <w:tcPr>
            <w:tcW w:w="7037"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A vendor document required to satisfy legal, regulatory, or organizational requirements.</w:t>
            </w:r>
          </w:p>
        </w:tc>
      </w:tr>
      <w:tr>
        <w:trPr/>
        <w:tc>
          <w:tcPr>
            <w:tcW w:w="2182"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Procurement Intelligence</w:t>
            </w:r>
          </w:p>
        </w:tc>
        <w:tc>
          <w:tcPr>
            <w:tcW w:w="7037"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The collection, analysis, and presentation of procurement and supplier-related information to support decision-making.</w:t>
            </w:r>
          </w:p>
        </w:tc>
      </w:tr>
      <w:tr>
        <w:trPr/>
        <w:tc>
          <w:tcPr>
            <w:tcW w:w="2182"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System of Record</w:t>
            </w:r>
          </w:p>
        </w:tc>
        <w:tc>
          <w:tcPr>
            <w:tcW w:w="7037"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The authoritative source system responsible for maintaining official business data. In this solution, Microsoft Dynamics 365 Business Central serves as the System of Record for vendor and procurement transaction data.</w:t>
            </w:r>
          </w:p>
        </w:tc>
      </w:tr>
      <w:tr>
        <w:trPr/>
        <w:tc>
          <w:tcPr>
            <w:tcW w:w="2182"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System of Insight</w:t>
            </w:r>
          </w:p>
        </w:tc>
        <w:tc>
          <w:tcPr>
            <w:tcW w:w="7037"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A system that consumes and analyzes business data to generate insights, dashboards, alerts, and decision support information. The Procurement Intelligence &amp; Vendor Risk Platform serves as the System of Insight.</w:t>
            </w:r>
          </w:p>
        </w:tc>
      </w:tr>
      <w:tr>
        <w:trPr/>
        <w:tc>
          <w:tcPr>
            <w:tcW w:w="2182"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Risk Assessment</w:t>
            </w:r>
          </w:p>
        </w:tc>
        <w:tc>
          <w:tcPr>
            <w:tcW w:w="7037"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The process of evaluating vendor-related risk factors and calculating an overall risk score.</w:t>
            </w:r>
          </w:p>
        </w:tc>
      </w:tr>
      <w:tr>
        <w:trPr/>
        <w:tc>
          <w:tcPr>
            <w:tcW w:w="2182"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Integration Service</w:t>
            </w:r>
          </w:p>
        </w:tc>
        <w:tc>
          <w:tcPr>
            <w:tcW w:w="7037"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The application component responsible for data synchronization and communication between Business Central and the Procurement Intelligence Platform.</w:t>
            </w:r>
          </w:p>
        </w:tc>
      </w:tr>
      <w:tr>
        <w:trPr/>
        <w:tc>
          <w:tcPr>
            <w:tcW w:w="2182"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RBAC</w:t>
            </w:r>
          </w:p>
        </w:tc>
        <w:tc>
          <w:tcPr>
            <w:tcW w:w="7037"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Role-Based Access Control</w:t>
            </w:r>
          </w:p>
        </w:tc>
      </w:tr>
      <w:tr>
        <w:trPr/>
        <w:tc>
          <w:tcPr>
            <w:tcW w:w="2182"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Microsoft Entra ID</w:t>
            </w:r>
          </w:p>
        </w:tc>
        <w:tc>
          <w:tcPr>
            <w:tcW w:w="7037"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Microsoft's cloud-based identity and access management service used for authentication and authorization.</w:t>
            </w:r>
          </w:p>
        </w:tc>
      </w:tr>
    </w:tbl>
    <w:p>
      <w:pPr>
        <w:pStyle w:val="Normal"/>
        <w:rPr/>
      </w:pPr>
      <w:r>
        <w:rPr/>
      </w:r>
    </w:p>
    <w:p>
      <w:pPr>
        <w:pStyle w:val="Normal"/>
        <w:rPr/>
      </w:pPr>
      <w:r>
        <w:rPr/>
      </w:r>
    </w:p>
    <w:p>
      <w:pPr>
        <w:pStyle w:val="Normal"/>
        <w:rPr/>
      </w:pPr>
      <w:r>
        <w:rPr/>
        <w:t>Architecture Principle:</w:t>
      </w:r>
    </w:p>
    <w:p>
      <w:pPr>
        <w:pStyle w:val="Normal"/>
        <w:rPr/>
      </w:pPr>
      <w:r>
        <w:rPr/>
        <w:t>For the purposes of this solution, Microsoft Dynamics 365 Business Central will remain the System of Record, while the Procurement Intelligence &amp; Vendor Risk Platform will operate as the System of Insight and Power BI will operate as reporting system, providing compliance monitoring, performance analysis, risk assessment, Power BI reporting, and decision-support capabilities. This principle guides all subsequent architectural decisions within this document.</w:t>
      </w:r>
    </w:p>
    <w:p>
      <w:pPr>
        <w:pStyle w:val="Normal"/>
        <w:rPr/>
      </w:pPr>
      <w:r>
        <w:rPr/>
      </w:r>
    </w:p>
    <w:p>
      <w:pPr>
        <w:pStyle w:val="Normal"/>
        <w:rPr/>
      </w:pPr>
      <w:r>
        <w:rPr/>
      </w:r>
    </w:p>
    <w:p>
      <w:pPr>
        <w:pStyle w:val="Normal"/>
        <w:rPr/>
      </w:pPr>
      <w:r>
        <w:rPr/>
      </w:r>
    </w:p>
    <w:p>
      <w:pPr>
        <w:pStyle w:val="Normal"/>
        <w:rPr/>
      </w:pPr>
      <w:r>
        <w:rPr/>
      </w:r>
    </w:p>
    <w:p>
      <w:pPr>
        <w:pStyle w:val="Heading1"/>
        <w:rPr/>
      </w:pPr>
      <w:bookmarkStart w:id="6" w:name="_Toc239804413"/>
      <w:r>
        <w:rPr/>
        <w:t>Solution Architecture</w:t>
      </w:r>
      <w:bookmarkEnd w:id="6"/>
    </w:p>
    <w:p>
      <w:pPr>
        <w:pStyle w:val="Heading2"/>
        <w:rPr/>
      </w:pPr>
      <w:bookmarkStart w:id="7" w:name="_Toc239804414"/>
      <w:r>
        <w:rPr/>
        <w:t>Solution Objectives</w:t>
      </w:r>
      <w:bookmarkEnd w:id="7"/>
    </w:p>
    <w:p>
      <w:pPr>
        <w:pStyle w:val="Normal"/>
        <w:rPr/>
      </w:pPr>
      <w:r>
        <w:rPr/>
        <w:t>The primary objective of the Procurement Intelligence &amp; Vendor Risk Platform is to provide a centralized solution for monitoring, assessing, and managing vendor compliance, performance, and risk information by leveraging procurement data maintained within Microsoft Dynamics 365 Business Central.</w:t>
      </w:r>
    </w:p>
    <w:p>
      <w:pPr>
        <w:pStyle w:val="Normal"/>
        <w:rPr/>
      </w:pPr>
      <w:r>
        <w:rPr/>
      </w:r>
    </w:p>
    <w:p>
      <w:pPr>
        <w:pStyle w:val="Normal"/>
        <w:rPr/>
      </w:pPr>
      <w:r>
        <w:rPr/>
      </w:r>
    </w:p>
    <w:p>
      <w:pPr>
        <w:pStyle w:val="Normal"/>
        <w:rPr/>
      </w:pPr>
      <w:r>
        <w:rPr/>
        <w:drawing>
          <wp:inline distT="0" distB="0" distL="0" distR="0">
            <wp:extent cx="6262370" cy="28632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6262370" cy="2863215"/>
                    </a:xfrm>
                    <a:prstGeom prst="rect">
                      <a:avLst/>
                    </a:prstGeom>
                    <a:noFill/>
                  </pic:spPr>
                </pic:pic>
              </a:graphicData>
            </a:graphic>
          </wp:inline>
        </w:drawing>
      </w:r>
    </w:p>
    <w:p>
      <w:pPr>
        <w:pStyle w:val="Normal"/>
        <w:rPr/>
      </w:pPr>
      <w:r>
        <w:rPr/>
      </w:r>
    </w:p>
    <w:p>
      <w:pPr>
        <w:pStyle w:val="Normal"/>
        <w:rPr/>
      </w:pPr>
      <w:r>
        <w:rPr/>
      </w:r>
    </w:p>
    <w:p>
      <w:pPr>
        <w:pStyle w:val="Normal"/>
        <w:rPr/>
      </w:pPr>
      <w:r>
        <w:rPr/>
      </w:r>
    </w:p>
    <w:p>
      <w:pPr>
        <w:pStyle w:val="Normal"/>
        <w:rPr>
          <w:lang w:val="en-US"/>
        </w:rPr>
      </w:pPr>
      <w:r>
        <w:rPr>
          <w:lang w:val="en-US"/>
        </w:rPr>
        <w:t>The solution aims to:</w:t>
      </w:r>
    </w:p>
    <w:p>
      <w:pPr>
        <w:pStyle w:val="ListParagraph"/>
        <w:numPr>
          <w:ilvl w:val="0"/>
          <w:numId w:val="3"/>
        </w:numPr>
        <w:rPr>
          <w:lang w:val="en-US"/>
        </w:rPr>
      </w:pPr>
      <w:r>
        <w:rPr>
          <w:lang w:val="en-US"/>
        </w:rPr>
        <w:t xml:space="preserve">Improve visibility into vendor compliance status and document validity. </w:t>
      </w:r>
    </w:p>
    <w:p>
      <w:pPr>
        <w:pStyle w:val="ListParagraph"/>
        <w:numPr>
          <w:ilvl w:val="0"/>
          <w:numId w:val="3"/>
        </w:numPr>
        <w:rPr>
          <w:lang w:val="en-US"/>
        </w:rPr>
      </w:pPr>
      <w:r>
        <w:rPr>
          <w:lang w:val="en-US"/>
        </w:rPr>
        <w:t xml:space="preserve">Enable proactive identification of high-risk vendors. </w:t>
      </w:r>
    </w:p>
    <w:p>
      <w:pPr>
        <w:pStyle w:val="ListParagraph"/>
        <w:numPr>
          <w:ilvl w:val="0"/>
          <w:numId w:val="3"/>
        </w:numPr>
        <w:rPr>
          <w:lang w:val="en-US"/>
        </w:rPr>
      </w:pPr>
      <w:r>
        <w:rPr>
          <w:lang w:val="en-US"/>
        </w:rPr>
        <w:t xml:space="preserve">Standardize vendor performance measurement through defined KPIs. </w:t>
      </w:r>
    </w:p>
    <w:p>
      <w:pPr>
        <w:pStyle w:val="ListParagraph"/>
        <w:numPr>
          <w:ilvl w:val="0"/>
          <w:numId w:val="3"/>
        </w:numPr>
        <w:rPr>
          <w:lang w:val="en-US"/>
        </w:rPr>
      </w:pPr>
      <w:r>
        <w:rPr>
          <w:lang w:val="en-US"/>
        </w:rPr>
        <w:t xml:space="preserve">Provide management with actionable procurement insights through dashboards and Power BI reporting. </w:t>
      </w:r>
    </w:p>
    <w:p>
      <w:pPr>
        <w:pStyle w:val="ListParagraph"/>
        <w:numPr>
          <w:ilvl w:val="0"/>
          <w:numId w:val="3"/>
        </w:numPr>
        <w:rPr>
          <w:lang w:val="en-US"/>
        </w:rPr>
      </w:pPr>
      <w:r>
        <w:rPr>
          <w:lang w:val="en-US"/>
        </w:rPr>
        <w:t xml:space="preserve">Reduce manual effort associated with vendor monitoring and Power BI reporting activities. </w:t>
      </w:r>
    </w:p>
    <w:p>
      <w:pPr>
        <w:pStyle w:val="ListParagraph"/>
        <w:numPr>
          <w:ilvl w:val="0"/>
          <w:numId w:val="3"/>
        </w:numPr>
        <w:rPr>
          <w:lang w:val="en-US"/>
        </w:rPr>
      </w:pPr>
      <w:r>
        <w:rPr>
          <w:lang w:val="en-US"/>
        </w:rPr>
        <w:t xml:space="preserve">Support data-driven procurement and supplier management decisions. </w:t>
      </w:r>
    </w:p>
    <w:p>
      <w:pPr>
        <w:pStyle w:val="ListParagraph"/>
        <w:numPr>
          <w:ilvl w:val="0"/>
          <w:numId w:val="3"/>
        </w:numPr>
        <w:rPr>
          <w:lang w:val="en-US"/>
        </w:rPr>
      </w:pPr>
      <w:r>
        <w:rPr>
          <w:lang w:val="en-US"/>
        </w:rPr>
        <w:t xml:space="preserve">Establish a scalable foundation for future procurement intelligence and supplier governance capabilities. </w:t>
      </w:r>
    </w:p>
    <w:p>
      <w:pPr>
        <w:pStyle w:val="Normal"/>
        <w:rPr>
          <w:lang w:val="en-US"/>
        </w:rPr>
      </w:pPr>
      <w:r>
        <w:rPr>
          <w:lang w:val="en-US"/>
        </w:rPr>
        <w:br/>
      </w:r>
    </w:p>
    <w:p>
      <w:pPr>
        <w:pStyle w:val="Heading2"/>
        <w:rPr>
          <w:sz w:val="24"/>
          <w:szCs w:val="24"/>
        </w:rPr>
      </w:pPr>
      <w:bookmarkStart w:id="8" w:name="_Toc239804415"/>
      <w:r>
        <w:rPr/>
        <w:t>Solution Scope</w:t>
      </w:r>
      <w:bookmarkEnd w:id="8"/>
    </w:p>
    <w:p>
      <w:pPr>
        <w:pStyle w:val="Heading3"/>
        <w:rPr/>
      </w:pPr>
      <w:bookmarkStart w:id="9" w:name="_Toc239804416"/>
      <w:r>
        <w:rPr/>
        <w:t>In Scope</w:t>
      </w:r>
      <w:bookmarkEnd w:id="9"/>
    </w:p>
    <w:p>
      <w:pPr>
        <w:pStyle w:val="Normal"/>
        <w:rPr/>
      </w:pPr>
      <w:r>
        <w:rPr/>
        <w:t>The following capabilities are included within the scope of this solution:</w:t>
      </w:r>
    </w:p>
    <w:p>
      <w:pPr>
        <w:pStyle w:val="Normal"/>
        <w:rPr/>
      </w:pPr>
      <w:r>
        <w:rPr/>
      </w:r>
    </w:p>
    <w:p>
      <w:pPr>
        <w:pStyle w:val="Normal"/>
        <w:rPr/>
      </w:pPr>
      <w:r>
        <w:rPr/>
        <w:t>Vendor Management</w:t>
      </w:r>
    </w:p>
    <w:p>
      <w:pPr>
        <w:pStyle w:val="ListParagraph"/>
        <w:numPr>
          <w:ilvl w:val="0"/>
          <w:numId w:val="4"/>
        </w:numPr>
        <w:rPr/>
      </w:pPr>
      <w:r>
        <w:rPr/>
        <w:t>Vendor master data synchronization from Microsoft Dynamics 365 Business Central.</w:t>
      </w:r>
    </w:p>
    <w:p>
      <w:pPr>
        <w:pStyle w:val="ListParagraph"/>
        <w:numPr>
          <w:ilvl w:val="0"/>
          <w:numId w:val="4"/>
        </w:numPr>
        <w:rPr/>
      </w:pPr>
      <w:r>
        <w:rPr/>
        <w:t>Vendor profile management and categorization.</w:t>
      </w:r>
    </w:p>
    <w:p>
      <w:pPr>
        <w:pStyle w:val="ListParagraph"/>
        <w:numPr>
          <w:ilvl w:val="0"/>
          <w:numId w:val="4"/>
        </w:numPr>
        <w:rPr/>
      </w:pPr>
      <w:r>
        <w:rPr/>
        <w:t>Centralized vendor information repository.</w:t>
      </w:r>
    </w:p>
    <w:p>
      <w:pPr>
        <w:pStyle w:val="Normal"/>
        <w:rPr/>
      </w:pPr>
      <w:r>
        <w:rPr/>
      </w:r>
    </w:p>
    <w:p>
      <w:pPr>
        <w:pStyle w:val="Normal"/>
        <w:rPr/>
      </w:pPr>
      <w:r>
        <w:rPr/>
        <w:t>Compliance Management</w:t>
      </w:r>
    </w:p>
    <w:p>
      <w:pPr>
        <w:pStyle w:val="ListParagraph"/>
        <w:numPr>
          <w:ilvl w:val="0"/>
          <w:numId w:val="5"/>
        </w:numPr>
        <w:rPr>
          <w:lang w:val="en-US"/>
        </w:rPr>
      </w:pPr>
      <w:r>
        <w:rPr>
          <w:lang w:val="en-US"/>
        </w:rPr>
        <w:t>Vendor compliance document management.</w:t>
      </w:r>
    </w:p>
    <w:p>
      <w:pPr>
        <w:pStyle w:val="ListParagraph"/>
        <w:numPr>
          <w:ilvl w:val="0"/>
          <w:numId w:val="5"/>
        </w:numPr>
        <w:rPr>
          <w:lang w:val="en-US"/>
        </w:rPr>
      </w:pPr>
      <w:r>
        <w:rPr>
          <w:lang w:val="en-US"/>
        </w:rPr>
        <w:t>Document upload and maintenance.</w:t>
      </w:r>
    </w:p>
    <w:p>
      <w:pPr>
        <w:pStyle w:val="ListParagraph"/>
        <w:numPr>
          <w:ilvl w:val="0"/>
          <w:numId w:val="5"/>
        </w:numPr>
        <w:rPr>
          <w:lang w:val="en-US"/>
        </w:rPr>
      </w:pPr>
      <w:r>
        <w:rPr>
          <w:lang w:val="en-US"/>
        </w:rPr>
        <w:t>Document expiry tracking.</w:t>
      </w:r>
    </w:p>
    <w:p>
      <w:pPr>
        <w:pStyle w:val="ListParagraph"/>
        <w:numPr>
          <w:ilvl w:val="0"/>
          <w:numId w:val="5"/>
        </w:numPr>
        <w:rPr>
          <w:lang w:val="en-US"/>
        </w:rPr>
      </w:pPr>
      <w:r>
        <w:rPr>
          <w:lang w:val="en-US"/>
        </w:rPr>
        <w:t>Compliance status monitoring.</w:t>
      </w:r>
    </w:p>
    <w:p>
      <w:pPr>
        <w:pStyle w:val="ListParagraph"/>
        <w:numPr>
          <w:ilvl w:val="0"/>
          <w:numId w:val="5"/>
        </w:numPr>
        <w:rPr>
          <w:lang w:val="en-US"/>
        </w:rPr>
      </w:pPr>
      <w:r>
        <w:rPr>
          <w:lang w:val="en-US"/>
        </w:rPr>
        <w:t>Compliance alert generation.</w:t>
      </w:r>
    </w:p>
    <w:p>
      <w:pPr>
        <w:pStyle w:val="Normal"/>
        <w:rPr/>
      </w:pPr>
      <w:r>
        <w:rPr/>
      </w:r>
    </w:p>
    <w:p>
      <w:pPr>
        <w:pStyle w:val="Normal"/>
        <w:rPr>
          <w:lang w:val="en-US"/>
        </w:rPr>
      </w:pPr>
      <w:r>
        <w:rPr>
          <w:lang w:val="en-US"/>
        </w:rPr>
        <w:t>Performance Management</w:t>
      </w:r>
    </w:p>
    <w:p>
      <w:pPr>
        <w:pStyle w:val="ListParagraph"/>
        <w:numPr>
          <w:ilvl w:val="0"/>
          <w:numId w:val="6"/>
        </w:numPr>
        <w:rPr>
          <w:lang w:val="en-US"/>
        </w:rPr>
      </w:pPr>
      <w:r>
        <w:rPr>
          <w:lang w:val="en-US"/>
        </w:rPr>
        <w:t>Vendor performance KPI calculation.</w:t>
      </w:r>
    </w:p>
    <w:p>
      <w:pPr>
        <w:pStyle w:val="ListParagraph"/>
        <w:numPr>
          <w:ilvl w:val="0"/>
          <w:numId w:val="6"/>
        </w:numPr>
        <w:rPr>
          <w:lang w:val="en-US"/>
        </w:rPr>
      </w:pPr>
      <w:r>
        <w:rPr>
          <w:lang w:val="en-US"/>
        </w:rPr>
        <w:t>On-time delivery measurement.</w:t>
      </w:r>
    </w:p>
    <w:p>
      <w:pPr>
        <w:pStyle w:val="ListParagraph"/>
        <w:numPr>
          <w:ilvl w:val="0"/>
          <w:numId w:val="6"/>
        </w:numPr>
        <w:rPr>
          <w:lang w:val="en-US"/>
        </w:rPr>
      </w:pPr>
      <w:r>
        <w:rPr>
          <w:lang w:val="en-US"/>
        </w:rPr>
        <w:t>Purchase order fulfillment measurement.</w:t>
      </w:r>
    </w:p>
    <w:p>
      <w:pPr>
        <w:pStyle w:val="ListParagraph"/>
        <w:numPr>
          <w:ilvl w:val="0"/>
          <w:numId w:val="6"/>
        </w:numPr>
        <w:rPr>
          <w:lang w:val="en-US"/>
        </w:rPr>
      </w:pPr>
      <w:r>
        <w:rPr>
          <w:lang w:val="en-US"/>
        </w:rPr>
        <w:t>Performance scorecard generation.</w:t>
      </w:r>
    </w:p>
    <w:p>
      <w:pPr>
        <w:pStyle w:val="ListParagraph"/>
        <w:numPr>
          <w:ilvl w:val="0"/>
          <w:numId w:val="6"/>
        </w:numPr>
        <w:rPr>
          <w:lang w:val="en-US"/>
        </w:rPr>
      </w:pPr>
      <w:r>
        <w:rPr>
          <w:lang w:val="en-US"/>
        </w:rPr>
        <w:t>Historical performance tracking.</w:t>
      </w:r>
    </w:p>
    <w:p>
      <w:pPr>
        <w:pStyle w:val="Normal"/>
        <w:rPr>
          <w:lang w:val="en-US"/>
        </w:rPr>
      </w:pPr>
      <w:r>
        <w:rPr>
          <w:lang w:val="en-US"/>
        </w:rPr>
      </w:r>
    </w:p>
    <w:p>
      <w:pPr>
        <w:pStyle w:val="Normal"/>
        <w:rPr>
          <w:lang w:val="en-US"/>
        </w:rPr>
      </w:pPr>
      <w:r>
        <w:rPr/>
        <w:t>Risk Management</w:t>
      </w:r>
    </w:p>
    <w:p>
      <w:pPr>
        <w:pStyle w:val="ListParagraph"/>
        <w:numPr>
          <w:ilvl w:val="0"/>
          <w:numId w:val="7"/>
        </w:numPr>
        <w:rPr>
          <w:lang w:val="en-US"/>
        </w:rPr>
      </w:pPr>
      <w:r>
        <w:rPr>
          <w:lang w:val="en-US"/>
        </w:rPr>
        <w:t>Vendor risk assessment.</w:t>
      </w:r>
    </w:p>
    <w:p>
      <w:pPr>
        <w:pStyle w:val="ListParagraph"/>
        <w:numPr>
          <w:ilvl w:val="0"/>
          <w:numId w:val="7"/>
        </w:numPr>
        <w:rPr>
          <w:lang w:val="en-US"/>
        </w:rPr>
      </w:pPr>
      <w:r>
        <w:rPr>
          <w:lang w:val="en-US"/>
        </w:rPr>
        <w:t>Automated vendor risk score calculation.</w:t>
      </w:r>
    </w:p>
    <w:p>
      <w:pPr>
        <w:pStyle w:val="ListParagraph"/>
        <w:numPr>
          <w:ilvl w:val="0"/>
          <w:numId w:val="7"/>
        </w:numPr>
        <w:rPr>
          <w:lang w:val="en-US"/>
        </w:rPr>
      </w:pPr>
      <w:r>
        <w:rPr>
          <w:lang w:val="en-US"/>
        </w:rPr>
        <w:t>Risk categorization and classification.</w:t>
      </w:r>
    </w:p>
    <w:p>
      <w:pPr>
        <w:pStyle w:val="ListParagraph"/>
        <w:numPr>
          <w:ilvl w:val="0"/>
          <w:numId w:val="7"/>
        </w:numPr>
        <w:rPr>
          <w:lang w:val="en-US"/>
        </w:rPr>
      </w:pPr>
      <w:r>
        <w:rPr>
          <w:lang w:val="en-US"/>
        </w:rPr>
        <w:t>High-risk vendor identification.</w:t>
      </w:r>
    </w:p>
    <w:p>
      <w:pPr>
        <w:pStyle w:val="ListParagraph"/>
        <w:numPr>
          <w:ilvl w:val="0"/>
          <w:numId w:val="7"/>
        </w:numPr>
        <w:rPr>
          <w:lang w:val="en-US"/>
        </w:rPr>
      </w:pPr>
      <w:r>
        <w:rPr>
          <w:lang w:val="en-US"/>
        </w:rPr>
        <w:t>Risk trend monitoring.</w:t>
      </w:r>
    </w:p>
    <w:p>
      <w:pPr>
        <w:pStyle w:val="Normal"/>
        <w:rPr/>
      </w:pPr>
      <w:r>
        <w:rPr/>
      </w:r>
    </w:p>
    <w:p>
      <w:pPr>
        <w:pStyle w:val="Normal"/>
        <w:rPr/>
      </w:pPr>
      <w:r>
        <w:rPr/>
        <w:t>Power BI Reporting and Notifications</w:t>
      </w:r>
    </w:p>
    <w:p>
      <w:pPr>
        <w:pStyle w:val="ListParagraph"/>
        <w:numPr>
          <w:ilvl w:val="0"/>
          <w:numId w:val="8"/>
        </w:numPr>
        <w:rPr>
          <w:lang w:val="en-US"/>
        </w:rPr>
      </w:pPr>
      <w:r>
        <w:rPr>
          <w:lang w:val="en-US"/>
        </w:rPr>
        <w:t>Compliance dashboards.</w:t>
      </w:r>
    </w:p>
    <w:p>
      <w:pPr>
        <w:pStyle w:val="ListParagraph"/>
        <w:numPr>
          <w:ilvl w:val="0"/>
          <w:numId w:val="8"/>
        </w:numPr>
        <w:rPr>
          <w:lang w:val="en-US"/>
        </w:rPr>
      </w:pPr>
      <w:r>
        <w:rPr>
          <w:lang w:val="en-US"/>
        </w:rPr>
        <w:t>Performance dashboards.</w:t>
      </w:r>
    </w:p>
    <w:p>
      <w:pPr>
        <w:pStyle w:val="ListParagraph"/>
        <w:numPr>
          <w:ilvl w:val="0"/>
          <w:numId w:val="8"/>
        </w:numPr>
        <w:rPr>
          <w:lang w:val="en-US"/>
        </w:rPr>
      </w:pPr>
      <w:r>
        <w:rPr>
          <w:lang w:val="en-US"/>
        </w:rPr>
        <w:t>Risk dashboards.</w:t>
      </w:r>
    </w:p>
    <w:p>
      <w:pPr>
        <w:pStyle w:val="ListParagraph"/>
        <w:numPr>
          <w:ilvl w:val="0"/>
          <w:numId w:val="8"/>
        </w:numPr>
        <w:rPr>
          <w:lang w:val="en-US"/>
        </w:rPr>
      </w:pPr>
      <w:r>
        <w:rPr>
          <w:lang w:val="en-US"/>
        </w:rPr>
        <w:t>Management reporting.</w:t>
      </w:r>
    </w:p>
    <w:p>
      <w:pPr>
        <w:pStyle w:val="ListParagraph"/>
        <w:numPr>
          <w:ilvl w:val="0"/>
          <w:numId w:val="8"/>
        </w:numPr>
        <w:rPr>
          <w:lang w:val="en-US"/>
        </w:rPr>
      </w:pPr>
      <w:r>
        <w:rPr>
          <w:lang w:val="en-US"/>
        </w:rPr>
        <w:t>Automated notifications and alerts.</w:t>
      </w:r>
    </w:p>
    <w:p>
      <w:pPr>
        <w:pStyle w:val="Normal"/>
        <w:rPr/>
      </w:pPr>
      <w:r>
        <w:rPr/>
      </w:r>
    </w:p>
    <w:p>
      <w:pPr>
        <w:pStyle w:val="Normal"/>
        <w:rPr/>
      </w:pPr>
      <w:r>
        <w:rPr/>
        <w:t>Integration</w:t>
      </w:r>
    </w:p>
    <w:p>
      <w:pPr>
        <w:pStyle w:val="ListParagraph"/>
        <w:numPr>
          <w:ilvl w:val="0"/>
          <w:numId w:val="9"/>
        </w:numPr>
        <w:rPr>
          <w:lang w:val="en-US"/>
        </w:rPr>
      </w:pPr>
      <w:r>
        <w:rPr>
          <w:lang w:val="en-US"/>
        </w:rPr>
        <w:t>Integration with Microsoft Dynamics 365 Business Central through supported APIs.</w:t>
      </w:r>
    </w:p>
    <w:p>
      <w:pPr>
        <w:pStyle w:val="ListParagraph"/>
        <w:numPr>
          <w:ilvl w:val="0"/>
          <w:numId w:val="9"/>
        </w:numPr>
        <w:rPr>
          <w:lang w:val="en-US"/>
        </w:rPr>
      </w:pPr>
      <w:r>
        <w:rPr>
          <w:lang w:val="en-US"/>
        </w:rPr>
        <w:t>Vendor and procurement data synchronization.</w:t>
      </w:r>
    </w:p>
    <w:p>
      <w:pPr>
        <w:pStyle w:val="ListParagraph"/>
        <w:numPr>
          <w:ilvl w:val="0"/>
          <w:numId w:val="9"/>
        </w:numPr>
        <w:rPr>
          <w:lang w:val="en-US"/>
        </w:rPr>
      </w:pPr>
      <w:r>
        <w:rPr>
          <w:lang w:val="en-US"/>
        </w:rPr>
        <w:t>Integration monitoring and logging.</w:t>
      </w:r>
    </w:p>
    <w:p>
      <w:pPr>
        <w:pStyle w:val="Normal"/>
        <w:rPr/>
      </w:pPr>
      <w:r>
        <w:rPr/>
      </w:r>
    </w:p>
    <w:p>
      <w:pPr>
        <w:pStyle w:val="Normal"/>
        <w:rPr/>
      </w:pPr>
      <w:r>
        <w:rPr/>
      </w:r>
    </w:p>
    <w:p>
      <w:pPr>
        <w:pStyle w:val="Heading3"/>
        <w:rPr/>
      </w:pPr>
      <w:bookmarkStart w:id="10" w:name="_Toc239804417"/>
      <w:r>
        <w:rPr/>
        <w:t>Out of Scope</w:t>
      </w:r>
      <w:bookmarkEnd w:id="10"/>
    </w:p>
    <w:p>
      <w:pPr>
        <w:pStyle w:val="Normal"/>
        <w:rPr/>
      </w:pPr>
      <w:r>
        <w:rPr/>
        <w:t>The following items are not included within the scope of the initial solution release:</w:t>
      </w:r>
    </w:p>
    <w:p>
      <w:pPr>
        <w:pStyle w:val="ListParagraph"/>
        <w:numPr>
          <w:ilvl w:val="0"/>
          <w:numId w:val="10"/>
        </w:numPr>
        <w:rPr>
          <w:lang w:val="en-US"/>
        </w:rPr>
      </w:pPr>
      <w:r>
        <w:rPr>
          <w:lang w:val="en-US"/>
        </w:rPr>
        <w:t>Modification of standard Microsoft Dynamics 365 Business Central procurement processes.</w:t>
      </w:r>
    </w:p>
    <w:p>
      <w:pPr>
        <w:pStyle w:val="ListParagraph"/>
        <w:numPr>
          <w:ilvl w:val="0"/>
          <w:numId w:val="10"/>
        </w:numPr>
        <w:rPr>
          <w:lang w:val="en-US"/>
        </w:rPr>
      </w:pPr>
      <w:r>
        <w:rPr>
          <w:lang w:val="en-US"/>
        </w:rPr>
        <w:t>Purchase order creation or approval workflows.</w:t>
      </w:r>
    </w:p>
    <w:p>
      <w:pPr>
        <w:pStyle w:val="ListParagraph"/>
        <w:numPr>
          <w:ilvl w:val="0"/>
          <w:numId w:val="10"/>
        </w:numPr>
        <w:rPr>
          <w:lang w:val="en-US"/>
        </w:rPr>
      </w:pPr>
      <w:r>
        <w:rPr>
          <w:lang w:val="en-US"/>
        </w:rPr>
        <w:t>Vendor self-service portal.</w:t>
      </w:r>
    </w:p>
    <w:p>
      <w:pPr>
        <w:pStyle w:val="ListParagraph"/>
        <w:numPr>
          <w:ilvl w:val="0"/>
          <w:numId w:val="10"/>
        </w:numPr>
        <w:rPr>
          <w:lang w:val="en-US"/>
        </w:rPr>
      </w:pPr>
      <w:r>
        <w:rPr>
          <w:lang w:val="en-US"/>
        </w:rPr>
        <w:t>Vendor onboarding workflow automation.</w:t>
      </w:r>
    </w:p>
    <w:p>
      <w:pPr>
        <w:pStyle w:val="ListParagraph"/>
        <w:numPr>
          <w:ilvl w:val="0"/>
          <w:numId w:val="10"/>
        </w:numPr>
        <w:rPr>
          <w:lang w:val="en-US"/>
        </w:rPr>
      </w:pPr>
      <w:r>
        <w:rPr>
          <w:lang w:val="en-US"/>
        </w:rPr>
        <w:t>Supplier contract management.</w:t>
      </w:r>
    </w:p>
    <w:p>
      <w:pPr>
        <w:pStyle w:val="ListParagraph"/>
        <w:numPr>
          <w:ilvl w:val="0"/>
          <w:numId w:val="10"/>
        </w:numPr>
        <w:rPr>
          <w:lang w:val="en-US"/>
        </w:rPr>
      </w:pPr>
      <w:r>
        <w:rPr>
          <w:lang w:val="en-US"/>
        </w:rPr>
        <w:t>AI or machine learning-based risk prediction.</w:t>
      </w:r>
    </w:p>
    <w:p>
      <w:pPr>
        <w:pStyle w:val="ListParagraph"/>
        <w:numPr>
          <w:ilvl w:val="0"/>
          <w:numId w:val="10"/>
        </w:numPr>
        <w:rPr>
          <w:lang w:val="en-US"/>
        </w:rPr>
      </w:pPr>
      <w:r>
        <w:rPr>
          <w:lang w:val="en-US"/>
        </w:rPr>
        <w:t>Mobile application development.</w:t>
      </w:r>
    </w:p>
    <w:p>
      <w:pPr>
        <w:pStyle w:val="ListParagraph"/>
        <w:numPr>
          <w:ilvl w:val="0"/>
          <w:numId w:val="10"/>
        </w:numPr>
        <w:rPr>
          <w:lang w:val="en-US"/>
        </w:rPr>
      </w:pPr>
      <w:r>
        <w:rPr>
          <w:lang w:val="en-US"/>
        </w:rPr>
        <w:t>External supplier collaboration features.</w:t>
      </w:r>
    </w:p>
    <w:p>
      <w:pPr>
        <w:pStyle w:val="ListParagraph"/>
        <w:numPr>
          <w:ilvl w:val="0"/>
          <w:numId w:val="10"/>
        </w:numPr>
        <w:rPr>
          <w:lang w:val="en-US"/>
        </w:rPr>
      </w:pPr>
      <w:r>
        <w:rPr>
          <w:lang w:val="en-US"/>
        </w:rPr>
        <w:t>Integration with third-party procurement systems.</w:t>
      </w:r>
    </w:p>
    <w:p>
      <w:pPr>
        <w:pStyle w:val="ListParagraph"/>
        <w:numPr>
          <w:ilvl w:val="0"/>
          <w:numId w:val="10"/>
        </w:numPr>
        <w:rPr>
          <w:lang w:val="en-US"/>
        </w:rPr>
      </w:pPr>
      <w:r>
        <w:rPr>
          <w:lang w:val="en-US"/>
        </w:rPr>
        <w:t>Financial risk assessment using external credit agencies.</w:t>
      </w:r>
    </w:p>
    <w:p>
      <w:pPr>
        <w:pStyle w:val="ListParagraph"/>
        <w:numPr>
          <w:ilvl w:val="0"/>
          <w:numId w:val="10"/>
        </w:numPr>
        <w:rPr>
          <w:lang w:val="en-US"/>
        </w:rPr>
      </w:pPr>
      <w:r>
        <w:rPr>
          <w:lang w:val="en-US"/>
        </w:rPr>
        <w:t>Automated supplier audits.</w:t>
      </w:r>
    </w:p>
    <w:p>
      <w:pPr>
        <w:pStyle w:val="ListParagraph"/>
        <w:numPr>
          <w:ilvl w:val="0"/>
          <w:numId w:val="10"/>
        </w:numPr>
        <w:rPr>
          <w:lang w:val="en-US"/>
        </w:rPr>
      </w:pPr>
      <w:r>
        <w:rPr>
          <w:lang w:val="en-US"/>
        </w:rPr>
        <w:t>Real-time event-driven integration with external systems (future consideration).</w:t>
      </w:r>
    </w:p>
    <w:p>
      <w:pPr>
        <w:pStyle w:val="Normal"/>
        <w:rPr/>
      </w:pPr>
      <w:r>
        <w:rPr/>
      </w:r>
    </w:p>
    <w:p>
      <w:pPr>
        <w:pStyle w:val="Heading3"/>
        <w:rPr/>
      </w:pPr>
      <w:bookmarkStart w:id="11" w:name="_Toc239804418"/>
      <w:r>
        <w:rPr/>
        <w:t>Assumptions</w:t>
      </w:r>
      <w:bookmarkEnd w:id="11"/>
    </w:p>
    <w:p>
      <w:pPr>
        <w:pStyle w:val="Normal"/>
        <w:rPr/>
      </w:pPr>
      <w:r>
        <w:rPr/>
        <w:t>The following assumptions have been made during solution definition:</w:t>
      </w:r>
    </w:p>
    <w:p>
      <w:pPr>
        <w:pStyle w:val="Normal"/>
        <w:rPr/>
      </w:pPr>
      <w:r>
        <w:rPr/>
      </w:r>
    </w:p>
    <w:tbl>
      <w:tblPr>
        <w:tblW w:w="9139" w:type="dxa"/>
        <w:jc w:val="start"/>
        <w:tblInd w:w="10" w:type="dxa"/>
        <w:tblLayout w:type="fixed"/>
        <w:tblCellMar>
          <w:top w:w="15" w:type="dxa"/>
          <w:start w:w="15" w:type="dxa"/>
          <w:bottom w:w="15" w:type="dxa"/>
          <w:end w:w="15" w:type="dxa"/>
        </w:tblCellMar>
        <w:tblLook w:noHBand="0" w:noVBand="1" w:firstColumn="1" w:lastRow="0" w:lastColumn="0" w:firstRow="1" w:val="04a0"/>
      </w:tblPr>
      <w:tblGrid>
        <w:gridCol w:w="905"/>
        <w:gridCol w:w="8234"/>
      </w:tblGrid>
      <w:tr>
        <w:trPr>
          <w:tblHeader w:val="true"/>
        </w:trPr>
        <w:tc>
          <w:tcPr>
            <w:tcW w:w="905" w:type="dxa"/>
            <w:tcBorders>
              <w:top w:val="single" w:sz="4" w:space="0" w:color="000000"/>
              <w:start w:val="single" w:sz="4" w:space="0" w:color="000000"/>
              <w:bottom w:val="single" w:sz="4" w:space="0" w:color="000000"/>
              <w:end w:val="single" w:sz="4" w:space="0" w:color="000000"/>
            </w:tcBorders>
            <w:shd w:color="auto" w:fill="D9D9D9" w:val="clear"/>
            <w:vAlign w:val="center"/>
          </w:tcPr>
          <w:p>
            <w:pPr>
              <w:pStyle w:val="Normal"/>
              <w:rPr>
                <w:lang w:val="en-US"/>
              </w:rPr>
            </w:pPr>
            <w:r>
              <w:rPr>
                <w:lang w:val="en-US"/>
              </w:rPr>
              <w:t>Ref</w:t>
            </w:r>
          </w:p>
        </w:tc>
        <w:tc>
          <w:tcPr>
            <w:tcW w:w="8234" w:type="dxa"/>
            <w:tcBorders>
              <w:top w:val="single" w:sz="4" w:space="0" w:color="000000"/>
              <w:start w:val="single" w:sz="4" w:space="0" w:color="000000"/>
              <w:bottom w:val="single" w:sz="4" w:space="0" w:color="000000"/>
              <w:end w:val="single" w:sz="4" w:space="0" w:color="000000"/>
            </w:tcBorders>
            <w:shd w:color="auto" w:fill="D9D9D9" w:val="clear"/>
            <w:vAlign w:val="center"/>
          </w:tcPr>
          <w:p>
            <w:pPr>
              <w:pStyle w:val="Normal"/>
              <w:rPr>
                <w:lang w:val="en-US"/>
              </w:rPr>
            </w:pPr>
            <w:r>
              <w:rPr>
                <w:lang w:val="en-US"/>
              </w:rPr>
              <w:t>Assumption</w:t>
            </w:r>
          </w:p>
        </w:tc>
      </w:tr>
      <w:tr>
        <w:trPr/>
        <w:tc>
          <w:tcPr>
            <w:tcW w:w="905"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A01</w:t>
            </w:r>
          </w:p>
        </w:tc>
        <w:tc>
          <w:tcPr>
            <w:tcW w:w="8234"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Microsoft Dynamics 365 Business Central is the authoritative source of vendor and procurement transaction data.</w:t>
            </w:r>
          </w:p>
        </w:tc>
      </w:tr>
      <w:tr>
        <w:trPr/>
        <w:tc>
          <w:tcPr>
            <w:tcW w:w="905"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A02</w:t>
            </w:r>
          </w:p>
        </w:tc>
        <w:tc>
          <w:tcPr>
            <w:tcW w:w="8234"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Required Business Central APIs are available and accessible for integration.</w:t>
            </w:r>
          </w:p>
        </w:tc>
      </w:tr>
      <w:tr>
        <w:trPr/>
        <w:tc>
          <w:tcPr>
            <w:tcW w:w="905"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A03</w:t>
            </w:r>
          </w:p>
        </w:tc>
        <w:tc>
          <w:tcPr>
            <w:tcW w:w="8234"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Vendor performance KPIs can be derived from existing procurement transaction data.</w:t>
            </w:r>
          </w:p>
        </w:tc>
      </w:tr>
      <w:tr>
        <w:trPr/>
        <w:tc>
          <w:tcPr>
            <w:tcW w:w="905"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A04</w:t>
            </w:r>
          </w:p>
        </w:tc>
        <w:tc>
          <w:tcPr>
            <w:tcW w:w="8234"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Compliance documents will be maintained by authorized business users.</w:t>
            </w:r>
          </w:p>
        </w:tc>
      </w:tr>
      <w:tr>
        <w:trPr/>
        <w:tc>
          <w:tcPr>
            <w:tcW w:w="905"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A05</w:t>
            </w:r>
          </w:p>
        </w:tc>
        <w:tc>
          <w:tcPr>
            <w:tcW w:w="8234"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Business stakeholders will define and approve risk scoring rules and thresholds.</w:t>
            </w:r>
          </w:p>
        </w:tc>
      </w:tr>
      <w:tr>
        <w:trPr/>
        <w:tc>
          <w:tcPr>
            <w:tcW w:w="905"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A06</w:t>
            </w:r>
          </w:p>
        </w:tc>
        <w:tc>
          <w:tcPr>
            <w:tcW w:w="8234"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Users have access to corporate authentication services.</w:t>
            </w:r>
          </w:p>
        </w:tc>
      </w:tr>
      <w:tr>
        <w:trPr/>
        <w:tc>
          <w:tcPr>
            <w:tcW w:w="905"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A07</w:t>
            </w:r>
          </w:p>
        </w:tc>
        <w:tc>
          <w:tcPr>
            <w:tcW w:w="8234"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Required procurement data is of sufficient quality to support KPI and risk calculations.</w:t>
            </w:r>
          </w:p>
        </w:tc>
      </w:tr>
      <w:tr>
        <w:trPr/>
        <w:tc>
          <w:tcPr>
            <w:tcW w:w="905"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A08</w:t>
            </w:r>
          </w:p>
        </w:tc>
        <w:tc>
          <w:tcPr>
            <w:tcW w:w="8234"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Historical procurement data required for performance calculations is available within Business Central.</w:t>
            </w:r>
          </w:p>
        </w:tc>
      </w:tr>
    </w:tbl>
    <w:p>
      <w:pPr>
        <w:pStyle w:val="Heading3"/>
        <w:rPr/>
      </w:pPr>
      <w:bookmarkStart w:id="12" w:name="_Toc239804419"/>
      <w:r>
        <w:rPr/>
        <w:t>Constraints</w:t>
      </w:r>
      <w:bookmarkEnd w:id="12"/>
    </w:p>
    <w:p>
      <w:pPr>
        <w:pStyle w:val="Normal"/>
        <w:rPr/>
      </w:pPr>
      <w:r>
        <w:rPr/>
        <w:t>The solution must operate within the following constraints:</w:t>
      </w:r>
    </w:p>
    <w:p>
      <w:pPr>
        <w:pStyle w:val="Normal"/>
        <w:rPr/>
      </w:pPr>
      <w:r>
        <w:rPr/>
      </w:r>
    </w:p>
    <w:tbl>
      <w:tblPr>
        <w:tblW w:w="9115" w:type="dxa"/>
        <w:jc w:val="start"/>
        <w:tblInd w:w="10" w:type="dxa"/>
        <w:tblLayout w:type="fixed"/>
        <w:tblCellMar>
          <w:top w:w="15" w:type="dxa"/>
          <w:start w:w="15" w:type="dxa"/>
          <w:bottom w:w="15" w:type="dxa"/>
          <w:end w:w="15" w:type="dxa"/>
        </w:tblCellMar>
        <w:tblLook w:noHBand="0" w:noVBand="1" w:firstColumn="1" w:lastRow="0" w:lastColumn="0" w:firstRow="1" w:val="04a0"/>
      </w:tblPr>
      <w:tblGrid>
        <w:gridCol w:w="906"/>
        <w:gridCol w:w="8209"/>
      </w:tblGrid>
      <w:tr>
        <w:trPr>
          <w:tblHeader w:val="true"/>
        </w:trPr>
        <w:tc>
          <w:tcPr>
            <w:tcW w:w="906" w:type="dxa"/>
            <w:tcBorders>
              <w:top w:val="single" w:sz="4" w:space="0" w:color="000000"/>
              <w:start w:val="single" w:sz="4" w:space="0" w:color="000000"/>
              <w:bottom w:val="single" w:sz="4" w:space="0" w:color="000000"/>
              <w:end w:val="single" w:sz="4" w:space="0" w:color="000000"/>
            </w:tcBorders>
            <w:shd w:color="auto" w:fill="D9D9D9" w:val="clear"/>
            <w:vAlign w:val="center"/>
          </w:tcPr>
          <w:p>
            <w:pPr>
              <w:pStyle w:val="Normal"/>
              <w:rPr>
                <w:lang w:val="en-US"/>
              </w:rPr>
            </w:pPr>
            <w:r>
              <w:rPr>
                <w:lang w:val="en-US"/>
              </w:rPr>
              <w:t>Ref</w:t>
            </w:r>
          </w:p>
        </w:tc>
        <w:tc>
          <w:tcPr>
            <w:tcW w:w="8209" w:type="dxa"/>
            <w:tcBorders>
              <w:top w:val="single" w:sz="4" w:space="0" w:color="000000"/>
              <w:start w:val="single" w:sz="4" w:space="0" w:color="000000"/>
              <w:bottom w:val="single" w:sz="4" w:space="0" w:color="000000"/>
              <w:end w:val="single" w:sz="4" w:space="0" w:color="000000"/>
            </w:tcBorders>
            <w:shd w:color="auto" w:fill="D9D9D9" w:val="clear"/>
            <w:vAlign w:val="center"/>
          </w:tcPr>
          <w:p>
            <w:pPr>
              <w:pStyle w:val="Normal"/>
              <w:rPr>
                <w:lang w:val="en-US"/>
              </w:rPr>
            </w:pPr>
            <w:r>
              <w:rPr>
                <w:lang w:val="en-US"/>
              </w:rPr>
              <w:t>Constraint</w:t>
            </w:r>
          </w:p>
        </w:tc>
      </w:tr>
      <w:tr>
        <w:trPr/>
        <w:tc>
          <w:tcPr>
            <w:tcW w:w="906"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C01</w:t>
            </w:r>
          </w:p>
        </w:tc>
        <w:tc>
          <w:tcPr>
            <w:tcW w:w="8209"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Microsoft Dynamics 365 Business Central must remain the System of Record.</w:t>
            </w:r>
          </w:p>
        </w:tc>
      </w:tr>
      <w:tr>
        <w:trPr/>
        <w:tc>
          <w:tcPr>
            <w:tcW w:w="906"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C02</w:t>
            </w:r>
          </w:p>
        </w:tc>
        <w:tc>
          <w:tcPr>
            <w:tcW w:w="8209"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Existing procurement processes within Business Central must not be disrupted or replaced.</w:t>
            </w:r>
          </w:p>
        </w:tc>
      </w:tr>
      <w:tr>
        <w:trPr/>
        <w:tc>
          <w:tcPr>
            <w:tcW w:w="906"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C03</w:t>
            </w:r>
          </w:p>
        </w:tc>
        <w:tc>
          <w:tcPr>
            <w:tcW w:w="8209"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Integration must utilize supported Business Central APIs and authentication mechanisms.</w:t>
            </w:r>
          </w:p>
        </w:tc>
      </w:tr>
      <w:tr>
        <w:trPr/>
        <w:tc>
          <w:tcPr>
            <w:tcW w:w="906"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C04</w:t>
            </w:r>
          </w:p>
        </w:tc>
        <w:tc>
          <w:tcPr>
            <w:tcW w:w="8209"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The initial solution must be implementable using available technology and licensing constraints.</w:t>
            </w:r>
          </w:p>
        </w:tc>
      </w:tr>
      <w:tr>
        <w:trPr/>
        <w:tc>
          <w:tcPr>
            <w:tcW w:w="906"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C05</w:t>
            </w:r>
          </w:p>
        </w:tc>
        <w:tc>
          <w:tcPr>
            <w:tcW w:w="8209"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Access to procurement and vendor information must comply with organizational security policies.</w:t>
            </w:r>
          </w:p>
        </w:tc>
      </w:tr>
      <w:tr>
        <w:trPr/>
        <w:tc>
          <w:tcPr>
            <w:tcW w:w="906"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C06</w:t>
            </w:r>
          </w:p>
        </w:tc>
        <w:tc>
          <w:tcPr>
            <w:tcW w:w="8209"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Risk scoring methodologies must be transparent and explainable to business users.</w:t>
            </w:r>
          </w:p>
        </w:tc>
      </w:tr>
      <w:tr>
        <w:trPr/>
        <w:tc>
          <w:tcPr>
            <w:tcW w:w="906"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C07</w:t>
            </w:r>
          </w:p>
        </w:tc>
        <w:tc>
          <w:tcPr>
            <w:tcW w:w="8209"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The solution should be maintainable by internal technical teams.</w:t>
            </w:r>
          </w:p>
        </w:tc>
      </w:tr>
      <w:tr>
        <w:trPr/>
        <w:tc>
          <w:tcPr>
            <w:tcW w:w="906"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C08</w:t>
            </w:r>
          </w:p>
        </w:tc>
        <w:tc>
          <w:tcPr>
            <w:tcW w:w="8209"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Initial implementation should prioritize core compliance, performance, and risk capabilities before advanced analytics.</w:t>
            </w:r>
          </w:p>
        </w:tc>
      </w:tr>
    </w:tbl>
    <w:p>
      <w:pPr>
        <w:pStyle w:val="Normal"/>
        <w:rPr/>
      </w:pPr>
      <w:r>
        <w:rPr/>
      </w:r>
    </w:p>
    <w:p>
      <w:pPr>
        <w:pStyle w:val="Normal"/>
        <w:rPr/>
      </w:pPr>
      <w:r>
        <w:rPr/>
      </w:r>
    </w:p>
    <w:p>
      <w:pPr>
        <w:pStyle w:val="Heading3"/>
        <w:rPr/>
      </w:pPr>
      <w:bookmarkStart w:id="13" w:name="_Toc239804420"/>
      <w:r>
        <w:rPr/>
        <w:t>Dependencies</w:t>
      </w:r>
      <w:bookmarkEnd w:id="13"/>
    </w:p>
    <w:p>
      <w:pPr>
        <w:pStyle w:val="Normal"/>
        <w:rPr/>
      </w:pPr>
      <w:r>
        <w:rPr/>
        <w:t>The successful implementation of the solution depends on the following:</w:t>
      </w:r>
    </w:p>
    <w:p>
      <w:pPr>
        <w:pStyle w:val="Normal"/>
        <w:rPr/>
      </w:pPr>
      <w:r>
        <w:rPr/>
      </w:r>
    </w:p>
    <w:tbl>
      <w:tblPr>
        <w:tblW w:w="8419" w:type="dxa"/>
        <w:jc w:val="start"/>
        <w:tblInd w:w="10" w:type="dxa"/>
        <w:tblLayout w:type="fixed"/>
        <w:tblCellMar>
          <w:top w:w="15" w:type="dxa"/>
          <w:start w:w="15" w:type="dxa"/>
          <w:bottom w:w="15" w:type="dxa"/>
          <w:end w:w="15" w:type="dxa"/>
        </w:tblCellMar>
        <w:tblLook w:noHBand="0" w:noVBand="1" w:firstColumn="1" w:lastRow="0" w:lastColumn="0" w:firstRow="1" w:val="04a0"/>
      </w:tblPr>
      <w:tblGrid>
        <w:gridCol w:w="1048"/>
        <w:gridCol w:w="7371"/>
      </w:tblGrid>
      <w:tr>
        <w:trPr>
          <w:tblHeader w:val="true"/>
        </w:trPr>
        <w:tc>
          <w:tcPr>
            <w:tcW w:w="1048" w:type="dxa"/>
            <w:tcBorders>
              <w:top w:val="single" w:sz="4" w:space="0" w:color="000000"/>
              <w:start w:val="single" w:sz="4" w:space="0" w:color="000000"/>
              <w:bottom w:val="single" w:sz="4" w:space="0" w:color="000000"/>
              <w:end w:val="single" w:sz="4" w:space="0" w:color="000000"/>
            </w:tcBorders>
            <w:shd w:color="auto" w:fill="D9D9D9" w:val="clear"/>
            <w:vAlign w:val="center"/>
          </w:tcPr>
          <w:p>
            <w:pPr>
              <w:pStyle w:val="Normal"/>
              <w:rPr>
                <w:lang w:val="en-US"/>
              </w:rPr>
            </w:pPr>
            <w:r>
              <w:rPr>
                <w:lang w:val="en-US"/>
              </w:rPr>
              <w:t>Ref</w:t>
            </w:r>
          </w:p>
        </w:tc>
        <w:tc>
          <w:tcPr>
            <w:tcW w:w="7371" w:type="dxa"/>
            <w:tcBorders>
              <w:top w:val="single" w:sz="4" w:space="0" w:color="000000"/>
              <w:start w:val="single" w:sz="4" w:space="0" w:color="000000"/>
              <w:bottom w:val="single" w:sz="4" w:space="0" w:color="000000"/>
              <w:end w:val="single" w:sz="4" w:space="0" w:color="000000"/>
            </w:tcBorders>
            <w:shd w:color="auto" w:fill="D9D9D9" w:val="clear"/>
            <w:vAlign w:val="center"/>
          </w:tcPr>
          <w:p>
            <w:pPr>
              <w:pStyle w:val="Normal"/>
              <w:rPr>
                <w:lang w:val="en-US"/>
              </w:rPr>
            </w:pPr>
            <w:r>
              <w:rPr>
                <w:lang w:val="en-US"/>
              </w:rPr>
              <w:t>Dependency</w:t>
            </w:r>
          </w:p>
        </w:tc>
      </w:tr>
      <w:tr>
        <w:trPr/>
        <w:tc>
          <w:tcPr>
            <w:tcW w:w="1048"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D01</w:t>
            </w:r>
          </w:p>
        </w:tc>
        <w:tc>
          <w:tcPr>
            <w:tcW w:w="7371"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Availability of Microsoft Dynamics 365 Business Central APIs.</w:t>
            </w:r>
          </w:p>
        </w:tc>
      </w:tr>
      <w:tr>
        <w:trPr/>
        <w:tc>
          <w:tcPr>
            <w:tcW w:w="1048"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D02</w:t>
            </w:r>
          </w:p>
        </w:tc>
        <w:tc>
          <w:tcPr>
            <w:tcW w:w="7371"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Availability of vendor master and procurement transaction data.</w:t>
            </w:r>
          </w:p>
        </w:tc>
      </w:tr>
      <w:tr>
        <w:trPr/>
        <w:tc>
          <w:tcPr>
            <w:tcW w:w="1048"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D03</w:t>
            </w:r>
          </w:p>
        </w:tc>
        <w:tc>
          <w:tcPr>
            <w:tcW w:w="7371"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Business approval of KPI definitions and calculation methods.</w:t>
            </w:r>
          </w:p>
        </w:tc>
      </w:tr>
      <w:tr>
        <w:trPr/>
        <w:tc>
          <w:tcPr>
            <w:tcW w:w="1048"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D04</w:t>
            </w:r>
          </w:p>
        </w:tc>
        <w:tc>
          <w:tcPr>
            <w:tcW w:w="7371"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Business approval of vendor risk scoring criteria and thresholds.</w:t>
            </w:r>
          </w:p>
        </w:tc>
      </w:tr>
      <w:tr>
        <w:trPr/>
        <w:tc>
          <w:tcPr>
            <w:tcW w:w="1048"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D05</w:t>
            </w:r>
          </w:p>
        </w:tc>
        <w:tc>
          <w:tcPr>
            <w:tcW w:w="7371"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Availability of infrastructure and hosting environments.</w:t>
            </w:r>
          </w:p>
        </w:tc>
      </w:tr>
      <w:tr>
        <w:trPr/>
        <w:tc>
          <w:tcPr>
            <w:tcW w:w="1048"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D06</w:t>
            </w:r>
          </w:p>
        </w:tc>
        <w:tc>
          <w:tcPr>
            <w:tcW w:w="7371"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Availability of user authentication and access management services.</w:t>
            </w:r>
          </w:p>
        </w:tc>
      </w:tr>
      <w:tr>
        <w:trPr/>
        <w:tc>
          <w:tcPr>
            <w:tcW w:w="1048"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D07</w:t>
            </w:r>
          </w:p>
        </w:tc>
        <w:tc>
          <w:tcPr>
            <w:tcW w:w="7371"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User participation in testing, validation, and acceptance activities.</w:t>
            </w:r>
          </w:p>
        </w:tc>
      </w:tr>
      <w:tr>
        <w:trPr/>
        <w:tc>
          <w:tcPr>
            <w:tcW w:w="1048"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D08</w:t>
            </w:r>
          </w:p>
        </w:tc>
        <w:tc>
          <w:tcPr>
            <w:tcW w:w="7371"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Availability of compliance requirements and document standards.</w:t>
            </w:r>
          </w:p>
        </w:tc>
      </w:tr>
    </w:tbl>
    <w:p>
      <w:pPr>
        <w:pStyle w:val="Normal"/>
        <w:rPr/>
      </w:pPr>
      <w:r>
        <w:rPr/>
      </w:r>
    </w:p>
    <w:p>
      <w:pPr>
        <w:pStyle w:val="Normal"/>
        <w:rPr/>
      </w:pPr>
      <w:r>
        <w:rPr/>
      </w:r>
    </w:p>
    <w:p>
      <w:pPr>
        <w:pStyle w:val="Normal"/>
        <w:rPr/>
      </w:pPr>
      <w:r>
        <w:rPr/>
      </w:r>
    </w:p>
    <w:p>
      <w:pPr>
        <w:pStyle w:val="Heading3"/>
        <w:rPr/>
      </w:pPr>
      <w:bookmarkStart w:id="14" w:name="_Toc239804421"/>
      <w:r>
        <w:rPr/>
        <w:t>Key Architecture Decisions</w:t>
      </w:r>
      <w:bookmarkEnd w:id="14"/>
    </w:p>
    <w:p>
      <w:pPr>
        <w:pStyle w:val="Normal"/>
        <w:rPr/>
      </w:pPr>
      <w:r>
        <w:rPr/>
        <w:t>The following architecture decisions have been established to guide solution design and implementation.</w:t>
      </w:r>
    </w:p>
    <w:p>
      <w:pPr>
        <w:pStyle w:val="Normal"/>
        <w:rPr/>
      </w:pPr>
      <w:r>
        <w:rPr/>
      </w:r>
    </w:p>
    <w:tbl>
      <w:tblPr>
        <w:tblW w:w="9139" w:type="dxa"/>
        <w:jc w:val="start"/>
        <w:tblInd w:w="10" w:type="dxa"/>
        <w:tblLayout w:type="fixed"/>
        <w:tblCellMar>
          <w:top w:w="15" w:type="dxa"/>
          <w:start w:w="15" w:type="dxa"/>
          <w:bottom w:w="15" w:type="dxa"/>
          <w:end w:w="15" w:type="dxa"/>
        </w:tblCellMar>
        <w:tblLook w:noHBand="0" w:noVBand="1" w:firstColumn="1" w:lastRow="0" w:lastColumn="0" w:firstRow="1" w:val="04a0"/>
      </w:tblPr>
      <w:tblGrid>
        <w:gridCol w:w="905"/>
        <w:gridCol w:w="4013"/>
        <w:gridCol w:w="4221"/>
      </w:tblGrid>
      <w:tr>
        <w:trPr>
          <w:tblHeader w:val="true"/>
        </w:trPr>
        <w:tc>
          <w:tcPr>
            <w:tcW w:w="905" w:type="dxa"/>
            <w:tcBorders>
              <w:top w:val="single" w:sz="4" w:space="0" w:color="000000"/>
              <w:start w:val="single" w:sz="4" w:space="0" w:color="000000"/>
              <w:bottom w:val="single" w:sz="4" w:space="0" w:color="000000"/>
              <w:end w:val="single" w:sz="4" w:space="0" w:color="000000"/>
            </w:tcBorders>
            <w:shd w:color="auto" w:fill="D9D9D9" w:val="clear"/>
            <w:vAlign w:val="center"/>
          </w:tcPr>
          <w:p>
            <w:pPr>
              <w:pStyle w:val="Normal"/>
              <w:rPr>
                <w:lang w:val="en-US"/>
              </w:rPr>
            </w:pPr>
            <w:r>
              <w:rPr>
                <w:lang w:val="en-US"/>
              </w:rPr>
              <w:t>Ref</w:t>
            </w:r>
          </w:p>
        </w:tc>
        <w:tc>
          <w:tcPr>
            <w:tcW w:w="4013" w:type="dxa"/>
            <w:tcBorders>
              <w:top w:val="single" w:sz="4" w:space="0" w:color="000000"/>
              <w:start w:val="single" w:sz="4" w:space="0" w:color="000000"/>
              <w:bottom w:val="single" w:sz="4" w:space="0" w:color="000000"/>
              <w:end w:val="single" w:sz="4" w:space="0" w:color="000000"/>
            </w:tcBorders>
            <w:shd w:color="auto" w:fill="D9D9D9" w:val="clear"/>
            <w:vAlign w:val="center"/>
          </w:tcPr>
          <w:p>
            <w:pPr>
              <w:pStyle w:val="Normal"/>
              <w:rPr>
                <w:lang w:val="en-US"/>
              </w:rPr>
            </w:pPr>
            <w:r>
              <w:rPr>
                <w:lang w:val="en-US"/>
              </w:rPr>
              <w:t>Architecture Decision</w:t>
            </w:r>
          </w:p>
        </w:tc>
        <w:tc>
          <w:tcPr>
            <w:tcW w:w="4221" w:type="dxa"/>
            <w:tcBorders>
              <w:top w:val="single" w:sz="4" w:space="0" w:color="000000"/>
              <w:start w:val="single" w:sz="4" w:space="0" w:color="000000"/>
              <w:bottom w:val="single" w:sz="4" w:space="0" w:color="000000"/>
              <w:end w:val="single" w:sz="4" w:space="0" w:color="000000"/>
            </w:tcBorders>
            <w:shd w:color="auto" w:fill="D9D9D9" w:val="clear"/>
            <w:vAlign w:val="center"/>
          </w:tcPr>
          <w:p>
            <w:pPr>
              <w:pStyle w:val="Normal"/>
              <w:rPr>
                <w:lang w:val="en-US"/>
              </w:rPr>
            </w:pPr>
            <w:r>
              <w:rPr>
                <w:lang w:val="en-US"/>
              </w:rPr>
              <w:t>Rationale</w:t>
            </w:r>
          </w:p>
        </w:tc>
      </w:tr>
      <w:tr>
        <w:trPr/>
        <w:tc>
          <w:tcPr>
            <w:tcW w:w="905"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AD01</w:t>
            </w:r>
          </w:p>
        </w:tc>
        <w:tc>
          <w:tcPr>
            <w:tcW w:w="4013"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Microsoft Dynamics 365 Business Central will remain the System of Record.</w:t>
            </w:r>
          </w:p>
        </w:tc>
        <w:tc>
          <w:tcPr>
            <w:tcW w:w="4221"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Prevents duplication of transactional ownership and preserves ERP governance.</w:t>
            </w:r>
          </w:p>
        </w:tc>
      </w:tr>
      <w:tr>
        <w:trPr/>
        <w:tc>
          <w:tcPr>
            <w:tcW w:w="905"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AD02</w:t>
            </w:r>
          </w:p>
        </w:tc>
        <w:tc>
          <w:tcPr>
            <w:tcW w:w="4013"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The Procurement Intelligence &amp; Vendor Risk Platform will act as the System of Insight.</w:t>
            </w:r>
          </w:p>
        </w:tc>
        <w:tc>
          <w:tcPr>
            <w:tcW w:w="4221"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Separates operational processing from analytical and monitoring capabilities.</w:t>
            </w:r>
          </w:p>
        </w:tc>
      </w:tr>
      <w:tr>
        <w:trPr/>
        <w:tc>
          <w:tcPr>
            <w:tcW w:w="905"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AD03</w:t>
            </w:r>
          </w:p>
        </w:tc>
        <w:tc>
          <w:tcPr>
            <w:tcW w:w="4013"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The solution will be implemented as a Modular Monolithic .NET application.</w:t>
            </w:r>
          </w:p>
        </w:tc>
        <w:tc>
          <w:tcPr>
            <w:tcW w:w="4221"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Simplifies development, deployment, and maintenance while supporting future scalability.</w:t>
            </w:r>
          </w:p>
        </w:tc>
      </w:tr>
      <w:tr>
        <w:trPr/>
        <w:tc>
          <w:tcPr>
            <w:tcW w:w="905"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AD04</w:t>
            </w:r>
          </w:p>
        </w:tc>
        <w:tc>
          <w:tcPr>
            <w:tcW w:w="4013"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SQL Server will be used as the primary application database.</w:t>
            </w:r>
          </w:p>
        </w:tc>
        <w:tc>
          <w:tcPr>
            <w:tcW w:w="4221"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Aligns with Microsoft technology stack and enterprise standards.</w:t>
            </w:r>
          </w:p>
        </w:tc>
      </w:tr>
      <w:tr>
        <w:trPr/>
        <w:tc>
          <w:tcPr>
            <w:tcW w:w="905"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AD05</w:t>
            </w:r>
          </w:p>
        </w:tc>
        <w:tc>
          <w:tcPr>
            <w:tcW w:w="4013"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Integration with Business Central will use REST-based APIs.</w:t>
            </w:r>
          </w:p>
        </w:tc>
        <w:tc>
          <w:tcPr>
            <w:tcW w:w="4221"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Utilizes supported Microsoft integration mechanisms.</w:t>
            </w:r>
          </w:p>
        </w:tc>
      </w:tr>
      <w:tr>
        <w:trPr/>
        <w:tc>
          <w:tcPr>
            <w:tcW w:w="905"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AD06</w:t>
            </w:r>
          </w:p>
        </w:tc>
        <w:tc>
          <w:tcPr>
            <w:tcW w:w="4013"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The initial integration model will be read-only from Business Central to the platform.</w:t>
            </w:r>
          </w:p>
        </w:tc>
        <w:tc>
          <w:tcPr>
            <w:tcW w:w="4221"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Reduces implementation risk and protects ERP transactional integrity.</w:t>
            </w:r>
          </w:p>
        </w:tc>
      </w:tr>
      <w:tr>
        <w:trPr/>
        <w:tc>
          <w:tcPr>
            <w:tcW w:w="905"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AD07</w:t>
            </w:r>
          </w:p>
        </w:tc>
        <w:tc>
          <w:tcPr>
            <w:tcW w:w="4013"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Vendor compliance, performance, and risk data will be managed within the platform database.</w:t>
            </w:r>
          </w:p>
        </w:tc>
        <w:tc>
          <w:tcPr>
            <w:tcW w:w="4221"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Establishes clear ownership boundaries for analytical data.</w:t>
            </w:r>
          </w:p>
        </w:tc>
      </w:tr>
      <w:tr>
        <w:trPr/>
        <w:tc>
          <w:tcPr>
            <w:tcW w:w="905"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AD08</w:t>
            </w:r>
          </w:p>
        </w:tc>
        <w:tc>
          <w:tcPr>
            <w:tcW w:w="4013"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Role-Based Access Control (RBAC) will be implemented.</w:t>
            </w:r>
          </w:p>
        </w:tc>
        <w:tc>
          <w:tcPr>
            <w:tcW w:w="4221"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Supports secure access management and segregation of duties.</w:t>
            </w:r>
          </w:p>
        </w:tc>
      </w:tr>
      <w:tr>
        <w:trPr/>
        <w:tc>
          <w:tcPr>
            <w:tcW w:w="905"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AD09</w:t>
            </w:r>
          </w:p>
        </w:tc>
        <w:tc>
          <w:tcPr>
            <w:tcW w:w="4013"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All external communication will be secured using HTTPS/TLS encryption.</w:t>
            </w:r>
          </w:p>
        </w:tc>
        <w:tc>
          <w:tcPr>
            <w:tcW w:w="4221"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Ensures protection of data in transit.</w:t>
            </w:r>
          </w:p>
        </w:tc>
      </w:tr>
      <w:tr>
        <w:trPr/>
        <w:tc>
          <w:tcPr>
            <w:tcW w:w="905"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AD10</w:t>
            </w:r>
          </w:p>
        </w:tc>
        <w:tc>
          <w:tcPr>
            <w:tcW w:w="4013"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Automated notifications will be generated for compliance and risk events.</w:t>
            </w:r>
          </w:p>
        </w:tc>
        <w:tc>
          <w:tcPr>
            <w:tcW w:w="4221"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Supports proactive vendor governance and monitoring.</w:t>
            </w:r>
          </w:p>
        </w:tc>
      </w:tr>
      <w:tr>
        <w:trPr/>
        <w:tc>
          <w:tcPr>
            <w:tcW w:w="905"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AD11</w:t>
            </w:r>
          </w:p>
        </w:tc>
        <w:tc>
          <w:tcPr>
            <w:tcW w:w="4013"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The architecture will support future event-driven integration enhancements.</w:t>
            </w:r>
          </w:p>
        </w:tc>
        <w:tc>
          <w:tcPr>
            <w:tcW w:w="4221"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Enables future scalability without redesigning the core solution.</w:t>
            </w:r>
          </w:p>
        </w:tc>
      </w:tr>
      <w:tr>
        <w:trPr/>
        <w:tc>
          <w:tcPr>
            <w:tcW w:w="905"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AD12</w:t>
            </w:r>
          </w:p>
        </w:tc>
        <w:tc>
          <w:tcPr>
            <w:tcW w:w="4013"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Audit logging will be implemented for critical business actions and data changes.</w:t>
            </w:r>
          </w:p>
        </w:tc>
        <w:tc>
          <w:tcPr>
            <w:tcW w:w="4221"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Supports governance, compliance, and traceability requirements.</w:t>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r>
        <w:br w:type="page"/>
      </w:r>
    </w:p>
    <w:p>
      <w:pPr>
        <w:pStyle w:val="Heading1"/>
        <w:spacing w:before="0" w:after="120"/>
        <w:rPr>
          <w:lang w:val="en-US"/>
        </w:rPr>
      </w:pPr>
      <w:bookmarkStart w:id="15" w:name="_Toc239804422"/>
      <w:r>
        <w:rPr>
          <w:lang w:val="en-US"/>
        </w:rPr>
        <w:t>Business Context</w:t>
      </w:r>
      <w:bookmarkEnd w:id="15"/>
    </w:p>
    <w:p>
      <w:pPr>
        <w:pStyle w:val="Heading2"/>
        <w:rPr/>
      </w:pPr>
      <w:bookmarkStart w:id="16" w:name="_Toc239804423"/>
      <w:r>
        <w:rPr/>
        <w:t>Business Capabilities</w:t>
      </w:r>
      <w:bookmarkEnd w:id="16"/>
    </w:p>
    <w:p>
      <w:pPr>
        <w:pStyle w:val="Normal"/>
        <w:rPr/>
      </w:pPr>
      <w:r>
        <w:rPr/>
        <w:t>The Procurement Intelligence &amp; Vendor Risk Platform will provide business capabilities that support vendor governance, compliance management, performance monitoring, and risk management activities. These capabilities enable procurement stakeholders to make informed decisions using centralized vendor intelligence.</w:t>
      </w:r>
    </w:p>
    <w:p>
      <w:pPr>
        <w:pStyle w:val="Normal"/>
        <w:rPr/>
      </w:pPr>
      <w:r>
        <w:rPr/>
      </w:r>
    </w:p>
    <w:tbl>
      <w:tblPr>
        <w:tblW w:w="9139" w:type="dxa"/>
        <w:jc w:val="start"/>
        <w:tblInd w:w="10" w:type="dxa"/>
        <w:tblLayout w:type="fixed"/>
        <w:tblCellMar>
          <w:top w:w="15" w:type="dxa"/>
          <w:start w:w="15" w:type="dxa"/>
          <w:bottom w:w="15" w:type="dxa"/>
          <w:end w:w="15" w:type="dxa"/>
        </w:tblCellMar>
        <w:tblLook w:noHBand="0" w:noVBand="1" w:firstColumn="1" w:lastRow="0" w:lastColumn="0" w:firstRow="1" w:val="04a0"/>
      </w:tblPr>
      <w:tblGrid>
        <w:gridCol w:w="2617"/>
        <w:gridCol w:w="6522"/>
      </w:tblGrid>
      <w:tr>
        <w:trPr>
          <w:tblHeader w:val="true"/>
        </w:trPr>
        <w:tc>
          <w:tcPr>
            <w:tcW w:w="2617" w:type="dxa"/>
            <w:tcBorders>
              <w:top w:val="single" w:sz="4" w:space="0" w:color="000000"/>
              <w:start w:val="single" w:sz="4" w:space="0" w:color="000000"/>
              <w:bottom w:val="single" w:sz="4" w:space="0" w:color="000000"/>
              <w:end w:val="single" w:sz="4" w:space="0" w:color="000000"/>
            </w:tcBorders>
            <w:shd w:color="auto" w:fill="D9D9D9" w:val="clear"/>
            <w:vAlign w:val="center"/>
          </w:tcPr>
          <w:p>
            <w:pPr>
              <w:pStyle w:val="Normal"/>
              <w:rPr>
                <w:lang w:val="en-US"/>
              </w:rPr>
            </w:pPr>
            <w:r>
              <w:rPr>
                <w:lang w:val="en-US"/>
              </w:rPr>
              <w:t>Capability Area</w:t>
            </w:r>
          </w:p>
        </w:tc>
        <w:tc>
          <w:tcPr>
            <w:tcW w:w="6522" w:type="dxa"/>
            <w:tcBorders>
              <w:top w:val="single" w:sz="4" w:space="0" w:color="000000"/>
              <w:start w:val="single" w:sz="4" w:space="0" w:color="000000"/>
              <w:bottom w:val="single" w:sz="4" w:space="0" w:color="000000"/>
              <w:end w:val="single" w:sz="4" w:space="0" w:color="000000"/>
            </w:tcBorders>
            <w:shd w:color="auto" w:fill="D9D9D9" w:val="clear"/>
            <w:vAlign w:val="center"/>
          </w:tcPr>
          <w:p>
            <w:pPr>
              <w:pStyle w:val="Normal"/>
              <w:rPr>
                <w:lang w:val="en-US"/>
              </w:rPr>
            </w:pPr>
            <w:r>
              <w:rPr>
                <w:lang w:val="en-US"/>
              </w:rPr>
              <w:t>Description</w:t>
            </w:r>
          </w:p>
        </w:tc>
      </w:tr>
      <w:tr>
        <w:trPr/>
        <w:tc>
          <w:tcPr>
            <w:tcW w:w="2617"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Vendor Management</w:t>
            </w:r>
          </w:p>
        </w:tc>
        <w:tc>
          <w:tcPr>
            <w:tcW w:w="6522"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Maintain and monitor vendor profiles, classifications, and vendor-related information.</w:t>
            </w:r>
          </w:p>
        </w:tc>
      </w:tr>
      <w:tr>
        <w:trPr/>
        <w:tc>
          <w:tcPr>
            <w:tcW w:w="2617"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Vendor Compliance Management</w:t>
            </w:r>
          </w:p>
        </w:tc>
        <w:tc>
          <w:tcPr>
            <w:tcW w:w="6522"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Track compliance documents, monitor validity periods, and identify non-compliant vendors.</w:t>
            </w:r>
          </w:p>
        </w:tc>
      </w:tr>
      <w:tr>
        <w:trPr/>
        <w:tc>
          <w:tcPr>
            <w:tcW w:w="2617"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Vendor Performance Management</w:t>
            </w:r>
          </w:p>
        </w:tc>
        <w:tc>
          <w:tcPr>
            <w:tcW w:w="6522"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Measure vendor performance using standardized procurement KPIs and scorecards.</w:t>
            </w:r>
          </w:p>
        </w:tc>
      </w:tr>
      <w:tr>
        <w:trPr/>
        <w:tc>
          <w:tcPr>
            <w:tcW w:w="2617"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Vendor Risk Management</w:t>
            </w:r>
          </w:p>
        </w:tc>
        <w:tc>
          <w:tcPr>
            <w:tcW w:w="6522"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Assess and monitor vendor risk based on compliance, performance, and defined risk factors.</w:t>
            </w:r>
          </w:p>
        </w:tc>
      </w:tr>
      <w:tr>
        <w:trPr/>
        <w:tc>
          <w:tcPr>
            <w:tcW w:w="2617"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Procurement Intelligence</w:t>
            </w:r>
          </w:p>
        </w:tc>
        <w:tc>
          <w:tcPr>
            <w:tcW w:w="6522"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Generate insights, trends, and analytics to support procurement decision-making.</w:t>
            </w:r>
          </w:p>
        </w:tc>
      </w:tr>
      <w:tr>
        <w:trPr/>
        <w:tc>
          <w:tcPr>
            <w:tcW w:w="2617"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Power BI Reporting &amp; Dashboarding</w:t>
            </w:r>
          </w:p>
        </w:tc>
        <w:tc>
          <w:tcPr>
            <w:tcW w:w="6522"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Provide operational and management reporting through dashboards and visualizations.</w:t>
            </w:r>
          </w:p>
        </w:tc>
      </w:tr>
      <w:tr>
        <w:trPr/>
        <w:tc>
          <w:tcPr>
            <w:tcW w:w="2617"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Alert &amp; Notification Management</w:t>
            </w:r>
          </w:p>
        </w:tc>
        <w:tc>
          <w:tcPr>
            <w:tcW w:w="6522"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Generate automated alerts for compliance expiries, risk events, and performance issues.</w:t>
            </w:r>
          </w:p>
        </w:tc>
      </w:tr>
      <w:tr>
        <w:trPr/>
        <w:tc>
          <w:tcPr>
            <w:tcW w:w="2617"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Audit &amp; Governance</w:t>
            </w:r>
          </w:p>
        </w:tc>
        <w:tc>
          <w:tcPr>
            <w:tcW w:w="6522"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Maintain historical records, audit trails, and governance information for vendor management activities.</w:t>
            </w:r>
          </w:p>
        </w:tc>
      </w:tr>
    </w:tbl>
    <w:p>
      <w:pPr>
        <w:pStyle w:val="Normal"/>
        <w:rPr/>
      </w:pPr>
      <w:r>
        <w:rPr/>
      </w:r>
    </w:p>
    <w:p>
      <w:pPr>
        <w:pStyle w:val="Normal"/>
        <w:rPr/>
      </w:pPr>
      <w:r>
        <w:rPr/>
      </w:r>
    </w:p>
    <w:p>
      <w:pPr>
        <w:pStyle w:val="Heading2"/>
        <w:rPr/>
      </w:pPr>
      <w:bookmarkStart w:id="17" w:name="_Toc239804424"/>
      <w:r>
        <w:rPr/>
        <w:t>Key Business Requirements</w:t>
      </w:r>
      <w:bookmarkEnd w:id="17"/>
    </w:p>
    <w:p>
      <w:pPr>
        <w:pStyle w:val="Normal"/>
        <w:rPr/>
      </w:pPr>
      <w:r>
        <w:rPr/>
        <w:t>The following business requirements have been identified as critical to achieving the objectives of the solution.</w:t>
      </w:r>
    </w:p>
    <w:p>
      <w:pPr>
        <w:pStyle w:val="Normal"/>
        <w:rPr/>
      </w:pPr>
      <w:r>
        <w:rPr/>
      </w:r>
    </w:p>
    <w:tbl>
      <w:tblPr>
        <w:tblW w:w="8810" w:type="dxa"/>
        <w:jc w:val="start"/>
        <w:tblInd w:w="10" w:type="dxa"/>
        <w:tblLayout w:type="fixed"/>
        <w:tblCellMar>
          <w:top w:w="15" w:type="dxa"/>
          <w:start w:w="15" w:type="dxa"/>
          <w:bottom w:w="15" w:type="dxa"/>
          <w:end w:w="15" w:type="dxa"/>
        </w:tblCellMar>
        <w:tblLook w:noHBand="0" w:noVBand="1" w:firstColumn="1" w:lastRow="0" w:lastColumn="0" w:firstRow="1" w:val="04a0"/>
      </w:tblPr>
      <w:tblGrid>
        <w:gridCol w:w="905"/>
        <w:gridCol w:w="7905"/>
      </w:tblGrid>
      <w:tr>
        <w:trPr>
          <w:tblHeader w:val="true"/>
        </w:trPr>
        <w:tc>
          <w:tcPr>
            <w:tcW w:w="905" w:type="dxa"/>
            <w:tcBorders>
              <w:top w:val="single" w:sz="4" w:space="0" w:color="000000"/>
              <w:start w:val="single" w:sz="4" w:space="0" w:color="000000"/>
              <w:bottom w:val="single" w:sz="4" w:space="0" w:color="000000"/>
              <w:end w:val="single" w:sz="4" w:space="0" w:color="000000"/>
            </w:tcBorders>
            <w:shd w:color="auto" w:fill="D9D9D9" w:val="clear"/>
            <w:vAlign w:val="center"/>
          </w:tcPr>
          <w:p>
            <w:pPr>
              <w:pStyle w:val="Normal"/>
              <w:jc w:val="center"/>
              <w:rPr>
                <w:b/>
                <w:bCs/>
                <w:lang w:val="en-US"/>
              </w:rPr>
            </w:pPr>
            <w:r>
              <w:rPr>
                <w:b/>
                <w:bCs/>
                <w:lang w:val="en-US"/>
              </w:rPr>
              <w:t>ID</w:t>
            </w:r>
          </w:p>
        </w:tc>
        <w:tc>
          <w:tcPr>
            <w:tcW w:w="7905" w:type="dxa"/>
            <w:tcBorders>
              <w:top w:val="single" w:sz="4" w:space="0" w:color="000000"/>
              <w:start w:val="single" w:sz="4" w:space="0" w:color="000000"/>
              <w:bottom w:val="single" w:sz="4" w:space="0" w:color="000000"/>
              <w:end w:val="single" w:sz="4" w:space="0" w:color="000000"/>
            </w:tcBorders>
            <w:shd w:color="auto" w:fill="D9D9D9" w:val="clear"/>
            <w:vAlign w:val="center"/>
          </w:tcPr>
          <w:p>
            <w:pPr>
              <w:pStyle w:val="Normal"/>
              <w:jc w:val="center"/>
              <w:rPr>
                <w:b/>
                <w:bCs/>
                <w:lang w:val="en-US"/>
              </w:rPr>
            </w:pPr>
            <w:r>
              <w:rPr>
                <w:b/>
                <w:bCs/>
                <w:lang w:val="en-US"/>
              </w:rPr>
              <w:t>Business Requirement</w:t>
            </w:r>
          </w:p>
        </w:tc>
      </w:tr>
      <w:tr>
        <w:trPr/>
        <w:tc>
          <w:tcPr>
            <w:tcW w:w="905"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BR01</w:t>
            </w:r>
          </w:p>
        </w:tc>
        <w:tc>
          <w:tcPr>
            <w:tcW w:w="7905"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The business shall maintain a centralized view of vendor information.</w:t>
            </w:r>
          </w:p>
        </w:tc>
      </w:tr>
      <w:tr>
        <w:trPr/>
        <w:tc>
          <w:tcPr>
            <w:tcW w:w="905"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BR02</w:t>
            </w:r>
          </w:p>
        </w:tc>
        <w:tc>
          <w:tcPr>
            <w:tcW w:w="7905"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The business shall monitor vendor compliance status and document validity.</w:t>
            </w:r>
          </w:p>
        </w:tc>
      </w:tr>
      <w:tr>
        <w:trPr/>
        <w:tc>
          <w:tcPr>
            <w:tcW w:w="905"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BR03</w:t>
            </w:r>
          </w:p>
        </w:tc>
        <w:tc>
          <w:tcPr>
            <w:tcW w:w="7905"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The business shall receive proactive alerts for expiring compliance documents.</w:t>
            </w:r>
          </w:p>
        </w:tc>
      </w:tr>
      <w:tr>
        <w:trPr/>
        <w:tc>
          <w:tcPr>
            <w:tcW w:w="905"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BR04</w:t>
            </w:r>
          </w:p>
        </w:tc>
        <w:tc>
          <w:tcPr>
            <w:tcW w:w="7905"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The business shall measure vendor performance using defined KPIs.</w:t>
            </w:r>
          </w:p>
        </w:tc>
      </w:tr>
      <w:tr>
        <w:trPr/>
        <w:tc>
          <w:tcPr>
            <w:tcW w:w="905"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BR05</w:t>
            </w:r>
          </w:p>
        </w:tc>
        <w:tc>
          <w:tcPr>
            <w:tcW w:w="7905"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The business shall evaluate vendors using a standardized risk assessment framework.</w:t>
            </w:r>
          </w:p>
        </w:tc>
      </w:tr>
      <w:tr>
        <w:trPr/>
        <w:tc>
          <w:tcPr>
            <w:tcW w:w="905"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BR06</w:t>
            </w:r>
          </w:p>
        </w:tc>
        <w:tc>
          <w:tcPr>
            <w:tcW w:w="7905"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The business shall identify high-risk vendors for corrective action.</w:t>
            </w:r>
          </w:p>
        </w:tc>
      </w:tr>
      <w:tr>
        <w:trPr/>
        <w:tc>
          <w:tcPr>
            <w:tcW w:w="905"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BR07</w:t>
            </w:r>
          </w:p>
        </w:tc>
        <w:tc>
          <w:tcPr>
            <w:tcW w:w="7905"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Management shall have access to vendor performance, compliance, and risk dashboards.</w:t>
            </w:r>
          </w:p>
        </w:tc>
      </w:tr>
      <w:tr>
        <w:trPr/>
        <w:tc>
          <w:tcPr>
            <w:tcW w:w="905"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BR08</w:t>
            </w:r>
          </w:p>
        </w:tc>
        <w:tc>
          <w:tcPr>
            <w:tcW w:w="7905"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The solution shall maintain historical vendor performance and risk information.</w:t>
            </w:r>
          </w:p>
        </w:tc>
      </w:tr>
      <w:tr>
        <w:trPr/>
        <w:tc>
          <w:tcPr>
            <w:tcW w:w="905"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BR09</w:t>
            </w:r>
          </w:p>
        </w:tc>
        <w:tc>
          <w:tcPr>
            <w:tcW w:w="7905"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Vendor-related activities and changes shall be auditable.</w:t>
            </w:r>
          </w:p>
        </w:tc>
      </w:tr>
      <w:tr>
        <w:trPr/>
        <w:tc>
          <w:tcPr>
            <w:tcW w:w="905"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BR10</w:t>
            </w:r>
          </w:p>
        </w:tc>
        <w:tc>
          <w:tcPr>
            <w:tcW w:w="7905"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Procurement users shall be able to generate management reports and operational insights.</w:t>
            </w:r>
          </w:p>
        </w:tc>
      </w:tr>
      <w:tr>
        <w:trPr/>
        <w:tc>
          <w:tcPr>
            <w:tcW w:w="905"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BR11</w:t>
            </w:r>
          </w:p>
        </w:tc>
        <w:tc>
          <w:tcPr>
            <w:tcW w:w="7905"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Vendor risk assessments shall be based on defined business rules and measurable criteria.</w:t>
            </w:r>
          </w:p>
        </w:tc>
      </w:tr>
      <w:tr>
        <w:trPr/>
        <w:tc>
          <w:tcPr>
            <w:tcW w:w="905"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BR12</w:t>
            </w:r>
          </w:p>
        </w:tc>
        <w:tc>
          <w:tcPr>
            <w:tcW w:w="7905"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The solution shall support data-driven procurement decision-making.</w:t>
            </w:r>
          </w:p>
        </w:tc>
      </w:tr>
    </w:tbl>
    <w:p>
      <w:pPr>
        <w:pStyle w:val="Normal"/>
        <w:rPr/>
      </w:pPr>
      <w:r>
        <w:rPr/>
      </w:r>
    </w:p>
    <w:p>
      <w:pPr>
        <w:pStyle w:val="Normal"/>
        <w:rPr/>
      </w:pPr>
      <w:r>
        <w:rPr/>
      </w:r>
      <w:r>
        <w:br w:type="page"/>
      </w:r>
    </w:p>
    <w:p>
      <w:pPr>
        <w:pStyle w:val="Normal"/>
        <w:spacing w:before="0" w:after="0"/>
        <w:rPr/>
      </w:pPr>
      <w:r>
        <w:rPr/>
      </w:r>
    </w:p>
    <w:p>
      <w:pPr>
        <w:pStyle w:val="Heading3"/>
        <w:rPr/>
      </w:pPr>
      <w:bookmarkStart w:id="18" w:name="_Toc239804425"/>
      <w:r>
        <w:rPr/>
        <w:t>Key Business Processes</w:t>
      </w:r>
      <w:bookmarkEnd w:id="18"/>
    </w:p>
    <w:p>
      <w:pPr>
        <w:pStyle w:val="Normal"/>
        <w:rPr/>
      </w:pPr>
      <w:r>
        <w:rPr/>
        <w:t>The solution supports the following key business processes.</w:t>
      </w:r>
    </w:p>
    <w:p>
      <w:pPr>
        <w:pStyle w:val="Normal"/>
        <w:rPr>
          <w:b/>
          <w:bCs/>
        </w:rPr>
      </w:pPr>
      <w:r>
        <w:rPr/>
        <w:br/>
      </w:r>
      <w:r>
        <w:rPr>
          <w:b/>
          <w:bCs/>
          <w:highlight w:val="yellow"/>
        </w:rPr>
        <w:t>High-Level Flow</w:t>
      </w:r>
      <w:r>
        <w:rPr>
          <w:b/>
          <w:bCs/>
        </w:rPr>
        <w:br/>
      </w:r>
    </w:p>
    <w:p>
      <w:pPr>
        <w:pStyle w:val="Normal"/>
        <w:rPr>
          <w:b/>
          <w:bCs/>
        </w:rPr>
      </w:pPr>
      <w:r>
        <w:rPr>
          <w:b/>
          <w:bCs/>
        </w:rPr>
        <w:t>Vendor Data Synchronization</w:t>
      </w:r>
    </w:p>
    <w:p>
      <w:pPr>
        <w:pStyle w:val="Normal"/>
        <w:rPr>
          <w:lang w:val="en-US"/>
        </w:rPr>
      </w:pPr>
      <w:r>
        <w:rPr>
          <w:b/>
          <w:bCs/>
          <w:lang w:val="en-US"/>
        </w:rPr>
        <w:t>Purpose</w:t>
      </w:r>
      <w:r>
        <w:rPr>
          <w:lang w:val="en-US"/>
        </w:rPr>
        <w:t>: Maintain synchronized vendor and procurement data between Microsoft Dynamics 365 Business Central and the Procurement Intelligence Platform.</w:t>
      </w:r>
    </w:p>
    <w:p>
      <w:pPr>
        <w:pStyle w:val="Normal"/>
        <w:rPr>
          <w:b/>
          <w:bCs/>
        </w:rPr>
      </w:pPr>
      <w:r>
        <w:rPr>
          <w:b/>
          <w:bCs/>
        </w:rPr>
      </w:r>
    </w:p>
    <w:p>
      <w:pPr>
        <w:pStyle w:val="Normal"/>
        <w:rPr>
          <w:b/>
          <w:bCs/>
        </w:rPr>
      </w:pPr>
      <w:r>
        <w:rPr>
          <w:b/>
          <w:bCs/>
        </w:rPr>
        <w:drawing>
          <wp:anchor distT="0" distB="0" distL="114300" distR="114300" simplePos="0" relativeHeight="7" behindDoc="0" locked="0" layoutInCell="0" allowOverlap="1">
            <wp:simplePos x="0" y="0"/>
            <wp:positionH relativeFrom="column">
              <wp:posOffset>1146810</wp:posOffset>
            </wp:positionH>
            <wp:positionV relativeFrom="paragraph">
              <wp:posOffset>121920</wp:posOffset>
            </wp:positionV>
            <wp:extent cx="3429000" cy="6515100"/>
            <wp:effectExtent l="0" t="0" r="0" b="0"/>
            <wp:wrapTight wrapText="bothSides">
              <wp:wrapPolygon edited="0">
                <wp:start x="-118" y="-62"/>
                <wp:lineTo x="-118" y="21598"/>
                <wp:lineTo x="21600" y="21598"/>
                <wp:lineTo x="21600" y="-62"/>
                <wp:lineTo x="-118" y="-62"/>
              </wp:wrapPolygon>
            </wp:wrapTigh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9"/>
                    <a:stretch>
                      <a:fillRect/>
                    </a:stretch>
                  </pic:blipFill>
                  <pic:spPr bwMode="auto">
                    <a:xfrm>
                      <a:off x="0" y="0"/>
                      <a:ext cx="3429000" cy="6515100"/>
                    </a:xfrm>
                    <a:prstGeom prst="rect">
                      <a:avLst/>
                    </a:prstGeom>
                    <a:noFill/>
                  </pic:spPr>
                </pic:pic>
              </a:graphicData>
            </a:graphic>
          </wp:anchor>
        </w:drawing>
      </w:r>
    </w:p>
    <w:p>
      <w:pPr>
        <w:pStyle w:val="Normal"/>
        <w:rPr>
          <w:b/>
          <w:bCs/>
        </w:rPr>
      </w:pPr>
      <w:r>
        <w:rPr>
          <w:b/>
          <w:bCs/>
        </w:rPr>
      </w:r>
      <w:r>
        <w:br w:type="page"/>
      </w:r>
    </w:p>
    <w:p>
      <w:pPr>
        <w:pStyle w:val="Normal"/>
        <w:rPr>
          <w:b/>
          <w:bCs/>
        </w:rPr>
      </w:pPr>
      <w:r>
        <w:rPr>
          <w:b/>
          <w:bCs/>
          <w:sz w:val="24"/>
          <w:szCs w:val="24"/>
        </w:rPr>
        <w:t>Vendor Compliance Management</w:t>
      </w:r>
    </w:p>
    <w:p>
      <w:pPr>
        <w:pStyle w:val="Normal"/>
        <w:rPr>
          <w:lang w:val="en-US"/>
        </w:rPr>
      </w:pPr>
      <w:r>
        <w:rPr>
          <w:b/>
          <w:bCs/>
          <w:lang w:val="en-US"/>
        </w:rPr>
        <w:t>Purpose:</w:t>
      </w:r>
      <w:r>
        <w:rPr>
          <w:lang w:val="en-US"/>
        </w:rPr>
        <w:t xml:space="preserve"> Maintain an accurate and up-to-date vendor repository.</w:t>
      </w:r>
    </w:p>
    <w:p>
      <w:pPr>
        <w:pStyle w:val="Normal"/>
        <w:rPr/>
      </w:pPr>
      <w:r>
        <w:rPr/>
      </w:r>
    </w:p>
    <w:p>
      <w:pPr>
        <w:pStyle w:val="Normal"/>
        <w:rPr/>
      </w:pPr>
      <w:r>
        <w:rPr/>
        <w:drawing>
          <wp:anchor distT="0" distB="0" distL="114300" distR="114300" simplePos="0" relativeHeight="4" behindDoc="0" locked="0" layoutInCell="0" allowOverlap="1">
            <wp:simplePos x="0" y="0"/>
            <wp:positionH relativeFrom="column">
              <wp:posOffset>981075</wp:posOffset>
            </wp:positionH>
            <wp:positionV relativeFrom="paragraph">
              <wp:posOffset>12065</wp:posOffset>
            </wp:positionV>
            <wp:extent cx="3771900" cy="6309360"/>
            <wp:effectExtent l="0" t="0" r="0" b="0"/>
            <wp:wrapTight wrapText="bothSides">
              <wp:wrapPolygon edited="0">
                <wp:start x="-107" y="-64"/>
                <wp:lineTo x="-107" y="21586"/>
                <wp:lineTo x="21600" y="21586"/>
                <wp:lineTo x="21600" y="-64"/>
                <wp:lineTo x="-107" y="-64"/>
              </wp:wrapPolygon>
            </wp:wrapTigh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0"/>
                    <a:stretch>
                      <a:fillRect/>
                    </a:stretch>
                  </pic:blipFill>
                  <pic:spPr bwMode="auto">
                    <a:xfrm>
                      <a:off x="0" y="0"/>
                      <a:ext cx="3771900" cy="6309360"/>
                    </a:xfrm>
                    <a:prstGeom prst="rect">
                      <a:avLst/>
                    </a:prstGeom>
                    <a:noFill/>
                  </pic:spPr>
                </pic:pic>
              </a:graphicData>
            </a:graphic>
          </wp:anchor>
        </w:drawing>
      </w:r>
    </w:p>
    <w:p>
      <w:pPr>
        <w:pStyle w:val="Normal"/>
        <w:rPr/>
      </w:pPr>
      <w:r>
        <w:rPr/>
      </w:r>
    </w:p>
    <w:p>
      <w:pPr>
        <w:pStyle w:val="Normal"/>
        <w:rPr>
          <w:lang w:val="en-US"/>
        </w:rPr>
      </w:pPr>
      <w:r>
        <w:rPr>
          <w:lang w:val="en-US"/>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b/>
          <w:bCs/>
          <w:sz w:val="24"/>
          <w:szCs w:val="24"/>
        </w:rPr>
      </w:pPr>
      <w:r>
        <w:rPr>
          <w:b/>
          <w:bCs/>
          <w:sz w:val="24"/>
          <w:szCs w:val="24"/>
        </w:rPr>
      </w:r>
      <w:r>
        <w:br w:type="page"/>
      </w:r>
    </w:p>
    <w:p>
      <w:pPr>
        <w:pStyle w:val="Normal"/>
        <w:spacing w:before="0" w:after="0"/>
        <w:rPr>
          <w:b/>
          <w:bCs/>
          <w:sz w:val="24"/>
          <w:szCs w:val="24"/>
        </w:rPr>
      </w:pPr>
      <w:r>
        <w:rPr>
          <w:b/>
          <w:bCs/>
          <w:sz w:val="24"/>
          <w:szCs w:val="24"/>
        </w:rPr>
        <w:t>Vendor Performance Evaluation</w:t>
      </w:r>
    </w:p>
    <w:p>
      <w:pPr>
        <w:pStyle w:val="Normal"/>
        <w:rPr>
          <w:lang w:val="en-US"/>
        </w:rPr>
      </w:pPr>
      <w:r>
        <w:rPr>
          <w:b/>
          <w:bCs/>
          <w:lang w:val="en-US"/>
        </w:rPr>
        <w:t>Purpose:</w:t>
      </w:r>
      <w:r>
        <w:rPr>
          <w:lang w:val="en-US"/>
        </w:rPr>
        <w:t xml:space="preserve"> Measure vendor performance using procurement KPIs.</w:t>
      </w:r>
    </w:p>
    <w:p>
      <w:pPr>
        <w:pStyle w:val="Normal"/>
        <w:rPr/>
      </w:pPr>
      <w:r>
        <w:rPr/>
      </w:r>
    </w:p>
    <w:p>
      <w:pPr>
        <w:pStyle w:val="Normal"/>
        <w:rPr/>
      </w:pPr>
      <w:r>
        <w:rPr/>
        <w:drawing>
          <wp:anchor distT="0" distB="0" distL="114300" distR="114300" simplePos="0" relativeHeight="5" behindDoc="0" locked="0" layoutInCell="0" allowOverlap="1">
            <wp:simplePos x="0" y="0"/>
            <wp:positionH relativeFrom="column">
              <wp:posOffset>2128520</wp:posOffset>
            </wp:positionH>
            <wp:positionV relativeFrom="paragraph">
              <wp:posOffset>64770</wp:posOffset>
            </wp:positionV>
            <wp:extent cx="1144905" cy="5363210"/>
            <wp:effectExtent l="0" t="0" r="0" b="0"/>
            <wp:wrapTight wrapText="bothSides">
              <wp:wrapPolygon edited="0">
                <wp:start x="-356" y="-77"/>
                <wp:lineTo x="-356" y="21562"/>
                <wp:lineTo x="21565" y="21562"/>
                <wp:lineTo x="21565" y="-77"/>
                <wp:lineTo x="-356" y="-77"/>
              </wp:wrapPolygon>
            </wp:wrapTight>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11"/>
                    <a:stretch>
                      <a:fillRect/>
                    </a:stretch>
                  </pic:blipFill>
                  <pic:spPr bwMode="auto">
                    <a:xfrm>
                      <a:off x="0" y="0"/>
                      <a:ext cx="1144905" cy="5363210"/>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r>
        <w:br w:type="page"/>
      </w:r>
    </w:p>
    <w:p>
      <w:pPr>
        <w:pStyle w:val="Normal"/>
        <w:spacing w:before="0" w:after="0"/>
        <w:rPr>
          <w:b/>
          <w:bCs/>
          <w:sz w:val="24"/>
          <w:szCs w:val="24"/>
        </w:rPr>
      </w:pPr>
      <w:r>
        <w:rPr>
          <w:b/>
          <w:bCs/>
          <w:sz w:val="24"/>
          <w:szCs w:val="24"/>
        </w:rPr>
        <w:t>Vendor Risk Assessment</w:t>
      </w:r>
    </w:p>
    <w:p>
      <w:pPr>
        <w:pStyle w:val="Normal"/>
        <w:rPr>
          <w:lang w:val="en-US"/>
        </w:rPr>
      </w:pPr>
      <w:r>
        <w:rPr>
          <w:b/>
          <w:bCs/>
          <w:lang w:val="en-US"/>
        </w:rPr>
        <w:t>Purpose:</w:t>
      </w:r>
      <w:r>
        <w:rPr>
          <w:lang w:val="en-US"/>
        </w:rPr>
        <w:t xml:space="preserve"> Identify and classify vendor risk levels.</w:t>
      </w:r>
    </w:p>
    <w:p>
      <w:pPr>
        <w:pStyle w:val="Normal"/>
        <w:rPr>
          <w:sz w:val="24"/>
          <w:szCs w:val="24"/>
        </w:rPr>
      </w:pPr>
      <w:r>
        <w:rPr>
          <w:sz w:val="24"/>
          <w:szCs w:val="24"/>
        </w:rPr>
      </w:r>
    </w:p>
    <w:p>
      <w:pPr>
        <w:pStyle w:val="Normal"/>
        <w:rPr>
          <w:sz w:val="24"/>
          <w:szCs w:val="24"/>
        </w:rPr>
      </w:pPr>
      <w:r>
        <w:rPr>
          <w:sz w:val="24"/>
          <w:szCs w:val="24"/>
        </w:rPr>
        <w:drawing>
          <wp:anchor distT="0" distB="0" distL="114300" distR="114300" simplePos="0" relativeHeight="6" behindDoc="0" locked="0" layoutInCell="0" allowOverlap="1">
            <wp:simplePos x="0" y="0"/>
            <wp:positionH relativeFrom="column">
              <wp:posOffset>1318895</wp:posOffset>
            </wp:positionH>
            <wp:positionV relativeFrom="paragraph">
              <wp:posOffset>12065</wp:posOffset>
            </wp:positionV>
            <wp:extent cx="3086100" cy="5486400"/>
            <wp:effectExtent l="0" t="0" r="0" b="0"/>
            <wp:wrapTight wrapText="bothSides">
              <wp:wrapPolygon edited="0">
                <wp:start x="-131" y="-74"/>
                <wp:lineTo x="-131" y="21599"/>
                <wp:lineTo x="21600" y="21599"/>
                <wp:lineTo x="21600" y="-74"/>
                <wp:lineTo x="-131" y="-74"/>
              </wp:wrapPolygon>
            </wp:wrapTight>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noChangeArrowheads="1"/>
                    </pic:cNvPicPr>
                  </pic:nvPicPr>
                  <pic:blipFill>
                    <a:blip r:embed="rId12"/>
                    <a:stretch>
                      <a:fillRect/>
                    </a:stretch>
                  </pic:blipFill>
                  <pic:spPr bwMode="auto">
                    <a:xfrm>
                      <a:off x="0" y="0"/>
                      <a:ext cx="3086100" cy="5486400"/>
                    </a:xfrm>
                    <a:prstGeom prst="rect">
                      <a:avLst/>
                    </a:prstGeom>
                    <a:noFill/>
                  </pic:spPr>
                </pic:pic>
              </a:graphicData>
            </a:graphic>
          </wp:anchor>
        </w:drawing>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r>
        <w:br w:type="page"/>
      </w:r>
    </w:p>
    <w:p>
      <w:pPr>
        <w:pStyle w:val="Normal"/>
        <w:spacing w:before="0" w:after="0"/>
        <w:rPr>
          <w:b/>
          <w:bCs/>
          <w:sz w:val="24"/>
          <w:szCs w:val="24"/>
        </w:rPr>
      </w:pPr>
      <w:r>
        <w:rPr>
          <w:b/>
          <w:bCs/>
          <w:sz w:val="24"/>
          <w:szCs w:val="24"/>
        </w:rPr>
        <w:t>Power BI Reporting &amp; Alert Management</w:t>
      </w:r>
    </w:p>
    <w:p>
      <w:pPr>
        <w:pStyle w:val="Normal"/>
        <w:rPr/>
      </w:pPr>
      <w:r>
        <w:rPr>
          <w:b/>
          <w:bCs/>
        </w:rPr>
        <w:t>Purpose</w:t>
      </w:r>
      <w:r>
        <w:rPr/>
        <w:t>: Provide visibility into vendor compliance, performance, and risk information while proactively notifying stakeholders of critical events.</w:t>
      </w:r>
    </w:p>
    <w:p>
      <w:pPr>
        <w:pStyle w:val="Normal"/>
        <w:rPr/>
      </w:pPr>
      <w:r>
        <w:rPr/>
      </w:r>
    </w:p>
    <w:p>
      <w:pPr>
        <w:pStyle w:val="Normal"/>
        <w:rPr/>
      </w:pPr>
      <w:r>
        <w:rPr/>
        <w:drawing>
          <wp:anchor distT="0" distB="0" distL="114300" distR="114300" simplePos="0" relativeHeight="8" behindDoc="0" locked="0" layoutInCell="0" allowOverlap="1">
            <wp:simplePos x="0" y="0"/>
            <wp:positionH relativeFrom="column">
              <wp:posOffset>1146810</wp:posOffset>
            </wp:positionH>
            <wp:positionV relativeFrom="paragraph">
              <wp:posOffset>6985</wp:posOffset>
            </wp:positionV>
            <wp:extent cx="3429000" cy="5829300"/>
            <wp:effectExtent l="0" t="0" r="0" b="0"/>
            <wp:wrapTight wrapText="bothSides">
              <wp:wrapPolygon edited="0">
                <wp:start x="-118" y="-69"/>
                <wp:lineTo x="-118" y="21599"/>
                <wp:lineTo x="21600" y="21599"/>
                <wp:lineTo x="21600" y="-69"/>
                <wp:lineTo x="-118" y="-69"/>
              </wp:wrapPolygon>
            </wp:wrapTight>
            <wp:docPr id="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noChangeArrowheads="1"/>
                    </pic:cNvPicPr>
                  </pic:nvPicPr>
                  <pic:blipFill>
                    <a:blip r:embed="rId13"/>
                    <a:stretch>
                      <a:fillRect/>
                    </a:stretch>
                  </pic:blipFill>
                  <pic:spPr bwMode="auto">
                    <a:xfrm>
                      <a:off x="0" y="0"/>
                      <a:ext cx="3429000" cy="5829300"/>
                    </a:xfrm>
                    <a:prstGeom prst="rect">
                      <a:avLst/>
                    </a:prstGeom>
                    <a:noFill/>
                  </pic:spPr>
                </pic:pic>
              </a:graphicData>
            </a:graphic>
          </wp:anchor>
        </w:drawing>
      </w:r>
      <w:r>
        <w:br w:type="page"/>
      </w:r>
    </w:p>
    <w:p>
      <w:pPr>
        <w:pStyle w:val="Normal"/>
        <w:spacing w:before="0" w:after="0"/>
        <w:rPr>
          <w:b/>
          <w:bCs/>
          <w:sz w:val="24"/>
          <w:szCs w:val="24"/>
        </w:rPr>
      </w:pPr>
      <w:r>
        <w:rPr>
          <w:b/>
          <w:bCs/>
          <w:sz w:val="24"/>
          <w:szCs w:val="24"/>
        </w:rPr>
        <w:t>Vendor Governance Review</w:t>
      </w:r>
    </w:p>
    <w:p>
      <w:pPr>
        <w:pStyle w:val="Normal"/>
        <w:rPr>
          <w:lang w:val="en-US"/>
        </w:rPr>
      </w:pPr>
      <w:r>
        <w:rPr>
          <w:b/>
          <w:bCs/>
          <w:lang w:val="en-US"/>
        </w:rPr>
        <w:t>Purpose:</w:t>
      </w:r>
      <w:r>
        <w:rPr>
          <w:lang w:val="en-US"/>
        </w:rPr>
        <w:t xml:space="preserve"> Enable management to review vendor performance, compliance, and risk status and determine appropriate corrective actions.</w:t>
      </w:r>
    </w:p>
    <w:p>
      <w:pPr>
        <w:pStyle w:val="Normal"/>
        <w:rPr/>
      </w:pPr>
      <w:r>
        <w:rPr/>
      </w:r>
    </w:p>
    <w:p>
      <w:pPr>
        <w:pStyle w:val="Normal"/>
        <w:rPr/>
      </w:pPr>
      <w:r>
        <w:rPr/>
        <w:drawing>
          <wp:anchor distT="0" distB="0" distL="114300" distR="114300" simplePos="0" relativeHeight="9" behindDoc="0" locked="0" layoutInCell="0" allowOverlap="1">
            <wp:simplePos x="0" y="0"/>
            <wp:positionH relativeFrom="column">
              <wp:posOffset>577215</wp:posOffset>
            </wp:positionH>
            <wp:positionV relativeFrom="paragraph">
              <wp:posOffset>74295</wp:posOffset>
            </wp:positionV>
            <wp:extent cx="4572000" cy="7772400"/>
            <wp:effectExtent l="0" t="0" r="0" b="0"/>
            <wp:wrapTight wrapText="bothSides">
              <wp:wrapPolygon edited="0">
                <wp:start x="-89" y="-52"/>
                <wp:lineTo x="-89" y="21599"/>
                <wp:lineTo x="21600" y="21599"/>
                <wp:lineTo x="21600" y="-52"/>
                <wp:lineTo x="-89" y="-52"/>
              </wp:wrapPolygon>
            </wp:wrapTight>
            <wp:docPr id="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pic:cNvPicPr>
                      <a:picLocks noChangeAspect="1" noChangeArrowheads="1"/>
                    </pic:cNvPicPr>
                  </pic:nvPicPr>
                  <pic:blipFill>
                    <a:blip r:embed="rId14"/>
                    <a:stretch>
                      <a:fillRect/>
                    </a:stretch>
                  </pic:blipFill>
                  <pic:spPr bwMode="auto">
                    <a:xfrm>
                      <a:off x="0" y="0"/>
                      <a:ext cx="4572000" cy="7772400"/>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r>
        <w:br w:type="page"/>
      </w:r>
    </w:p>
    <w:p>
      <w:pPr>
        <w:pStyle w:val="Heading3"/>
        <w:spacing w:before="0" w:after="120"/>
        <w:rPr/>
      </w:pPr>
      <w:bookmarkStart w:id="19" w:name="_Toc239804426"/>
      <w:r>
        <w:rPr/>
        <w:t>Business Users</w:t>
      </w:r>
      <w:bookmarkEnd w:id="19"/>
    </w:p>
    <w:p>
      <w:pPr>
        <w:pStyle w:val="Normal"/>
        <w:rPr/>
      </w:pPr>
      <w:r>
        <w:rPr/>
        <w:t>The following business users will interact with the solution.</w:t>
      </w:r>
    </w:p>
    <w:p>
      <w:pPr>
        <w:pStyle w:val="Normal"/>
        <w:rPr/>
      </w:pPr>
      <w:r>
        <w:rPr/>
      </w:r>
    </w:p>
    <w:tbl>
      <w:tblPr>
        <w:tblW w:w="9139" w:type="dxa"/>
        <w:jc w:val="start"/>
        <w:tblInd w:w="10" w:type="dxa"/>
        <w:tblLayout w:type="fixed"/>
        <w:tblCellMar>
          <w:top w:w="15" w:type="dxa"/>
          <w:start w:w="15" w:type="dxa"/>
          <w:bottom w:w="15" w:type="dxa"/>
          <w:end w:w="15" w:type="dxa"/>
        </w:tblCellMar>
        <w:tblLook w:noHBand="0" w:noVBand="1" w:firstColumn="1" w:lastRow="0" w:lastColumn="0" w:firstRow="1" w:val="04a0"/>
      </w:tblPr>
      <w:tblGrid>
        <w:gridCol w:w="1989"/>
        <w:gridCol w:w="7150"/>
      </w:tblGrid>
      <w:tr>
        <w:trPr>
          <w:tblHeader w:val="true"/>
        </w:trPr>
        <w:tc>
          <w:tcPr>
            <w:tcW w:w="1989" w:type="dxa"/>
            <w:tcBorders>
              <w:top w:val="single" w:sz="4" w:space="0" w:color="000000"/>
              <w:start w:val="single" w:sz="4" w:space="0" w:color="000000"/>
              <w:bottom w:val="single" w:sz="4" w:space="0" w:color="000000"/>
              <w:end w:val="single" w:sz="4" w:space="0" w:color="000000"/>
            </w:tcBorders>
            <w:shd w:color="auto" w:fill="D9D9D9" w:val="clear"/>
            <w:vAlign w:val="center"/>
          </w:tcPr>
          <w:p>
            <w:pPr>
              <w:pStyle w:val="Normal"/>
              <w:jc w:val="center"/>
              <w:rPr>
                <w:b/>
                <w:bCs/>
                <w:lang w:val="en-US"/>
              </w:rPr>
            </w:pPr>
            <w:r>
              <w:rPr>
                <w:b/>
                <w:bCs/>
                <w:lang w:val="en-US"/>
              </w:rPr>
              <w:t>User Group</w:t>
            </w:r>
          </w:p>
        </w:tc>
        <w:tc>
          <w:tcPr>
            <w:tcW w:w="7150" w:type="dxa"/>
            <w:tcBorders>
              <w:top w:val="single" w:sz="4" w:space="0" w:color="000000"/>
              <w:start w:val="single" w:sz="4" w:space="0" w:color="000000"/>
              <w:bottom w:val="single" w:sz="4" w:space="0" w:color="000000"/>
              <w:end w:val="single" w:sz="4" w:space="0" w:color="000000"/>
            </w:tcBorders>
            <w:shd w:color="auto" w:fill="D9D9D9" w:val="clear"/>
            <w:vAlign w:val="center"/>
          </w:tcPr>
          <w:p>
            <w:pPr>
              <w:pStyle w:val="Normal"/>
              <w:jc w:val="center"/>
              <w:rPr>
                <w:b/>
                <w:bCs/>
                <w:lang w:val="en-US"/>
              </w:rPr>
            </w:pPr>
            <w:r>
              <w:rPr>
                <w:b/>
                <w:bCs/>
                <w:lang w:val="en-US"/>
              </w:rPr>
              <w:t>Responsibilities</w:t>
            </w:r>
          </w:p>
        </w:tc>
      </w:tr>
      <w:tr>
        <w:trPr/>
        <w:tc>
          <w:tcPr>
            <w:tcW w:w="1989"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Procurement Officer</w:t>
            </w:r>
          </w:p>
        </w:tc>
        <w:tc>
          <w:tcPr>
            <w:tcW w:w="7150"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Maintain vendor information, review compliance status, monitor vendor performance, and respond to alerts.</w:t>
            </w:r>
          </w:p>
        </w:tc>
      </w:tr>
      <w:tr>
        <w:trPr/>
        <w:tc>
          <w:tcPr>
            <w:tcW w:w="1989"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Procurement Manager</w:t>
            </w:r>
          </w:p>
        </w:tc>
        <w:tc>
          <w:tcPr>
            <w:tcW w:w="7150"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Review vendor performance, approve risk actions, monitor procurement KPIs, and manage vendor governance activities.</w:t>
            </w:r>
          </w:p>
        </w:tc>
      </w:tr>
      <w:tr>
        <w:trPr/>
        <w:tc>
          <w:tcPr>
            <w:tcW w:w="1989"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Compliance Officer</w:t>
            </w:r>
          </w:p>
        </w:tc>
        <w:tc>
          <w:tcPr>
            <w:tcW w:w="7150"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Manage compliance requirements, review vendor documentation, and monitor compliance violations.</w:t>
            </w:r>
          </w:p>
        </w:tc>
      </w:tr>
      <w:tr>
        <w:trPr/>
        <w:tc>
          <w:tcPr>
            <w:tcW w:w="1989"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Finance User</w:t>
            </w:r>
          </w:p>
        </w:tc>
        <w:tc>
          <w:tcPr>
            <w:tcW w:w="7150"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Review vendor payment-related information and support financial compliance reviews where required.</w:t>
            </w:r>
          </w:p>
        </w:tc>
      </w:tr>
      <w:tr>
        <w:trPr/>
        <w:tc>
          <w:tcPr>
            <w:tcW w:w="1989"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Internal Audit</w:t>
            </w:r>
          </w:p>
        </w:tc>
        <w:tc>
          <w:tcPr>
            <w:tcW w:w="7150"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Review audit logs, compliance records, and vendor governance activities.</w:t>
            </w:r>
          </w:p>
        </w:tc>
      </w:tr>
      <w:tr>
        <w:trPr/>
        <w:tc>
          <w:tcPr>
            <w:tcW w:w="1989"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Management / Executives</w:t>
            </w:r>
          </w:p>
        </w:tc>
        <w:tc>
          <w:tcPr>
            <w:tcW w:w="7150"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Review dashboards, risk summaries, vendor performance trends, and strategic procurement insights.</w:t>
            </w:r>
          </w:p>
        </w:tc>
      </w:tr>
      <w:tr>
        <w:trPr/>
        <w:tc>
          <w:tcPr>
            <w:tcW w:w="1989"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System Administrator</w:t>
            </w:r>
          </w:p>
        </w:tc>
        <w:tc>
          <w:tcPr>
            <w:tcW w:w="7150"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Manage system configuration, user access, security settings, and operational support activities.</w:t>
            </w:r>
          </w:p>
        </w:tc>
      </w:tr>
    </w:tbl>
    <w:p>
      <w:pPr>
        <w:pStyle w:val="Normal"/>
        <w:rPr/>
      </w:pPr>
      <w:r>
        <w:rPr/>
      </w:r>
    </w:p>
    <w:p>
      <w:pPr>
        <w:pStyle w:val="Normal"/>
        <w:rPr/>
      </w:pPr>
      <w:r>
        <w:rPr/>
      </w:r>
    </w:p>
    <w:p>
      <w:pPr>
        <w:pStyle w:val="Normal"/>
        <w:rPr/>
      </w:pPr>
      <w:r>
        <w:rPr/>
      </w:r>
    </w:p>
    <w:p>
      <w:pPr>
        <w:pStyle w:val="Heading2"/>
        <w:rPr/>
      </w:pPr>
      <w:bookmarkStart w:id="20" w:name="_Toc239804427"/>
      <w:r>
        <w:rPr/>
        <w:t>Non-Functional Requirements</w:t>
      </w:r>
      <w:bookmarkEnd w:id="20"/>
    </w:p>
    <w:p>
      <w:pPr>
        <w:pStyle w:val="Normal"/>
        <w:rPr/>
      </w:pPr>
      <w:r>
        <w:rPr/>
        <w:t>The solution shall comply with the following high-level non-functional requirements.</w:t>
      </w:r>
    </w:p>
    <w:p>
      <w:pPr>
        <w:pStyle w:val="Normal"/>
        <w:rPr/>
      </w:pPr>
      <w:r>
        <w:rPr/>
      </w:r>
    </w:p>
    <w:p>
      <w:pPr>
        <w:pStyle w:val="Normal"/>
        <w:rPr>
          <w:b/>
          <w:bCs/>
          <w:sz w:val="24"/>
          <w:szCs w:val="24"/>
        </w:rPr>
      </w:pPr>
      <w:r>
        <w:rPr>
          <w:b/>
          <w:bCs/>
          <w:sz w:val="24"/>
          <w:szCs w:val="24"/>
        </w:rPr>
        <w:t>Security</w:t>
      </w:r>
    </w:p>
    <w:p>
      <w:pPr>
        <w:pStyle w:val="ListParagraph"/>
        <w:numPr>
          <w:ilvl w:val="0"/>
          <w:numId w:val="11"/>
        </w:numPr>
        <w:rPr/>
      </w:pPr>
      <w:r>
        <w:rPr/>
        <w:t>User authentication shall be required before accessing the application.</w:t>
      </w:r>
    </w:p>
    <w:p>
      <w:pPr>
        <w:pStyle w:val="ListParagraph"/>
        <w:numPr>
          <w:ilvl w:val="0"/>
          <w:numId w:val="11"/>
        </w:numPr>
        <w:rPr/>
      </w:pPr>
      <w:r>
        <w:rPr/>
        <w:t>Access shall be controlled using Role-Based Access Control (RBAC).</w:t>
      </w:r>
    </w:p>
    <w:p>
      <w:pPr>
        <w:pStyle w:val="ListParagraph"/>
        <w:numPr>
          <w:ilvl w:val="0"/>
          <w:numId w:val="11"/>
        </w:numPr>
        <w:rPr/>
      </w:pPr>
      <w:r>
        <w:rPr/>
        <w:t>All data transmitted between systems shall be encrypted using HTTPS/TLS.</w:t>
      </w:r>
    </w:p>
    <w:p>
      <w:pPr>
        <w:pStyle w:val="ListParagraph"/>
        <w:numPr>
          <w:ilvl w:val="0"/>
          <w:numId w:val="11"/>
        </w:numPr>
        <w:rPr/>
      </w:pPr>
      <w:r>
        <w:rPr/>
        <w:t>Sensitive information shall only be accessible to authorized users.</w:t>
      </w:r>
    </w:p>
    <w:p>
      <w:pPr>
        <w:pStyle w:val="Normal"/>
        <w:rPr/>
      </w:pPr>
      <w:r>
        <w:rPr/>
      </w:r>
    </w:p>
    <w:p>
      <w:pPr>
        <w:pStyle w:val="Normal"/>
        <w:rPr>
          <w:b/>
          <w:bCs/>
          <w:sz w:val="24"/>
          <w:szCs w:val="24"/>
        </w:rPr>
      </w:pPr>
      <w:r>
        <w:rPr>
          <w:b/>
          <w:bCs/>
          <w:sz w:val="24"/>
          <w:szCs w:val="24"/>
        </w:rPr>
        <w:t>Audit</w:t>
      </w:r>
    </w:p>
    <w:p>
      <w:pPr>
        <w:pStyle w:val="ListParagraph"/>
        <w:numPr>
          <w:ilvl w:val="0"/>
          <w:numId w:val="12"/>
        </w:numPr>
        <w:rPr/>
      </w:pPr>
      <w:r>
        <w:rPr/>
        <w:t>Changes to vendor information, compliance records, and risk assessments shall be auditable.</w:t>
      </w:r>
    </w:p>
    <w:p>
      <w:pPr>
        <w:pStyle w:val="ListParagraph"/>
        <w:numPr>
          <w:ilvl w:val="0"/>
          <w:numId w:val="12"/>
        </w:numPr>
        <w:rPr/>
      </w:pPr>
      <w:r>
        <w:rPr/>
        <w:t>Audit logs shall record user identity, timestamp, previous value, and new value</w:t>
      </w:r>
    </w:p>
    <w:p>
      <w:pPr>
        <w:pStyle w:val="Normal"/>
        <w:rPr/>
      </w:pPr>
      <w:r>
        <w:rPr/>
      </w:r>
    </w:p>
    <w:p>
      <w:pPr>
        <w:pStyle w:val="Normal"/>
        <w:rPr>
          <w:b/>
          <w:bCs/>
          <w:sz w:val="24"/>
          <w:szCs w:val="24"/>
        </w:rPr>
      </w:pPr>
      <w:r>
        <w:rPr>
          <w:b/>
          <w:bCs/>
          <w:sz w:val="24"/>
          <w:szCs w:val="24"/>
        </w:rPr>
        <w:t>Performance</w:t>
      </w:r>
    </w:p>
    <w:p>
      <w:pPr>
        <w:pStyle w:val="ListParagraph"/>
        <w:numPr>
          <w:ilvl w:val="0"/>
          <w:numId w:val="13"/>
        </w:numPr>
        <w:rPr/>
      </w:pPr>
      <w:r>
        <w:rPr/>
        <w:t>Standard application pages shall load within 5 seconds under normal operating conditions.</w:t>
      </w:r>
    </w:p>
    <w:p>
      <w:pPr>
        <w:pStyle w:val="ListParagraph"/>
        <w:numPr>
          <w:ilvl w:val="0"/>
          <w:numId w:val="13"/>
        </w:numPr>
        <w:rPr/>
      </w:pPr>
      <w:r>
        <w:rPr/>
        <w:t>Vendor dashboards shall load within 5 seconds.</w:t>
      </w:r>
    </w:p>
    <w:p>
      <w:pPr>
        <w:pStyle w:val="ListParagraph"/>
        <w:numPr>
          <w:ilvl w:val="0"/>
          <w:numId w:val="13"/>
        </w:numPr>
        <w:rPr/>
      </w:pPr>
      <w:r>
        <w:rPr/>
        <w:t>Risk calculations shall complete within 60 seconds for active vendors.</w:t>
      </w:r>
    </w:p>
    <w:p>
      <w:pPr>
        <w:pStyle w:val="Normal"/>
        <w:rPr/>
      </w:pPr>
      <w:r>
        <w:rPr/>
      </w:r>
    </w:p>
    <w:p>
      <w:pPr>
        <w:pStyle w:val="Normal"/>
        <w:rPr>
          <w:b/>
          <w:bCs/>
          <w:sz w:val="24"/>
          <w:szCs w:val="24"/>
        </w:rPr>
      </w:pPr>
      <w:r>
        <w:rPr>
          <w:b/>
          <w:bCs/>
          <w:sz w:val="24"/>
          <w:szCs w:val="24"/>
        </w:rPr>
        <w:t>Availability</w:t>
      </w:r>
    </w:p>
    <w:p>
      <w:pPr>
        <w:pStyle w:val="ListParagraph"/>
        <w:numPr>
          <w:ilvl w:val="0"/>
          <w:numId w:val="14"/>
        </w:numPr>
        <w:rPr/>
      </w:pPr>
      <w:r>
        <w:rPr/>
        <w:t>The solution shall be available during business operating hours.</w:t>
      </w:r>
    </w:p>
    <w:p>
      <w:pPr>
        <w:pStyle w:val="ListParagraph"/>
        <w:numPr>
          <w:ilvl w:val="0"/>
          <w:numId w:val="14"/>
        </w:numPr>
        <w:rPr/>
      </w:pPr>
      <w:r>
        <w:rPr/>
        <w:t>Target availability shall be 99% excluding planned maintenance windows.</w:t>
      </w:r>
    </w:p>
    <w:p>
      <w:pPr>
        <w:pStyle w:val="Normal"/>
        <w:rPr/>
      </w:pPr>
      <w:r>
        <w:rPr/>
      </w:r>
    </w:p>
    <w:p>
      <w:pPr>
        <w:pStyle w:val="Normal"/>
        <w:rPr>
          <w:b/>
          <w:bCs/>
          <w:sz w:val="24"/>
          <w:szCs w:val="24"/>
        </w:rPr>
      </w:pPr>
      <w:r>
        <w:rPr>
          <w:b/>
          <w:bCs/>
          <w:sz w:val="24"/>
          <w:szCs w:val="24"/>
        </w:rPr>
        <w:t>Reliability</w:t>
      </w:r>
    </w:p>
    <w:p>
      <w:pPr>
        <w:pStyle w:val="ListParagraph"/>
        <w:numPr>
          <w:ilvl w:val="0"/>
          <w:numId w:val="15"/>
        </w:numPr>
        <w:rPr/>
      </w:pPr>
      <w:r>
        <w:rPr/>
        <w:t>Integration failures shall be logged and retried where applicable.</w:t>
      </w:r>
    </w:p>
    <w:p>
      <w:pPr>
        <w:pStyle w:val="ListParagraph"/>
        <w:numPr>
          <w:ilvl w:val="0"/>
          <w:numId w:val="15"/>
        </w:numPr>
        <w:rPr/>
      </w:pPr>
      <w:r>
        <w:rPr/>
        <w:t>System errors shall be captured and monitored for support purposes.</w:t>
      </w:r>
    </w:p>
    <w:p>
      <w:pPr>
        <w:pStyle w:val="Normal"/>
        <w:rPr/>
      </w:pPr>
      <w:r>
        <w:rPr/>
      </w:r>
      <w:r>
        <w:br w:type="page"/>
      </w:r>
    </w:p>
    <w:p>
      <w:pPr>
        <w:pStyle w:val="Normal"/>
        <w:spacing w:before="0" w:after="0"/>
        <w:rPr>
          <w:b/>
          <w:bCs/>
          <w:sz w:val="24"/>
          <w:szCs w:val="24"/>
        </w:rPr>
      </w:pPr>
      <w:r>
        <w:rPr>
          <w:b/>
          <w:bCs/>
          <w:sz w:val="24"/>
          <w:szCs w:val="24"/>
        </w:rPr>
        <w:t>Recovery</w:t>
      </w:r>
    </w:p>
    <w:p>
      <w:pPr>
        <w:pStyle w:val="ListParagraph"/>
        <w:numPr>
          <w:ilvl w:val="0"/>
          <w:numId w:val="16"/>
        </w:numPr>
        <w:rPr/>
      </w:pPr>
      <w:r>
        <w:rPr/>
        <w:t>Application data shall be backed up daily.</w:t>
      </w:r>
    </w:p>
    <w:p>
      <w:pPr>
        <w:pStyle w:val="ListParagraph"/>
        <w:numPr>
          <w:ilvl w:val="0"/>
          <w:numId w:val="16"/>
        </w:numPr>
        <w:rPr/>
      </w:pPr>
      <w:r>
        <w:rPr/>
        <w:t>Recovery Time Objective (RTO): 4 Hours.</w:t>
      </w:r>
    </w:p>
    <w:p>
      <w:pPr>
        <w:pStyle w:val="ListParagraph"/>
        <w:numPr>
          <w:ilvl w:val="0"/>
          <w:numId w:val="16"/>
        </w:numPr>
        <w:rPr/>
      </w:pPr>
      <w:r>
        <w:rPr/>
        <w:t>Recovery Point Objective (RPO): 24 Hours.</w:t>
      </w:r>
    </w:p>
    <w:p>
      <w:pPr>
        <w:pStyle w:val="Normal"/>
        <w:rPr/>
      </w:pPr>
      <w:r>
        <w:rPr/>
      </w:r>
    </w:p>
    <w:p>
      <w:pPr>
        <w:pStyle w:val="Normal"/>
        <w:rPr>
          <w:b/>
          <w:bCs/>
          <w:sz w:val="24"/>
          <w:szCs w:val="24"/>
        </w:rPr>
      </w:pPr>
      <w:r>
        <w:rPr>
          <w:b/>
          <w:bCs/>
          <w:sz w:val="24"/>
          <w:szCs w:val="24"/>
        </w:rPr>
        <w:t>Compatibility</w:t>
      </w:r>
    </w:p>
    <w:p>
      <w:pPr>
        <w:pStyle w:val="ListParagraph"/>
        <w:numPr>
          <w:ilvl w:val="0"/>
          <w:numId w:val="17"/>
        </w:numPr>
        <w:rPr/>
      </w:pPr>
      <w:r>
        <w:rPr/>
        <w:t>The solution shall integrate with Microsoft Dynamics 365 Business Central using supported APIs.</w:t>
      </w:r>
    </w:p>
    <w:p>
      <w:pPr>
        <w:pStyle w:val="ListParagraph"/>
        <w:numPr>
          <w:ilvl w:val="0"/>
          <w:numId w:val="17"/>
        </w:numPr>
        <w:rPr/>
      </w:pPr>
      <w:r>
        <w:rPr/>
        <w:t>The application shall support Microsoft Edge, Google Chrome, and Mozilla Firefox.</w:t>
      </w:r>
    </w:p>
    <w:p>
      <w:pPr>
        <w:pStyle w:val="Normal"/>
        <w:rPr/>
      </w:pPr>
      <w:r>
        <w:rPr/>
      </w:r>
    </w:p>
    <w:p>
      <w:pPr>
        <w:pStyle w:val="Normal"/>
        <w:rPr>
          <w:b/>
          <w:bCs/>
          <w:sz w:val="24"/>
          <w:szCs w:val="24"/>
        </w:rPr>
      </w:pPr>
      <w:r>
        <w:rPr>
          <w:b/>
          <w:bCs/>
          <w:sz w:val="24"/>
          <w:szCs w:val="24"/>
        </w:rPr>
        <w:t>Maintainability</w:t>
      </w:r>
    </w:p>
    <w:p>
      <w:pPr>
        <w:pStyle w:val="ListParagraph"/>
        <w:numPr>
          <w:ilvl w:val="0"/>
          <w:numId w:val="18"/>
        </w:numPr>
        <w:rPr/>
      </w:pPr>
      <w:r>
        <w:rPr/>
        <w:t>The solution shall follow modular architecture principles.</w:t>
      </w:r>
    </w:p>
    <w:p>
      <w:pPr>
        <w:pStyle w:val="ListParagraph"/>
        <w:numPr>
          <w:ilvl w:val="0"/>
          <w:numId w:val="18"/>
        </w:numPr>
        <w:rPr/>
      </w:pPr>
      <w:r>
        <w:rPr/>
        <w:t>Components shall be designed to support future enhancements and integrations.</w:t>
      </w:r>
    </w:p>
    <w:p>
      <w:pPr>
        <w:pStyle w:val="Normal"/>
        <w:rPr/>
      </w:pPr>
      <w:r>
        <w:rPr/>
      </w:r>
    </w:p>
    <w:p>
      <w:pPr>
        <w:pStyle w:val="Normal"/>
        <w:rPr>
          <w:b/>
          <w:bCs/>
          <w:sz w:val="24"/>
          <w:szCs w:val="24"/>
        </w:rPr>
      </w:pPr>
      <w:r>
        <w:rPr>
          <w:b/>
          <w:bCs/>
          <w:sz w:val="24"/>
          <w:szCs w:val="24"/>
        </w:rPr>
        <w:t>Usability</w:t>
      </w:r>
    </w:p>
    <w:p>
      <w:pPr>
        <w:pStyle w:val="ListParagraph"/>
        <w:numPr>
          <w:ilvl w:val="0"/>
          <w:numId w:val="19"/>
        </w:numPr>
        <w:rPr/>
      </w:pPr>
      <w:r>
        <w:rPr/>
        <w:t>The application shall provide an intuitive user interface requiring minimal user training.</w:t>
      </w:r>
    </w:p>
    <w:p>
      <w:pPr>
        <w:pStyle w:val="ListParagraph"/>
        <w:numPr>
          <w:ilvl w:val="0"/>
          <w:numId w:val="19"/>
        </w:numPr>
        <w:rPr/>
      </w:pPr>
      <w:r>
        <w:rPr/>
        <w:t>Dashboard and reporting functions shall present information in a clear and consistent format.</w:t>
      </w:r>
    </w:p>
    <w:p>
      <w:pPr>
        <w:pStyle w:val="Normal"/>
        <w:rPr/>
      </w:pPr>
      <w:r>
        <w:rPr/>
      </w:r>
      <w:r>
        <w:br w:type="page"/>
      </w:r>
    </w:p>
    <w:p>
      <w:pPr>
        <w:pStyle w:val="Heading1"/>
        <w:spacing w:before="0" w:after="120"/>
        <w:rPr>
          <w:lang w:val="en-US"/>
        </w:rPr>
      </w:pPr>
      <w:bookmarkStart w:id="21" w:name="_Toc239804428"/>
      <w:r>
        <w:rPr>
          <w:bCs/>
          <w:lang w:val="en-US"/>
        </w:rPr>
        <w:t>Conceptual Solution Overview</w:t>
      </w:r>
      <w:bookmarkEnd w:id="21"/>
    </w:p>
    <w:p>
      <w:pPr>
        <w:pStyle w:val="Heading2"/>
        <w:rPr/>
      </w:pPr>
      <w:bookmarkStart w:id="22" w:name="_Toc239804429"/>
      <w:r>
        <w:rPr/>
        <w:t>Conceptual Solution Architecture Diagram</w:t>
      </w:r>
      <w:bookmarkEnd w:id="22"/>
    </w:p>
    <w:p>
      <w:pPr>
        <w:pStyle w:val="Normal"/>
        <w:rPr>
          <w:lang w:val="en-US"/>
        </w:rPr>
      </w:pPr>
      <w:r>
        <w:rPr>
          <w:lang w:val="en-US"/>
        </w:rPr>
      </w:r>
    </w:p>
    <w:p>
      <w:pPr>
        <w:pStyle w:val="Normal"/>
        <w:rPr/>
      </w:pPr>
      <w:r>
        <w:rPr/>
        <w:drawing>
          <wp:inline distT="0" distB="0" distL="0" distR="0">
            <wp:extent cx="6358890" cy="2907030"/>
            <wp:effectExtent l="0" t="0" r="0" b="0"/>
            <wp:docPr id="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pic:cNvPicPr>
                      <a:picLocks noChangeAspect="1" noChangeArrowheads="1"/>
                    </pic:cNvPicPr>
                  </pic:nvPicPr>
                  <pic:blipFill>
                    <a:blip r:embed="rId15"/>
                    <a:stretch>
                      <a:fillRect/>
                    </a:stretch>
                  </pic:blipFill>
                  <pic:spPr bwMode="auto">
                    <a:xfrm>
                      <a:off x="0" y="0"/>
                      <a:ext cx="6358890" cy="2907030"/>
                    </a:xfrm>
                    <a:prstGeom prst="rect">
                      <a:avLst/>
                    </a:prstGeom>
                    <a:noFill/>
                  </pic:spPr>
                </pic:pic>
              </a:graphicData>
            </a:graphic>
          </wp:inline>
        </w:drawing>
      </w:r>
    </w:p>
    <w:p>
      <w:pPr>
        <w:pStyle w:val="Normal"/>
        <w:rPr/>
      </w:pPr>
      <w:r>
        <w:rPr/>
      </w:r>
    </w:p>
    <w:p>
      <w:pPr>
        <w:pStyle w:val="Normal"/>
        <w:rPr/>
      </w:pPr>
      <w:r>
        <w:rPr/>
      </w:r>
      <w:r>
        <w:br w:type="page"/>
      </w:r>
    </w:p>
    <w:p>
      <w:pPr>
        <w:pStyle w:val="Heading1"/>
        <w:spacing w:before="0" w:after="120"/>
        <w:rPr>
          <w:bCs/>
          <w:lang w:val="en-US"/>
        </w:rPr>
      </w:pPr>
      <w:bookmarkStart w:id="23" w:name="_Toc239804430"/>
      <w:r>
        <w:rPr>
          <w:bCs/>
          <w:lang w:val="en-US"/>
        </w:rPr>
        <w:t>Solution Architecture</w:t>
      </w:r>
      <w:bookmarkEnd w:id="23"/>
    </w:p>
    <w:p>
      <w:pPr>
        <w:pStyle w:val="Heading2"/>
        <w:rPr>
          <w:lang w:val="en-US"/>
        </w:rPr>
      </w:pPr>
      <w:bookmarkStart w:id="24" w:name="_Toc239804431"/>
      <w:r>
        <w:rPr/>
        <w:t>Information Architecture</w:t>
      </w:r>
      <w:bookmarkEnd w:id="24"/>
    </w:p>
    <w:p>
      <w:pPr>
        <w:pStyle w:val="Heading3"/>
        <w:rPr/>
      </w:pPr>
      <w:bookmarkStart w:id="25" w:name="_Toc239804432"/>
      <w:r>
        <w:rPr/>
        <w:t>Data Object Inventory</w:t>
      </w:r>
      <w:bookmarkEnd w:id="25"/>
    </w:p>
    <w:tbl>
      <w:tblPr>
        <w:tblW w:w="8986" w:type="dxa"/>
        <w:jc w:val="start"/>
        <w:tblInd w:w="10" w:type="dxa"/>
        <w:tblLayout w:type="fixed"/>
        <w:tblCellMar>
          <w:top w:w="15" w:type="dxa"/>
          <w:start w:w="15" w:type="dxa"/>
          <w:bottom w:w="15" w:type="dxa"/>
          <w:end w:w="15" w:type="dxa"/>
        </w:tblCellMar>
        <w:tblLook w:noHBand="0" w:noVBand="1" w:firstColumn="1" w:lastRow="0" w:lastColumn="0" w:firstRow="1" w:val="04a0"/>
      </w:tblPr>
      <w:tblGrid>
        <w:gridCol w:w="2664"/>
        <w:gridCol w:w="3627"/>
        <w:gridCol w:w="2695"/>
      </w:tblGrid>
      <w:tr>
        <w:trPr>
          <w:tblHeader w:val="true"/>
        </w:trPr>
        <w:tc>
          <w:tcPr>
            <w:tcW w:w="2664" w:type="dxa"/>
            <w:tcBorders>
              <w:top w:val="single" w:sz="4" w:space="0" w:color="000000"/>
              <w:start w:val="single" w:sz="4" w:space="0" w:color="000000"/>
              <w:bottom w:val="single" w:sz="4" w:space="0" w:color="000000"/>
              <w:end w:val="single" w:sz="4" w:space="0" w:color="000000"/>
            </w:tcBorders>
            <w:shd w:color="auto" w:fill="92D050" w:val="clear"/>
            <w:vAlign w:val="center"/>
          </w:tcPr>
          <w:p>
            <w:pPr>
              <w:pStyle w:val="Normal"/>
              <w:ind w:start="720"/>
              <w:rPr>
                <w:b/>
                <w:bCs/>
                <w:lang w:val="en-US"/>
              </w:rPr>
            </w:pPr>
            <w:r>
              <w:rPr>
                <w:b/>
                <w:bCs/>
                <w:lang w:val="en-US"/>
              </w:rPr>
              <w:t>Data Object</w:t>
            </w:r>
          </w:p>
        </w:tc>
        <w:tc>
          <w:tcPr>
            <w:tcW w:w="3627" w:type="dxa"/>
            <w:tcBorders>
              <w:top w:val="single" w:sz="4" w:space="0" w:color="000000"/>
              <w:start w:val="single" w:sz="4" w:space="0" w:color="000000"/>
              <w:bottom w:val="single" w:sz="4" w:space="0" w:color="000000"/>
              <w:end w:val="single" w:sz="4" w:space="0" w:color="000000"/>
            </w:tcBorders>
            <w:shd w:color="auto" w:fill="92D050" w:val="clear"/>
            <w:vAlign w:val="center"/>
          </w:tcPr>
          <w:p>
            <w:pPr>
              <w:pStyle w:val="Normal"/>
              <w:ind w:start="720"/>
              <w:rPr>
                <w:b/>
                <w:bCs/>
                <w:lang w:val="en-US"/>
              </w:rPr>
            </w:pPr>
            <w:r>
              <w:rPr>
                <w:b/>
                <w:bCs/>
                <w:lang w:val="en-US"/>
              </w:rPr>
              <w:t>Description</w:t>
            </w:r>
          </w:p>
        </w:tc>
        <w:tc>
          <w:tcPr>
            <w:tcW w:w="2695" w:type="dxa"/>
            <w:tcBorders>
              <w:top w:val="single" w:sz="4" w:space="0" w:color="000000"/>
              <w:start w:val="single" w:sz="4" w:space="0" w:color="000000"/>
              <w:bottom w:val="single" w:sz="4" w:space="0" w:color="000000"/>
              <w:end w:val="single" w:sz="4" w:space="0" w:color="000000"/>
            </w:tcBorders>
            <w:shd w:color="auto" w:fill="92D050" w:val="clear"/>
            <w:vAlign w:val="center"/>
          </w:tcPr>
          <w:p>
            <w:pPr>
              <w:pStyle w:val="Normal"/>
              <w:ind w:start="720"/>
              <w:rPr>
                <w:b/>
                <w:bCs/>
                <w:lang w:val="en-US"/>
              </w:rPr>
            </w:pPr>
            <w:r>
              <w:rPr>
                <w:b/>
                <w:bCs/>
                <w:lang w:val="en-US"/>
              </w:rPr>
              <w:t>System of Record</w:t>
            </w:r>
          </w:p>
        </w:tc>
      </w:tr>
      <w:tr>
        <w:trPr/>
        <w:tc>
          <w:tcPr>
            <w:tcW w:w="2664" w:type="dxa"/>
            <w:tcBorders>
              <w:top w:val="single" w:sz="4" w:space="0" w:color="000000"/>
              <w:start w:val="single" w:sz="4" w:space="0" w:color="000000"/>
              <w:bottom w:val="single" w:sz="4" w:space="0" w:color="000000"/>
              <w:end w:val="single" w:sz="4" w:space="0" w:color="000000"/>
            </w:tcBorders>
            <w:vAlign w:val="center"/>
          </w:tcPr>
          <w:p>
            <w:pPr>
              <w:pStyle w:val="Normal"/>
              <w:ind w:start="720"/>
              <w:rPr>
                <w:sz w:val="20"/>
                <w:szCs w:val="20"/>
                <w:lang w:val="en-US"/>
              </w:rPr>
            </w:pPr>
            <w:r>
              <w:rPr>
                <w:sz w:val="20"/>
                <w:szCs w:val="20"/>
                <w:lang w:val="en-US"/>
              </w:rPr>
              <w:t>Vendor</w:t>
            </w:r>
          </w:p>
        </w:tc>
        <w:tc>
          <w:tcPr>
            <w:tcW w:w="3627" w:type="dxa"/>
            <w:tcBorders>
              <w:top w:val="single" w:sz="4" w:space="0" w:color="000000"/>
              <w:start w:val="single" w:sz="4" w:space="0" w:color="000000"/>
              <w:bottom w:val="single" w:sz="4" w:space="0" w:color="000000"/>
              <w:end w:val="single" w:sz="4" w:space="0" w:color="000000"/>
            </w:tcBorders>
            <w:vAlign w:val="center"/>
          </w:tcPr>
          <w:p>
            <w:pPr>
              <w:pStyle w:val="Normal"/>
              <w:ind w:start="720"/>
              <w:rPr>
                <w:sz w:val="20"/>
                <w:szCs w:val="20"/>
                <w:lang w:val="en-US"/>
              </w:rPr>
            </w:pPr>
            <w:r>
              <w:rPr>
                <w:sz w:val="20"/>
                <w:szCs w:val="20"/>
                <w:lang w:val="en-US"/>
              </w:rPr>
              <w:t>Vendor master information</w:t>
            </w:r>
          </w:p>
        </w:tc>
        <w:tc>
          <w:tcPr>
            <w:tcW w:w="2695" w:type="dxa"/>
            <w:tcBorders>
              <w:top w:val="single" w:sz="4" w:space="0" w:color="000000"/>
              <w:start w:val="single" w:sz="4" w:space="0" w:color="000000"/>
              <w:bottom w:val="single" w:sz="4" w:space="0" w:color="000000"/>
              <w:end w:val="single" w:sz="4" w:space="0" w:color="000000"/>
            </w:tcBorders>
            <w:vAlign w:val="center"/>
          </w:tcPr>
          <w:p>
            <w:pPr>
              <w:pStyle w:val="Normal"/>
              <w:ind w:start="720"/>
              <w:rPr>
                <w:sz w:val="20"/>
                <w:szCs w:val="20"/>
                <w:lang w:val="en-US"/>
              </w:rPr>
            </w:pPr>
            <w:r>
              <w:rPr>
                <w:sz w:val="20"/>
                <w:szCs w:val="20"/>
                <w:lang w:val="en-US"/>
              </w:rPr>
              <w:t>Business Central</w:t>
            </w:r>
          </w:p>
        </w:tc>
      </w:tr>
      <w:tr>
        <w:trPr/>
        <w:tc>
          <w:tcPr>
            <w:tcW w:w="2664" w:type="dxa"/>
            <w:tcBorders>
              <w:top w:val="single" w:sz="4" w:space="0" w:color="000000"/>
              <w:start w:val="single" w:sz="4" w:space="0" w:color="000000"/>
              <w:bottom w:val="single" w:sz="4" w:space="0" w:color="000000"/>
              <w:end w:val="single" w:sz="4" w:space="0" w:color="000000"/>
            </w:tcBorders>
            <w:vAlign w:val="center"/>
          </w:tcPr>
          <w:p>
            <w:pPr>
              <w:pStyle w:val="Normal"/>
              <w:ind w:start="720"/>
              <w:rPr>
                <w:sz w:val="20"/>
                <w:szCs w:val="20"/>
                <w:lang w:val="en-US"/>
              </w:rPr>
            </w:pPr>
            <w:r>
              <w:rPr>
                <w:sz w:val="20"/>
                <w:szCs w:val="20"/>
                <w:lang w:val="en-US"/>
              </w:rPr>
              <w:t>Purchase Order</w:t>
            </w:r>
          </w:p>
        </w:tc>
        <w:tc>
          <w:tcPr>
            <w:tcW w:w="3627" w:type="dxa"/>
            <w:tcBorders>
              <w:top w:val="single" w:sz="4" w:space="0" w:color="000000"/>
              <w:start w:val="single" w:sz="4" w:space="0" w:color="000000"/>
              <w:bottom w:val="single" w:sz="4" w:space="0" w:color="000000"/>
              <w:end w:val="single" w:sz="4" w:space="0" w:color="000000"/>
            </w:tcBorders>
            <w:vAlign w:val="center"/>
          </w:tcPr>
          <w:p>
            <w:pPr>
              <w:pStyle w:val="Normal"/>
              <w:ind w:start="720"/>
              <w:rPr>
                <w:sz w:val="20"/>
                <w:szCs w:val="20"/>
                <w:lang w:val="en-US"/>
              </w:rPr>
            </w:pPr>
            <w:r>
              <w:rPr>
                <w:sz w:val="20"/>
                <w:szCs w:val="20"/>
                <w:lang w:val="en-US"/>
              </w:rPr>
              <w:t>Procurement orders</w:t>
            </w:r>
          </w:p>
        </w:tc>
        <w:tc>
          <w:tcPr>
            <w:tcW w:w="2695" w:type="dxa"/>
            <w:tcBorders>
              <w:top w:val="single" w:sz="4" w:space="0" w:color="000000"/>
              <w:start w:val="single" w:sz="4" w:space="0" w:color="000000"/>
              <w:bottom w:val="single" w:sz="4" w:space="0" w:color="000000"/>
              <w:end w:val="single" w:sz="4" w:space="0" w:color="000000"/>
            </w:tcBorders>
            <w:vAlign w:val="center"/>
          </w:tcPr>
          <w:p>
            <w:pPr>
              <w:pStyle w:val="Normal"/>
              <w:ind w:start="720"/>
              <w:rPr>
                <w:sz w:val="20"/>
                <w:szCs w:val="20"/>
                <w:lang w:val="en-US"/>
              </w:rPr>
            </w:pPr>
            <w:r>
              <w:rPr>
                <w:sz w:val="20"/>
                <w:szCs w:val="20"/>
                <w:lang w:val="en-US"/>
              </w:rPr>
              <w:t>Business Central</w:t>
            </w:r>
          </w:p>
        </w:tc>
      </w:tr>
      <w:tr>
        <w:trPr/>
        <w:tc>
          <w:tcPr>
            <w:tcW w:w="2664" w:type="dxa"/>
            <w:tcBorders>
              <w:top w:val="single" w:sz="4" w:space="0" w:color="000000"/>
              <w:start w:val="single" w:sz="4" w:space="0" w:color="000000"/>
              <w:bottom w:val="single" w:sz="4" w:space="0" w:color="000000"/>
              <w:end w:val="single" w:sz="4" w:space="0" w:color="000000"/>
            </w:tcBorders>
            <w:vAlign w:val="center"/>
          </w:tcPr>
          <w:p>
            <w:pPr>
              <w:pStyle w:val="Normal"/>
              <w:ind w:start="720"/>
              <w:rPr>
                <w:sz w:val="20"/>
                <w:szCs w:val="20"/>
                <w:lang w:val="en-US"/>
              </w:rPr>
            </w:pPr>
            <w:r>
              <w:rPr>
                <w:sz w:val="20"/>
                <w:szCs w:val="20"/>
                <w:lang w:val="en-US"/>
              </w:rPr>
              <w:t>Goods Receipt</w:t>
            </w:r>
          </w:p>
        </w:tc>
        <w:tc>
          <w:tcPr>
            <w:tcW w:w="3627" w:type="dxa"/>
            <w:tcBorders>
              <w:top w:val="single" w:sz="4" w:space="0" w:color="000000"/>
              <w:start w:val="single" w:sz="4" w:space="0" w:color="000000"/>
              <w:bottom w:val="single" w:sz="4" w:space="0" w:color="000000"/>
              <w:end w:val="single" w:sz="4" w:space="0" w:color="000000"/>
            </w:tcBorders>
            <w:vAlign w:val="center"/>
          </w:tcPr>
          <w:p>
            <w:pPr>
              <w:pStyle w:val="Normal"/>
              <w:ind w:start="720"/>
              <w:rPr>
                <w:sz w:val="20"/>
                <w:szCs w:val="20"/>
                <w:lang w:val="en-US"/>
              </w:rPr>
            </w:pPr>
            <w:r>
              <w:rPr>
                <w:sz w:val="20"/>
                <w:szCs w:val="20"/>
                <w:lang w:val="en-US"/>
              </w:rPr>
              <w:t>Receipt transactions</w:t>
            </w:r>
          </w:p>
        </w:tc>
        <w:tc>
          <w:tcPr>
            <w:tcW w:w="2695" w:type="dxa"/>
            <w:tcBorders>
              <w:top w:val="single" w:sz="4" w:space="0" w:color="000000"/>
              <w:start w:val="single" w:sz="4" w:space="0" w:color="000000"/>
              <w:bottom w:val="single" w:sz="4" w:space="0" w:color="000000"/>
              <w:end w:val="single" w:sz="4" w:space="0" w:color="000000"/>
            </w:tcBorders>
            <w:vAlign w:val="center"/>
          </w:tcPr>
          <w:p>
            <w:pPr>
              <w:pStyle w:val="Normal"/>
              <w:ind w:start="720"/>
              <w:rPr>
                <w:sz w:val="20"/>
                <w:szCs w:val="20"/>
                <w:lang w:val="en-US"/>
              </w:rPr>
            </w:pPr>
            <w:r>
              <w:rPr>
                <w:sz w:val="20"/>
                <w:szCs w:val="20"/>
                <w:lang w:val="en-US"/>
              </w:rPr>
              <w:t>Business Central</w:t>
            </w:r>
          </w:p>
        </w:tc>
      </w:tr>
      <w:tr>
        <w:trPr/>
        <w:tc>
          <w:tcPr>
            <w:tcW w:w="2664" w:type="dxa"/>
            <w:tcBorders>
              <w:top w:val="single" w:sz="4" w:space="0" w:color="000000"/>
              <w:start w:val="single" w:sz="4" w:space="0" w:color="000000"/>
              <w:bottom w:val="single" w:sz="4" w:space="0" w:color="000000"/>
              <w:end w:val="single" w:sz="4" w:space="0" w:color="000000"/>
            </w:tcBorders>
            <w:vAlign w:val="center"/>
          </w:tcPr>
          <w:p>
            <w:pPr>
              <w:pStyle w:val="Normal"/>
              <w:ind w:start="720"/>
              <w:rPr>
                <w:sz w:val="20"/>
                <w:szCs w:val="20"/>
                <w:lang w:val="en-US"/>
              </w:rPr>
            </w:pPr>
            <w:r>
              <w:rPr>
                <w:sz w:val="20"/>
                <w:szCs w:val="20"/>
                <w:lang w:val="en-US"/>
              </w:rPr>
              <w:t xml:space="preserve">Purchase </w:t>
            </w:r>
            <w:r>
              <w:rPr>
                <w:sz w:val="20"/>
                <w:szCs w:val="20"/>
                <w:lang w:val="en-US"/>
              </w:rPr>
              <w:t>Invoice</w:t>
            </w:r>
          </w:p>
        </w:tc>
        <w:tc>
          <w:tcPr>
            <w:tcW w:w="3627" w:type="dxa"/>
            <w:tcBorders>
              <w:top w:val="single" w:sz="4" w:space="0" w:color="000000"/>
              <w:start w:val="single" w:sz="4" w:space="0" w:color="000000"/>
              <w:bottom w:val="single" w:sz="4" w:space="0" w:color="000000"/>
              <w:end w:val="single" w:sz="4" w:space="0" w:color="000000"/>
            </w:tcBorders>
            <w:vAlign w:val="center"/>
          </w:tcPr>
          <w:p>
            <w:pPr>
              <w:pStyle w:val="Normal"/>
              <w:ind w:start="720"/>
              <w:rPr>
                <w:sz w:val="20"/>
                <w:szCs w:val="20"/>
                <w:lang w:val="en-US"/>
              </w:rPr>
            </w:pPr>
            <w:r>
              <w:rPr>
                <w:sz w:val="20"/>
                <w:szCs w:val="20"/>
                <w:lang w:val="en-US"/>
              </w:rPr>
              <w:t>Vendor invoices</w:t>
            </w:r>
          </w:p>
        </w:tc>
        <w:tc>
          <w:tcPr>
            <w:tcW w:w="2695" w:type="dxa"/>
            <w:tcBorders>
              <w:top w:val="single" w:sz="4" w:space="0" w:color="000000"/>
              <w:start w:val="single" w:sz="4" w:space="0" w:color="000000"/>
              <w:bottom w:val="single" w:sz="4" w:space="0" w:color="000000"/>
              <w:end w:val="single" w:sz="4" w:space="0" w:color="000000"/>
            </w:tcBorders>
            <w:vAlign w:val="center"/>
          </w:tcPr>
          <w:p>
            <w:pPr>
              <w:pStyle w:val="Normal"/>
              <w:ind w:start="720"/>
              <w:rPr>
                <w:sz w:val="20"/>
                <w:szCs w:val="20"/>
                <w:lang w:val="en-US"/>
              </w:rPr>
            </w:pPr>
            <w:r>
              <w:rPr>
                <w:sz w:val="20"/>
                <w:szCs w:val="20"/>
                <w:lang w:val="en-US"/>
              </w:rPr>
              <w:t>Business Central</w:t>
            </w:r>
          </w:p>
        </w:tc>
      </w:tr>
      <w:tr>
        <w:trPr/>
        <w:tc>
          <w:tcPr>
            <w:tcW w:w="2664" w:type="dxa"/>
            <w:tcBorders>
              <w:top w:val="single" w:sz="4" w:space="0" w:color="000000"/>
              <w:start w:val="single" w:sz="4" w:space="0" w:color="000000"/>
              <w:bottom w:val="single" w:sz="4" w:space="0" w:color="000000"/>
              <w:end w:val="single" w:sz="4" w:space="0" w:color="000000"/>
            </w:tcBorders>
            <w:vAlign w:val="center"/>
          </w:tcPr>
          <w:p>
            <w:pPr>
              <w:pStyle w:val="Normal"/>
              <w:ind w:start="720"/>
              <w:rPr>
                <w:sz w:val="20"/>
                <w:szCs w:val="20"/>
                <w:lang w:val="en-US"/>
              </w:rPr>
            </w:pPr>
            <w:r>
              <w:rPr>
                <w:sz w:val="20"/>
                <w:szCs w:val="20"/>
                <w:lang w:val="en-US"/>
              </w:rPr>
              <w:t>Compliance Document</w:t>
            </w:r>
          </w:p>
        </w:tc>
        <w:tc>
          <w:tcPr>
            <w:tcW w:w="3627" w:type="dxa"/>
            <w:tcBorders>
              <w:top w:val="single" w:sz="4" w:space="0" w:color="000000"/>
              <w:start w:val="single" w:sz="4" w:space="0" w:color="000000"/>
              <w:bottom w:val="single" w:sz="4" w:space="0" w:color="000000"/>
              <w:end w:val="single" w:sz="4" w:space="0" w:color="000000"/>
            </w:tcBorders>
            <w:vAlign w:val="center"/>
          </w:tcPr>
          <w:p>
            <w:pPr>
              <w:pStyle w:val="Normal"/>
              <w:ind w:start="720"/>
              <w:rPr>
                <w:sz w:val="20"/>
                <w:szCs w:val="20"/>
                <w:lang w:val="en-US"/>
              </w:rPr>
            </w:pPr>
            <w:r>
              <w:rPr>
                <w:sz w:val="20"/>
                <w:szCs w:val="20"/>
                <w:lang w:val="en-US"/>
              </w:rPr>
              <w:t>Vendor certificates and licenses</w:t>
            </w:r>
          </w:p>
        </w:tc>
        <w:tc>
          <w:tcPr>
            <w:tcW w:w="2695" w:type="dxa"/>
            <w:tcBorders>
              <w:top w:val="single" w:sz="4" w:space="0" w:color="000000"/>
              <w:start w:val="single" w:sz="4" w:space="0" w:color="000000"/>
              <w:bottom w:val="single" w:sz="4" w:space="0" w:color="000000"/>
              <w:end w:val="single" w:sz="4" w:space="0" w:color="000000"/>
            </w:tcBorders>
            <w:vAlign w:val="center"/>
          </w:tcPr>
          <w:p>
            <w:pPr>
              <w:pStyle w:val="Normal"/>
              <w:ind w:start="720"/>
              <w:rPr>
                <w:sz w:val="20"/>
                <w:szCs w:val="20"/>
                <w:lang w:val="en-US"/>
              </w:rPr>
            </w:pPr>
            <w:r>
              <w:rPr>
                <w:sz w:val="20"/>
                <w:szCs w:val="20"/>
                <w:lang w:val="en-US"/>
              </w:rPr>
              <w:t>Vendor Risk Platform</w:t>
            </w:r>
          </w:p>
        </w:tc>
      </w:tr>
      <w:tr>
        <w:trPr/>
        <w:tc>
          <w:tcPr>
            <w:tcW w:w="2664" w:type="dxa"/>
            <w:tcBorders>
              <w:top w:val="single" w:sz="4" w:space="0" w:color="000000"/>
              <w:start w:val="single" w:sz="4" w:space="0" w:color="000000"/>
              <w:bottom w:val="single" w:sz="4" w:space="0" w:color="000000"/>
              <w:end w:val="single" w:sz="4" w:space="0" w:color="000000"/>
            </w:tcBorders>
            <w:vAlign w:val="center"/>
          </w:tcPr>
          <w:p>
            <w:pPr>
              <w:pStyle w:val="Normal"/>
              <w:ind w:start="720"/>
              <w:rPr>
                <w:sz w:val="20"/>
                <w:szCs w:val="20"/>
                <w:lang w:val="en-US"/>
              </w:rPr>
            </w:pPr>
            <w:r>
              <w:rPr>
                <w:sz w:val="20"/>
                <w:szCs w:val="20"/>
                <w:lang w:val="en-US"/>
              </w:rPr>
              <w:t>KPI Score</w:t>
            </w:r>
          </w:p>
        </w:tc>
        <w:tc>
          <w:tcPr>
            <w:tcW w:w="3627" w:type="dxa"/>
            <w:tcBorders>
              <w:top w:val="single" w:sz="4" w:space="0" w:color="000000"/>
              <w:start w:val="single" w:sz="4" w:space="0" w:color="000000"/>
              <w:bottom w:val="single" w:sz="4" w:space="0" w:color="000000"/>
              <w:end w:val="single" w:sz="4" w:space="0" w:color="000000"/>
            </w:tcBorders>
            <w:vAlign w:val="center"/>
          </w:tcPr>
          <w:p>
            <w:pPr>
              <w:pStyle w:val="Normal"/>
              <w:ind w:start="720"/>
              <w:rPr>
                <w:sz w:val="20"/>
                <w:szCs w:val="20"/>
                <w:lang w:val="en-US"/>
              </w:rPr>
            </w:pPr>
            <w:r>
              <w:rPr>
                <w:sz w:val="20"/>
                <w:szCs w:val="20"/>
                <w:lang w:val="en-US"/>
              </w:rPr>
              <w:t>Calculated performance metrics</w:t>
            </w:r>
          </w:p>
        </w:tc>
        <w:tc>
          <w:tcPr>
            <w:tcW w:w="2695" w:type="dxa"/>
            <w:tcBorders>
              <w:top w:val="single" w:sz="4" w:space="0" w:color="000000"/>
              <w:start w:val="single" w:sz="4" w:space="0" w:color="000000"/>
              <w:bottom w:val="single" w:sz="4" w:space="0" w:color="000000"/>
              <w:end w:val="single" w:sz="4" w:space="0" w:color="000000"/>
            </w:tcBorders>
            <w:vAlign w:val="center"/>
          </w:tcPr>
          <w:p>
            <w:pPr>
              <w:pStyle w:val="Normal"/>
              <w:ind w:start="720"/>
              <w:rPr>
                <w:sz w:val="20"/>
                <w:szCs w:val="20"/>
                <w:lang w:val="en-US"/>
              </w:rPr>
            </w:pPr>
            <w:r>
              <w:rPr>
                <w:sz w:val="20"/>
                <w:szCs w:val="20"/>
                <w:lang w:val="en-US"/>
              </w:rPr>
              <w:t>Vendor Risk Platform</w:t>
            </w:r>
          </w:p>
        </w:tc>
      </w:tr>
      <w:tr>
        <w:trPr/>
        <w:tc>
          <w:tcPr>
            <w:tcW w:w="2664" w:type="dxa"/>
            <w:tcBorders>
              <w:top w:val="single" w:sz="4" w:space="0" w:color="000000"/>
              <w:start w:val="single" w:sz="4" w:space="0" w:color="000000"/>
              <w:bottom w:val="single" w:sz="4" w:space="0" w:color="000000"/>
              <w:end w:val="single" w:sz="4" w:space="0" w:color="000000"/>
            </w:tcBorders>
            <w:vAlign w:val="center"/>
          </w:tcPr>
          <w:p>
            <w:pPr>
              <w:pStyle w:val="Normal"/>
              <w:ind w:start="720"/>
              <w:rPr>
                <w:sz w:val="20"/>
                <w:szCs w:val="20"/>
                <w:lang w:val="en-US"/>
              </w:rPr>
            </w:pPr>
            <w:r>
              <w:rPr>
                <w:sz w:val="20"/>
                <w:szCs w:val="20"/>
                <w:lang w:val="en-US"/>
              </w:rPr>
              <w:t>Risk Score</w:t>
            </w:r>
          </w:p>
        </w:tc>
        <w:tc>
          <w:tcPr>
            <w:tcW w:w="3627" w:type="dxa"/>
            <w:tcBorders>
              <w:top w:val="single" w:sz="4" w:space="0" w:color="000000"/>
              <w:start w:val="single" w:sz="4" w:space="0" w:color="000000"/>
              <w:bottom w:val="single" w:sz="4" w:space="0" w:color="000000"/>
              <w:end w:val="single" w:sz="4" w:space="0" w:color="000000"/>
            </w:tcBorders>
            <w:vAlign w:val="center"/>
          </w:tcPr>
          <w:p>
            <w:pPr>
              <w:pStyle w:val="Normal"/>
              <w:ind w:start="720"/>
              <w:rPr>
                <w:sz w:val="20"/>
                <w:szCs w:val="20"/>
                <w:lang w:val="en-US"/>
              </w:rPr>
            </w:pPr>
            <w:r>
              <w:rPr>
                <w:sz w:val="20"/>
                <w:szCs w:val="20"/>
                <w:lang w:val="en-US"/>
              </w:rPr>
              <w:t>Vendor risk assessment result</w:t>
            </w:r>
          </w:p>
        </w:tc>
        <w:tc>
          <w:tcPr>
            <w:tcW w:w="2695" w:type="dxa"/>
            <w:tcBorders>
              <w:top w:val="single" w:sz="4" w:space="0" w:color="000000"/>
              <w:start w:val="single" w:sz="4" w:space="0" w:color="000000"/>
              <w:bottom w:val="single" w:sz="4" w:space="0" w:color="000000"/>
              <w:end w:val="single" w:sz="4" w:space="0" w:color="000000"/>
            </w:tcBorders>
            <w:vAlign w:val="center"/>
          </w:tcPr>
          <w:p>
            <w:pPr>
              <w:pStyle w:val="Normal"/>
              <w:ind w:start="720"/>
              <w:rPr>
                <w:sz w:val="20"/>
                <w:szCs w:val="20"/>
                <w:lang w:val="en-US"/>
              </w:rPr>
            </w:pPr>
            <w:r>
              <w:rPr>
                <w:sz w:val="20"/>
                <w:szCs w:val="20"/>
                <w:lang w:val="en-US"/>
              </w:rPr>
              <w:t>Vendor Risk Platform</w:t>
            </w:r>
          </w:p>
        </w:tc>
      </w:tr>
      <w:tr>
        <w:trPr/>
        <w:tc>
          <w:tcPr>
            <w:tcW w:w="2664" w:type="dxa"/>
            <w:tcBorders>
              <w:top w:val="single" w:sz="4" w:space="0" w:color="000000"/>
              <w:start w:val="single" w:sz="4" w:space="0" w:color="000000"/>
              <w:bottom w:val="single" w:sz="4" w:space="0" w:color="000000"/>
              <w:end w:val="single" w:sz="4" w:space="0" w:color="000000"/>
            </w:tcBorders>
            <w:vAlign w:val="center"/>
          </w:tcPr>
          <w:p>
            <w:pPr>
              <w:pStyle w:val="Normal"/>
              <w:ind w:start="720"/>
              <w:rPr>
                <w:sz w:val="20"/>
                <w:szCs w:val="20"/>
                <w:lang w:val="en-US"/>
              </w:rPr>
            </w:pPr>
            <w:r>
              <w:rPr>
                <w:sz w:val="20"/>
                <w:szCs w:val="20"/>
                <w:lang w:val="en-US"/>
              </w:rPr>
              <w:t>Alert</w:t>
            </w:r>
          </w:p>
        </w:tc>
        <w:tc>
          <w:tcPr>
            <w:tcW w:w="3627" w:type="dxa"/>
            <w:tcBorders>
              <w:top w:val="single" w:sz="4" w:space="0" w:color="000000"/>
              <w:start w:val="single" w:sz="4" w:space="0" w:color="000000"/>
              <w:bottom w:val="single" w:sz="4" w:space="0" w:color="000000"/>
              <w:end w:val="single" w:sz="4" w:space="0" w:color="000000"/>
            </w:tcBorders>
            <w:vAlign w:val="center"/>
          </w:tcPr>
          <w:p>
            <w:pPr>
              <w:pStyle w:val="Normal"/>
              <w:ind w:start="720"/>
              <w:rPr>
                <w:sz w:val="20"/>
                <w:szCs w:val="20"/>
                <w:lang w:val="en-US"/>
              </w:rPr>
            </w:pPr>
            <w:r>
              <w:rPr>
                <w:sz w:val="20"/>
                <w:szCs w:val="20"/>
                <w:lang w:val="en-US"/>
              </w:rPr>
              <w:t>Compliance/risk notifications</w:t>
            </w:r>
          </w:p>
        </w:tc>
        <w:tc>
          <w:tcPr>
            <w:tcW w:w="2695" w:type="dxa"/>
            <w:tcBorders>
              <w:top w:val="single" w:sz="4" w:space="0" w:color="000000"/>
              <w:start w:val="single" w:sz="4" w:space="0" w:color="000000"/>
              <w:bottom w:val="single" w:sz="4" w:space="0" w:color="000000"/>
              <w:end w:val="single" w:sz="4" w:space="0" w:color="000000"/>
            </w:tcBorders>
            <w:vAlign w:val="center"/>
          </w:tcPr>
          <w:p>
            <w:pPr>
              <w:pStyle w:val="Normal"/>
              <w:ind w:start="720"/>
              <w:rPr>
                <w:sz w:val="20"/>
                <w:szCs w:val="20"/>
                <w:lang w:val="en-US"/>
              </w:rPr>
            </w:pPr>
            <w:r>
              <w:rPr>
                <w:sz w:val="20"/>
                <w:szCs w:val="20"/>
                <w:lang w:val="en-US"/>
              </w:rPr>
              <w:t>Vendor Risk Platform</w:t>
            </w:r>
          </w:p>
        </w:tc>
      </w:tr>
    </w:tbl>
    <w:p>
      <w:pPr>
        <w:pStyle w:val="Normal"/>
        <w:rPr/>
      </w:pPr>
      <w:r>
        <w:rPr/>
      </w:r>
    </w:p>
    <w:p>
      <w:pPr>
        <w:pStyle w:val="Heading3"/>
        <w:rPr/>
      </w:pPr>
      <w:bookmarkStart w:id="26" w:name="_Toc239804433"/>
      <w:r>
        <w:rPr/>
        <w:t>System of Record vs System of Insight</w:t>
      </w:r>
      <w:bookmarkEnd w:id="26"/>
    </w:p>
    <w:tbl>
      <w:tblPr>
        <w:tblW w:w="5639" w:type="dxa"/>
        <w:jc w:val="start"/>
        <w:tblInd w:w="10" w:type="dxa"/>
        <w:tblLayout w:type="fixed"/>
        <w:tblCellMar>
          <w:top w:w="15" w:type="dxa"/>
          <w:start w:w="15" w:type="dxa"/>
          <w:bottom w:w="15" w:type="dxa"/>
          <w:end w:w="15" w:type="dxa"/>
        </w:tblCellMar>
        <w:tblLook w:noHBand="0" w:noVBand="1" w:firstColumn="1" w:lastRow="0" w:lastColumn="0" w:firstRow="1" w:val="04a0"/>
      </w:tblPr>
      <w:tblGrid>
        <w:gridCol w:w="2022"/>
        <w:gridCol w:w="1801"/>
        <w:gridCol w:w="1816"/>
      </w:tblGrid>
      <w:tr>
        <w:trPr>
          <w:tblHeader w:val="true"/>
        </w:trPr>
        <w:tc>
          <w:tcPr>
            <w:tcW w:w="2022" w:type="dxa"/>
            <w:tcBorders>
              <w:top w:val="single" w:sz="4" w:space="0" w:color="000000"/>
              <w:start w:val="single" w:sz="4" w:space="0" w:color="000000"/>
              <w:bottom w:val="single" w:sz="4" w:space="0" w:color="000000"/>
              <w:end w:val="single" w:sz="4" w:space="0" w:color="000000"/>
            </w:tcBorders>
            <w:shd w:color="auto" w:fill="92D050" w:val="clear"/>
            <w:vAlign w:val="center"/>
          </w:tcPr>
          <w:p>
            <w:pPr>
              <w:pStyle w:val="Normal"/>
              <w:jc w:val="center"/>
              <w:rPr>
                <w:b/>
                <w:bCs/>
                <w:lang w:val="en-US"/>
              </w:rPr>
            </w:pPr>
            <w:r>
              <w:rPr>
                <w:b/>
                <w:bCs/>
                <w:lang w:val="en-US"/>
              </w:rPr>
              <w:t>Data Object</w:t>
            </w:r>
          </w:p>
        </w:tc>
        <w:tc>
          <w:tcPr>
            <w:tcW w:w="1801" w:type="dxa"/>
            <w:tcBorders>
              <w:top w:val="single" w:sz="4" w:space="0" w:color="000000"/>
              <w:start w:val="single" w:sz="4" w:space="0" w:color="000000"/>
              <w:bottom w:val="single" w:sz="4" w:space="0" w:color="000000"/>
              <w:end w:val="single" w:sz="4" w:space="0" w:color="000000"/>
            </w:tcBorders>
            <w:shd w:color="auto" w:fill="92D050" w:val="clear"/>
            <w:vAlign w:val="center"/>
          </w:tcPr>
          <w:p>
            <w:pPr>
              <w:pStyle w:val="Normal"/>
              <w:jc w:val="center"/>
              <w:rPr>
                <w:b/>
                <w:bCs/>
                <w:lang w:val="en-US"/>
              </w:rPr>
            </w:pPr>
            <w:r>
              <w:rPr>
                <w:b/>
                <w:bCs/>
                <w:lang w:val="en-US"/>
              </w:rPr>
              <w:t>System of Record</w:t>
            </w:r>
          </w:p>
        </w:tc>
        <w:tc>
          <w:tcPr>
            <w:tcW w:w="1816" w:type="dxa"/>
            <w:tcBorders>
              <w:top w:val="single" w:sz="4" w:space="0" w:color="000000"/>
              <w:start w:val="single" w:sz="4" w:space="0" w:color="000000"/>
              <w:bottom w:val="single" w:sz="4" w:space="0" w:color="000000"/>
              <w:end w:val="single" w:sz="4" w:space="0" w:color="000000"/>
            </w:tcBorders>
            <w:shd w:color="auto" w:fill="92D050" w:val="clear"/>
            <w:vAlign w:val="center"/>
          </w:tcPr>
          <w:p>
            <w:pPr>
              <w:pStyle w:val="Normal"/>
              <w:jc w:val="center"/>
              <w:rPr>
                <w:b/>
                <w:bCs/>
                <w:lang w:val="en-US"/>
              </w:rPr>
            </w:pPr>
            <w:r>
              <w:rPr>
                <w:b/>
                <w:bCs/>
                <w:lang w:val="en-US"/>
              </w:rPr>
              <w:t>System of Insight</w:t>
            </w:r>
          </w:p>
        </w:tc>
      </w:tr>
      <w:tr>
        <w:trPr/>
        <w:tc>
          <w:tcPr>
            <w:tcW w:w="2022" w:type="dxa"/>
            <w:tcBorders>
              <w:top w:val="single" w:sz="4" w:space="0" w:color="000000"/>
              <w:start w:val="single" w:sz="4" w:space="0" w:color="000000"/>
              <w:bottom w:val="single" w:sz="4" w:space="0" w:color="000000"/>
              <w:end w:val="single" w:sz="4" w:space="0" w:color="000000"/>
            </w:tcBorders>
            <w:vAlign w:val="center"/>
          </w:tcPr>
          <w:p>
            <w:pPr>
              <w:pStyle w:val="Normal"/>
              <w:rPr>
                <w:sz w:val="20"/>
                <w:szCs w:val="20"/>
                <w:lang w:val="en-US"/>
              </w:rPr>
            </w:pPr>
            <w:r>
              <w:rPr>
                <w:sz w:val="20"/>
                <w:szCs w:val="20"/>
                <w:lang w:val="en-US"/>
              </w:rPr>
              <w:t>Vendor</w:t>
            </w:r>
          </w:p>
        </w:tc>
        <w:tc>
          <w:tcPr>
            <w:tcW w:w="1801" w:type="dxa"/>
            <w:tcBorders>
              <w:top w:val="single" w:sz="4" w:space="0" w:color="000000"/>
              <w:start w:val="single" w:sz="4" w:space="0" w:color="000000"/>
              <w:bottom w:val="single" w:sz="4" w:space="0" w:color="000000"/>
              <w:end w:val="single" w:sz="4" w:space="0" w:color="000000"/>
            </w:tcBorders>
            <w:vAlign w:val="center"/>
          </w:tcPr>
          <w:p>
            <w:pPr>
              <w:pStyle w:val="Normal"/>
              <w:rPr>
                <w:sz w:val="20"/>
                <w:szCs w:val="20"/>
                <w:lang w:val="en-US"/>
              </w:rPr>
            </w:pPr>
            <w:r>
              <w:rPr>
                <w:sz w:val="20"/>
                <w:szCs w:val="20"/>
                <w:lang w:val="en-US"/>
              </w:rPr>
              <w:t>Business Central</w:t>
            </w:r>
          </w:p>
        </w:tc>
        <w:tc>
          <w:tcPr>
            <w:tcW w:w="1816" w:type="dxa"/>
            <w:tcBorders>
              <w:top w:val="single" w:sz="4" w:space="0" w:color="000000"/>
              <w:start w:val="single" w:sz="4" w:space="0" w:color="000000"/>
              <w:bottom w:val="single" w:sz="4" w:space="0" w:color="000000"/>
              <w:end w:val="single" w:sz="4" w:space="0" w:color="000000"/>
            </w:tcBorders>
            <w:vAlign w:val="center"/>
          </w:tcPr>
          <w:p>
            <w:pPr>
              <w:pStyle w:val="Normal"/>
              <w:rPr>
                <w:sz w:val="20"/>
                <w:szCs w:val="20"/>
                <w:lang w:val="en-US"/>
              </w:rPr>
            </w:pPr>
            <w:r>
              <w:rPr>
                <w:sz w:val="20"/>
                <w:szCs w:val="20"/>
                <w:lang w:val="en-US"/>
              </w:rPr>
              <w:t>Vendor Risk Platform</w:t>
            </w:r>
          </w:p>
        </w:tc>
      </w:tr>
      <w:tr>
        <w:trPr/>
        <w:tc>
          <w:tcPr>
            <w:tcW w:w="2022" w:type="dxa"/>
            <w:tcBorders>
              <w:top w:val="single" w:sz="4" w:space="0" w:color="000000"/>
              <w:start w:val="single" w:sz="4" w:space="0" w:color="000000"/>
              <w:bottom w:val="single" w:sz="4" w:space="0" w:color="000000"/>
              <w:end w:val="single" w:sz="4" w:space="0" w:color="000000"/>
            </w:tcBorders>
            <w:vAlign w:val="center"/>
          </w:tcPr>
          <w:p>
            <w:pPr>
              <w:pStyle w:val="Normal"/>
              <w:rPr>
                <w:sz w:val="20"/>
                <w:szCs w:val="20"/>
                <w:lang w:val="en-US"/>
              </w:rPr>
            </w:pPr>
            <w:r>
              <w:rPr>
                <w:sz w:val="20"/>
                <w:szCs w:val="20"/>
                <w:lang w:val="en-US"/>
              </w:rPr>
              <w:t>Purchase Orders</w:t>
            </w:r>
          </w:p>
        </w:tc>
        <w:tc>
          <w:tcPr>
            <w:tcW w:w="1801" w:type="dxa"/>
            <w:tcBorders>
              <w:top w:val="single" w:sz="4" w:space="0" w:color="000000"/>
              <w:start w:val="single" w:sz="4" w:space="0" w:color="000000"/>
              <w:bottom w:val="single" w:sz="4" w:space="0" w:color="000000"/>
              <w:end w:val="single" w:sz="4" w:space="0" w:color="000000"/>
            </w:tcBorders>
            <w:vAlign w:val="center"/>
          </w:tcPr>
          <w:p>
            <w:pPr>
              <w:pStyle w:val="Normal"/>
              <w:rPr>
                <w:sz w:val="20"/>
                <w:szCs w:val="20"/>
                <w:lang w:val="en-US"/>
              </w:rPr>
            </w:pPr>
            <w:r>
              <w:rPr>
                <w:sz w:val="20"/>
                <w:szCs w:val="20"/>
                <w:lang w:val="en-US"/>
              </w:rPr>
              <w:t>Business Central</w:t>
            </w:r>
          </w:p>
        </w:tc>
        <w:tc>
          <w:tcPr>
            <w:tcW w:w="1816" w:type="dxa"/>
            <w:tcBorders>
              <w:top w:val="single" w:sz="4" w:space="0" w:color="000000"/>
              <w:start w:val="single" w:sz="4" w:space="0" w:color="000000"/>
              <w:bottom w:val="single" w:sz="4" w:space="0" w:color="000000"/>
              <w:end w:val="single" w:sz="4" w:space="0" w:color="000000"/>
            </w:tcBorders>
            <w:vAlign w:val="center"/>
          </w:tcPr>
          <w:p>
            <w:pPr>
              <w:pStyle w:val="Normal"/>
              <w:rPr>
                <w:sz w:val="20"/>
                <w:szCs w:val="20"/>
                <w:lang w:val="en-US"/>
              </w:rPr>
            </w:pPr>
            <w:r>
              <w:rPr>
                <w:sz w:val="20"/>
                <w:szCs w:val="20"/>
                <w:lang w:val="en-US"/>
              </w:rPr>
              <w:t>Vendor Risk Platform</w:t>
            </w:r>
          </w:p>
        </w:tc>
      </w:tr>
      <w:tr>
        <w:trPr/>
        <w:tc>
          <w:tcPr>
            <w:tcW w:w="2022" w:type="dxa"/>
            <w:tcBorders>
              <w:top w:val="single" w:sz="4" w:space="0" w:color="000000"/>
              <w:start w:val="single" w:sz="4" w:space="0" w:color="000000"/>
              <w:bottom w:val="single" w:sz="4" w:space="0" w:color="000000"/>
              <w:end w:val="single" w:sz="4" w:space="0" w:color="000000"/>
            </w:tcBorders>
            <w:vAlign w:val="center"/>
          </w:tcPr>
          <w:p>
            <w:pPr>
              <w:pStyle w:val="Normal"/>
              <w:rPr>
                <w:sz w:val="20"/>
                <w:szCs w:val="20"/>
                <w:lang w:val="en-US"/>
              </w:rPr>
            </w:pPr>
            <w:r>
              <w:rPr>
                <w:sz w:val="20"/>
                <w:szCs w:val="20"/>
                <w:lang w:val="en-US"/>
              </w:rPr>
              <w:t>Invoices</w:t>
            </w:r>
          </w:p>
        </w:tc>
        <w:tc>
          <w:tcPr>
            <w:tcW w:w="1801" w:type="dxa"/>
            <w:tcBorders>
              <w:top w:val="single" w:sz="4" w:space="0" w:color="000000"/>
              <w:start w:val="single" w:sz="4" w:space="0" w:color="000000"/>
              <w:bottom w:val="single" w:sz="4" w:space="0" w:color="000000"/>
              <w:end w:val="single" w:sz="4" w:space="0" w:color="000000"/>
            </w:tcBorders>
            <w:vAlign w:val="center"/>
          </w:tcPr>
          <w:p>
            <w:pPr>
              <w:pStyle w:val="Normal"/>
              <w:rPr>
                <w:sz w:val="20"/>
                <w:szCs w:val="20"/>
                <w:lang w:val="en-US"/>
              </w:rPr>
            </w:pPr>
            <w:r>
              <w:rPr>
                <w:sz w:val="20"/>
                <w:szCs w:val="20"/>
                <w:lang w:val="en-US"/>
              </w:rPr>
              <w:t>Business Central</w:t>
            </w:r>
          </w:p>
        </w:tc>
        <w:tc>
          <w:tcPr>
            <w:tcW w:w="1816" w:type="dxa"/>
            <w:tcBorders>
              <w:top w:val="single" w:sz="4" w:space="0" w:color="000000"/>
              <w:start w:val="single" w:sz="4" w:space="0" w:color="000000"/>
              <w:bottom w:val="single" w:sz="4" w:space="0" w:color="000000"/>
              <w:end w:val="single" w:sz="4" w:space="0" w:color="000000"/>
            </w:tcBorders>
            <w:vAlign w:val="center"/>
          </w:tcPr>
          <w:p>
            <w:pPr>
              <w:pStyle w:val="Normal"/>
              <w:rPr>
                <w:sz w:val="20"/>
                <w:szCs w:val="20"/>
                <w:lang w:val="en-US"/>
              </w:rPr>
            </w:pPr>
            <w:r>
              <w:rPr>
                <w:sz w:val="20"/>
                <w:szCs w:val="20"/>
                <w:lang w:val="en-US"/>
              </w:rPr>
              <w:t>Vendor Risk Platform</w:t>
            </w:r>
          </w:p>
        </w:tc>
      </w:tr>
      <w:tr>
        <w:trPr/>
        <w:tc>
          <w:tcPr>
            <w:tcW w:w="2022" w:type="dxa"/>
            <w:tcBorders>
              <w:top w:val="single" w:sz="4" w:space="0" w:color="000000"/>
              <w:start w:val="single" w:sz="4" w:space="0" w:color="000000"/>
              <w:bottom w:val="single" w:sz="4" w:space="0" w:color="000000"/>
              <w:end w:val="single" w:sz="4" w:space="0" w:color="000000"/>
            </w:tcBorders>
            <w:vAlign w:val="center"/>
          </w:tcPr>
          <w:p>
            <w:pPr>
              <w:pStyle w:val="Normal"/>
              <w:rPr>
                <w:sz w:val="20"/>
                <w:szCs w:val="20"/>
                <w:lang w:val="en-US"/>
              </w:rPr>
            </w:pPr>
            <w:r>
              <w:rPr>
                <w:sz w:val="20"/>
                <w:szCs w:val="20"/>
                <w:lang w:val="en-US"/>
              </w:rPr>
              <w:t>Compliance Documents</w:t>
            </w:r>
          </w:p>
        </w:tc>
        <w:tc>
          <w:tcPr>
            <w:tcW w:w="1801" w:type="dxa"/>
            <w:tcBorders>
              <w:top w:val="single" w:sz="4" w:space="0" w:color="000000"/>
              <w:start w:val="single" w:sz="4" w:space="0" w:color="000000"/>
              <w:bottom w:val="single" w:sz="4" w:space="0" w:color="000000"/>
              <w:end w:val="single" w:sz="4" w:space="0" w:color="000000"/>
            </w:tcBorders>
            <w:vAlign w:val="center"/>
          </w:tcPr>
          <w:p>
            <w:pPr>
              <w:pStyle w:val="Normal"/>
              <w:rPr>
                <w:sz w:val="20"/>
                <w:szCs w:val="20"/>
                <w:lang w:val="en-US"/>
              </w:rPr>
            </w:pPr>
            <w:r>
              <w:rPr>
                <w:sz w:val="20"/>
                <w:szCs w:val="20"/>
                <w:lang w:val="en-US"/>
              </w:rPr>
              <w:t>Vendor Risk Platform</w:t>
            </w:r>
          </w:p>
        </w:tc>
        <w:tc>
          <w:tcPr>
            <w:tcW w:w="1816" w:type="dxa"/>
            <w:tcBorders>
              <w:top w:val="single" w:sz="4" w:space="0" w:color="000000"/>
              <w:start w:val="single" w:sz="4" w:space="0" w:color="000000"/>
              <w:bottom w:val="single" w:sz="4" w:space="0" w:color="000000"/>
              <w:end w:val="single" w:sz="4" w:space="0" w:color="000000"/>
            </w:tcBorders>
            <w:vAlign w:val="center"/>
          </w:tcPr>
          <w:p>
            <w:pPr>
              <w:pStyle w:val="Normal"/>
              <w:rPr>
                <w:sz w:val="20"/>
                <w:szCs w:val="20"/>
                <w:lang w:val="en-US"/>
              </w:rPr>
            </w:pPr>
            <w:r>
              <w:rPr>
                <w:sz w:val="20"/>
                <w:szCs w:val="20"/>
                <w:lang w:val="en-US"/>
              </w:rPr>
              <w:t>Vendor Risk Platform</w:t>
            </w:r>
          </w:p>
        </w:tc>
      </w:tr>
      <w:tr>
        <w:trPr/>
        <w:tc>
          <w:tcPr>
            <w:tcW w:w="2022" w:type="dxa"/>
            <w:tcBorders>
              <w:top w:val="single" w:sz="4" w:space="0" w:color="000000"/>
              <w:start w:val="single" w:sz="4" w:space="0" w:color="000000"/>
              <w:bottom w:val="single" w:sz="4" w:space="0" w:color="000000"/>
              <w:end w:val="single" w:sz="4" w:space="0" w:color="000000"/>
            </w:tcBorders>
            <w:vAlign w:val="center"/>
          </w:tcPr>
          <w:p>
            <w:pPr>
              <w:pStyle w:val="Normal"/>
              <w:rPr>
                <w:sz w:val="20"/>
                <w:szCs w:val="20"/>
                <w:lang w:val="en-US"/>
              </w:rPr>
            </w:pPr>
            <w:r>
              <w:rPr>
                <w:sz w:val="20"/>
                <w:szCs w:val="20"/>
                <w:lang w:val="en-US"/>
              </w:rPr>
              <w:t>KPI Scores</w:t>
            </w:r>
          </w:p>
        </w:tc>
        <w:tc>
          <w:tcPr>
            <w:tcW w:w="1801" w:type="dxa"/>
            <w:tcBorders>
              <w:top w:val="single" w:sz="4" w:space="0" w:color="000000"/>
              <w:start w:val="single" w:sz="4" w:space="0" w:color="000000"/>
              <w:bottom w:val="single" w:sz="4" w:space="0" w:color="000000"/>
              <w:end w:val="single" w:sz="4" w:space="0" w:color="000000"/>
            </w:tcBorders>
            <w:vAlign w:val="center"/>
          </w:tcPr>
          <w:p>
            <w:pPr>
              <w:pStyle w:val="Normal"/>
              <w:rPr>
                <w:sz w:val="20"/>
                <w:szCs w:val="20"/>
                <w:lang w:val="en-US"/>
              </w:rPr>
            </w:pPr>
            <w:r>
              <w:rPr>
                <w:sz w:val="20"/>
                <w:szCs w:val="20"/>
                <w:lang w:val="en-US"/>
              </w:rPr>
              <w:t>Vendor Risk Platform</w:t>
            </w:r>
          </w:p>
        </w:tc>
        <w:tc>
          <w:tcPr>
            <w:tcW w:w="1816" w:type="dxa"/>
            <w:tcBorders>
              <w:top w:val="single" w:sz="4" w:space="0" w:color="000000"/>
              <w:start w:val="single" w:sz="4" w:space="0" w:color="000000"/>
              <w:bottom w:val="single" w:sz="4" w:space="0" w:color="000000"/>
              <w:end w:val="single" w:sz="4" w:space="0" w:color="000000"/>
            </w:tcBorders>
            <w:vAlign w:val="center"/>
          </w:tcPr>
          <w:p>
            <w:pPr>
              <w:pStyle w:val="Normal"/>
              <w:rPr>
                <w:sz w:val="20"/>
                <w:szCs w:val="20"/>
                <w:lang w:val="en-US"/>
              </w:rPr>
            </w:pPr>
            <w:r>
              <w:rPr>
                <w:sz w:val="20"/>
                <w:szCs w:val="20"/>
                <w:lang w:val="en-US"/>
              </w:rPr>
              <w:t>Vendor Risk Platform</w:t>
            </w:r>
          </w:p>
        </w:tc>
      </w:tr>
      <w:tr>
        <w:trPr/>
        <w:tc>
          <w:tcPr>
            <w:tcW w:w="2022" w:type="dxa"/>
            <w:tcBorders>
              <w:top w:val="single" w:sz="4" w:space="0" w:color="000000"/>
              <w:start w:val="single" w:sz="4" w:space="0" w:color="000000"/>
              <w:bottom w:val="single" w:sz="4" w:space="0" w:color="000000"/>
              <w:end w:val="single" w:sz="4" w:space="0" w:color="000000"/>
            </w:tcBorders>
            <w:vAlign w:val="center"/>
          </w:tcPr>
          <w:p>
            <w:pPr>
              <w:pStyle w:val="Normal"/>
              <w:rPr>
                <w:sz w:val="20"/>
                <w:szCs w:val="20"/>
                <w:lang w:val="en-US"/>
              </w:rPr>
            </w:pPr>
            <w:r>
              <w:rPr>
                <w:sz w:val="20"/>
                <w:szCs w:val="20"/>
                <w:lang w:val="en-US"/>
              </w:rPr>
              <w:t>Risk Scores</w:t>
            </w:r>
          </w:p>
        </w:tc>
        <w:tc>
          <w:tcPr>
            <w:tcW w:w="1801" w:type="dxa"/>
            <w:tcBorders>
              <w:top w:val="single" w:sz="4" w:space="0" w:color="000000"/>
              <w:start w:val="single" w:sz="4" w:space="0" w:color="000000"/>
              <w:bottom w:val="single" w:sz="4" w:space="0" w:color="000000"/>
              <w:end w:val="single" w:sz="4" w:space="0" w:color="000000"/>
            </w:tcBorders>
            <w:vAlign w:val="center"/>
          </w:tcPr>
          <w:p>
            <w:pPr>
              <w:pStyle w:val="Normal"/>
              <w:rPr>
                <w:sz w:val="20"/>
                <w:szCs w:val="20"/>
                <w:lang w:val="en-US"/>
              </w:rPr>
            </w:pPr>
            <w:r>
              <w:rPr>
                <w:sz w:val="20"/>
                <w:szCs w:val="20"/>
                <w:lang w:val="en-US"/>
              </w:rPr>
              <w:t>Vendor Risk Platform</w:t>
            </w:r>
          </w:p>
        </w:tc>
        <w:tc>
          <w:tcPr>
            <w:tcW w:w="1816" w:type="dxa"/>
            <w:tcBorders>
              <w:top w:val="single" w:sz="4" w:space="0" w:color="000000"/>
              <w:start w:val="single" w:sz="4" w:space="0" w:color="000000"/>
              <w:bottom w:val="single" w:sz="4" w:space="0" w:color="000000"/>
              <w:end w:val="single" w:sz="4" w:space="0" w:color="000000"/>
            </w:tcBorders>
            <w:vAlign w:val="center"/>
          </w:tcPr>
          <w:p>
            <w:pPr>
              <w:pStyle w:val="Normal"/>
              <w:rPr>
                <w:sz w:val="20"/>
                <w:szCs w:val="20"/>
                <w:lang w:val="en-US"/>
              </w:rPr>
            </w:pPr>
            <w:r>
              <w:rPr>
                <w:sz w:val="20"/>
                <w:szCs w:val="20"/>
                <w:lang w:val="en-US"/>
              </w:rPr>
              <w:t>Vendor Risk Platform</w:t>
            </w:r>
          </w:p>
        </w:tc>
      </w:tr>
    </w:tbl>
    <w:p>
      <w:pPr>
        <w:pStyle w:val="Normal"/>
        <w:rPr/>
      </w:pPr>
      <w:r>
        <w:rPr/>
      </w:r>
    </w:p>
    <w:p>
      <w:pPr>
        <w:pStyle w:val="Normal"/>
        <w:rPr/>
      </w:pPr>
      <w:r>
        <w:rPr/>
      </w:r>
    </w:p>
    <w:p>
      <w:pPr>
        <w:pStyle w:val="Normal"/>
        <w:rPr/>
      </w:pPr>
      <w:r>
        <w:rPr/>
      </w:r>
    </w:p>
    <w:p>
      <w:pPr>
        <w:pStyle w:val="Heading2"/>
        <w:rPr>
          <w:lang w:val="en-US"/>
        </w:rPr>
      </w:pPr>
      <w:bookmarkStart w:id="27" w:name="_Toc239804434"/>
      <w:r>
        <w:rPr/>
        <w:t>Application Architecture</w:t>
      </w:r>
      <w:bookmarkEnd w:id="27"/>
    </w:p>
    <w:p>
      <w:pPr>
        <w:pStyle w:val="Heading3"/>
        <w:rPr/>
      </w:pPr>
      <w:bookmarkStart w:id="28" w:name="_Toc239804435"/>
      <w:r>
        <w:rPr/>
        <w:t>Application Inventory</w:t>
      </w:r>
      <w:bookmarkEnd w:id="28"/>
    </w:p>
    <w:p>
      <w:pPr>
        <w:pStyle w:val="Normal"/>
        <w:rPr/>
      </w:pPr>
      <w:r>
        <w:rPr/>
      </w:r>
    </w:p>
    <w:tbl>
      <w:tblPr>
        <w:tblW w:w="6609" w:type="dxa"/>
        <w:jc w:val="start"/>
        <w:tblInd w:w="10" w:type="dxa"/>
        <w:tblLayout w:type="fixed"/>
        <w:tblCellMar>
          <w:top w:w="15" w:type="dxa"/>
          <w:start w:w="15" w:type="dxa"/>
          <w:bottom w:w="15" w:type="dxa"/>
          <w:end w:w="15" w:type="dxa"/>
        </w:tblCellMar>
        <w:tblLook w:noHBand="0" w:noVBand="1" w:firstColumn="1" w:lastRow="0" w:lastColumn="0" w:firstRow="1" w:val="04a0"/>
      </w:tblPr>
      <w:tblGrid>
        <w:gridCol w:w="2744"/>
        <w:gridCol w:w="1689"/>
        <w:gridCol w:w="2176"/>
      </w:tblGrid>
      <w:tr>
        <w:trPr>
          <w:tblHeader w:val="true"/>
        </w:trPr>
        <w:tc>
          <w:tcPr>
            <w:tcW w:w="2744" w:type="dxa"/>
            <w:tcBorders>
              <w:top w:val="single" w:sz="4" w:space="0" w:color="000000"/>
              <w:start w:val="single" w:sz="4" w:space="0" w:color="000000"/>
              <w:bottom w:val="single" w:sz="4" w:space="0" w:color="000000"/>
              <w:end w:val="single" w:sz="4" w:space="0" w:color="000000"/>
            </w:tcBorders>
            <w:shd w:color="auto" w:fill="92D050" w:val="clear"/>
            <w:vAlign w:val="center"/>
          </w:tcPr>
          <w:p>
            <w:pPr>
              <w:pStyle w:val="Normal"/>
              <w:jc w:val="center"/>
              <w:rPr>
                <w:b/>
                <w:bCs/>
                <w:lang w:val="en-US"/>
              </w:rPr>
            </w:pPr>
            <w:r>
              <w:rPr>
                <w:b/>
                <w:bCs/>
                <w:lang w:val="en-US"/>
              </w:rPr>
              <w:t>Application</w:t>
            </w:r>
          </w:p>
        </w:tc>
        <w:tc>
          <w:tcPr>
            <w:tcW w:w="1689" w:type="dxa"/>
            <w:tcBorders>
              <w:top w:val="single" w:sz="4" w:space="0" w:color="000000"/>
              <w:start w:val="single" w:sz="4" w:space="0" w:color="000000"/>
              <w:bottom w:val="single" w:sz="4" w:space="0" w:color="000000"/>
              <w:end w:val="single" w:sz="4" w:space="0" w:color="000000"/>
            </w:tcBorders>
            <w:shd w:color="auto" w:fill="92D050" w:val="clear"/>
            <w:vAlign w:val="center"/>
          </w:tcPr>
          <w:p>
            <w:pPr>
              <w:pStyle w:val="Normal"/>
              <w:jc w:val="center"/>
              <w:rPr>
                <w:b/>
                <w:bCs/>
                <w:lang w:val="en-US"/>
              </w:rPr>
            </w:pPr>
            <w:r>
              <w:rPr>
                <w:b/>
                <w:bCs/>
                <w:lang w:val="en-US"/>
              </w:rPr>
              <w:t>Type</w:t>
            </w:r>
          </w:p>
        </w:tc>
        <w:tc>
          <w:tcPr>
            <w:tcW w:w="2176" w:type="dxa"/>
            <w:tcBorders>
              <w:top w:val="single" w:sz="4" w:space="0" w:color="000000"/>
              <w:start w:val="single" w:sz="4" w:space="0" w:color="000000"/>
              <w:bottom w:val="single" w:sz="4" w:space="0" w:color="000000"/>
              <w:end w:val="single" w:sz="4" w:space="0" w:color="000000"/>
            </w:tcBorders>
            <w:shd w:color="auto" w:fill="92D050" w:val="clear"/>
            <w:vAlign w:val="center"/>
          </w:tcPr>
          <w:p>
            <w:pPr>
              <w:pStyle w:val="Normal"/>
              <w:jc w:val="center"/>
              <w:rPr>
                <w:b/>
                <w:bCs/>
                <w:lang w:val="en-US"/>
              </w:rPr>
            </w:pPr>
            <w:r>
              <w:rPr>
                <w:b/>
                <w:bCs/>
                <w:lang w:val="en-US"/>
              </w:rPr>
              <w:t>Purpose</w:t>
            </w:r>
          </w:p>
        </w:tc>
      </w:tr>
      <w:tr>
        <w:trPr/>
        <w:tc>
          <w:tcPr>
            <w:tcW w:w="2744" w:type="dxa"/>
            <w:tcBorders>
              <w:top w:val="single" w:sz="4" w:space="0" w:color="000000"/>
              <w:start w:val="single" w:sz="4" w:space="0" w:color="000000"/>
              <w:bottom w:val="single" w:sz="4" w:space="0" w:color="000000"/>
              <w:end w:val="single" w:sz="4" w:space="0" w:color="000000"/>
            </w:tcBorders>
            <w:vAlign w:val="center"/>
          </w:tcPr>
          <w:p>
            <w:pPr>
              <w:pStyle w:val="Normal"/>
              <w:rPr>
                <w:sz w:val="20"/>
                <w:szCs w:val="20"/>
                <w:lang w:val="en-US"/>
              </w:rPr>
            </w:pPr>
            <w:r>
              <w:rPr>
                <w:sz w:val="20"/>
                <w:szCs w:val="20"/>
                <w:lang w:val="en-US"/>
              </w:rPr>
              <w:t>Business Central</w:t>
            </w:r>
          </w:p>
        </w:tc>
        <w:tc>
          <w:tcPr>
            <w:tcW w:w="1689" w:type="dxa"/>
            <w:tcBorders>
              <w:top w:val="single" w:sz="4" w:space="0" w:color="000000"/>
              <w:start w:val="single" w:sz="4" w:space="0" w:color="000000"/>
              <w:bottom w:val="single" w:sz="4" w:space="0" w:color="000000"/>
              <w:end w:val="single" w:sz="4" w:space="0" w:color="000000"/>
            </w:tcBorders>
            <w:vAlign w:val="center"/>
          </w:tcPr>
          <w:p>
            <w:pPr>
              <w:pStyle w:val="Normal"/>
              <w:rPr>
                <w:sz w:val="20"/>
                <w:szCs w:val="20"/>
                <w:lang w:val="en-US"/>
              </w:rPr>
            </w:pPr>
            <w:r>
              <w:rPr>
                <w:sz w:val="20"/>
                <w:szCs w:val="20"/>
                <w:lang w:val="en-US"/>
              </w:rPr>
              <w:t>SaaS ERP</w:t>
            </w:r>
          </w:p>
        </w:tc>
        <w:tc>
          <w:tcPr>
            <w:tcW w:w="2176" w:type="dxa"/>
            <w:tcBorders>
              <w:top w:val="single" w:sz="4" w:space="0" w:color="000000"/>
              <w:start w:val="single" w:sz="4" w:space="0" w:color="000000"/>
              <w:bottom w:val="single" w:sz="4" w:space="0" w:color="000000"/>
              <w:end w:val="single" w:sz="4" w:space="0" w:color="000000"/>
            </w:tcBorders>
            <w:vAlign w:val="center"/>
          </w:tcPr>
          <w:p>
            <w:pPr>
              <w:pStyle w:val="Normal"/>
              <w:rPr>
                <w:sz w:val="20"/>
                <w:szCs w:val="20"/>
                <w:lang w:val="en-US"/>
              </w:rPr>
            </w:pPr>
            <w:r>
              <w:rPr>
                <w:sz w:val="20"/>
                <w:szCs w:val="20"/>
                <w:lang w:val="en-US"/>
              </w:rPr>
              <w:t>Source procurement data</w:t>
            </w:r>
          </w:p>
        </w:tc>
      </w:tr>
      <w:tr>
        <w:trPr/>
        <w:tc>
          <w:tcPr>
            <w:tcW w:w="2744" w:type="dxa"/>
            <w:tcBorders>
              <w:top w:val="single" w:sz="4" w:space="0" w:color="000000"/>
              <w:start w:val="single" w:sz="4" w:space="0" w:color="000000"/>
              <w:bottom w:val="single" w:sz="4" w:space="0" w:color="000000"/>
              <w:end w:val="single" w:sz="4" w:space="0" w:color="000000"/>
            </w:tcBorders>
            <w:vAlign w:val="center"/>
          </w:tcPr>
          <w:p>
            <w:pPr>
              <w:pStyle w:val="Normal"/>
              <w:rPr>
                <w:sz w:val="20"/>
                <w:szCs w:val="20"/>
                <w:lang w:val="en-US"/>
              </w:rPr>
            </w:pPr>
            <w:r>
              <w:rPr>
                <w:sz w:val="20"/>
                <w:szCs w:val="20"/>
                <w:lang w:val="en-US"/>
              </w:rPr>
              <w:t>Vendor Risk Platform</w:t>
            </w:r>
          </w:p>
        </w:tc>
        <w:tc>
          <w:tcPr>
            <w:tcW w:w="1689" w:type="dxa"/>
            <w:tcBorders>
              <w:top w:val="single" w:sz="4" w:space="0" w:color="000000"/>
              <w:start w:val="single" w:sz="4" w:space="0" w:color="000000"/>
              <w:bottom w:val="single" w:sz="4" w:space="0" w:color="000000"/>
              <w:end w:val="single" w:sz="4" w:space="0" w:color="000000"/>
            </w:tcBorders>
            <w:vAlign w:val="center"/>
          </w:tcPr>
          <w:p>
            <w:pPr>
              <w:pStyle w:val="Normal"/>
              <w:rPr>
                <w:sz w:val="20"/>
                <w:szCs w:val="20"/>
                <w:lang w:val="en-US"/>
              </w:rPr>
            </w:pPr>
            <w:r>
              <w:rPr>
                <w:sz w:val="20"/>
                <w:szCs w:val="20"/>
                <w:lang w:val="en-US"/>
              </w:rPr>
              <w:t>Web Application</w:t>
            </w:r>
          </w:p>
        </w:tc>
        <w:tc>
          <w:tcPr>
            <w:tcW w:w="2176" w:type="dxa"/>
            <w:tcBorders>
              <w:top w:val="single" w:sz="4" w:space="0" w:color="000000"/>
              <w:start w:val="single" w:sz="4" w:space="0" w:color="000000"/>
              <w:bottom w:val="single" w:sz="4" w:space="0" w:color="000000"/>
              <w:end w:val="single" w:sz="4" w:space="0" w:color="000000"/>
            </w:tcBorders>
            <w:vAlign w:val="center"/>
          </w:tcPr>
          <w:p>
            <w:pPr>
              <w:pStyle w:val="Normal"/>
              <w:rPr>
                <w:sz w:val="20"/>
                <w:szCs w:val="20"/>
                <w:lang w:val="en-US"/>
              </w:rPr>
            </w:pPr>
            <w:r>
              <w:rPr>
                <w:sz w:val="20"/>
                <w:szCs w:val="20"/>
                <w:lang w:val="en-US"/>
              </w:rPr>
              <w:t>User-facing application</w:t>
            </w:r>
          </w:p>
        </w:tc>
      </w:tr>
      <w:tr>
        <w:trPr/>
        <w:tc>
          <w:tcPr>
            <w:tcW w:w="2744" w:type="dxa"/>
            <w:tcBorders>
              <w:top w:val="single" w:sz="4" w:space="0" w:color="000000"/>
              <w:start w:val="single" w:sz="4" w:space="0" w:color="000000"/>
              <w:bottom w:val="single" w:sz="4" w:space="0" w:color="000000"/>
              <w:end w:val="single" w:sz="4" w:space="0" w:color="000000"/>
            </w:tcBorders>
            <w:vAlign w:val="center"/>
          </w:tcPr>
          <w:p>
            <w:pPr>
              <w:pStyle w:val="Normal"/>
              <w:rPr>
                <w:sz w:val="20"/>
                <w:szCs w:val="20"/>
                <w:lang w:val="en-US"/>
              </w:rPr>
            </w:pPr>
            <w:r>
              <w:rPr>
                <w:sz w:val="20"/>
                <w:szCs w:val="20"/>
                <w:lang w:val="en-US"/>
              </w:rPr>
              <w:t>Integration Service</w:t>
            </w:r>
          </w:p>
        </w:tc>
        <w:tc>
          <w:tcPr>
            <w:tcW w:w="1689" w:type="dxa"/>
            <w:tcBorders>
              <w:top w:val="single" w:sz="4" w:space="0" w:color="000000"/>
              <w:start w:val="single" w:sz="4" w:space="0" w:color="000000"/>
              <w:bottom w:val="single" w:sz="4" w:space="0" w:color="000000"/>
              <w:end w:val="single" w:sz="4" w:space="0" w:color="000000"/>
            </w:tcBorders>
            <w:vAlign w:val="center"/>
          </w:tcPr>
          <w:p>
            <w:pPr>
              <w:pStyle w:val="Normal"/>
              <w:rPr>
                <w:sz w:val="20"/>
                <w:szCs w:val="20"/>
                <w:lang w:val="en-US"/>
              </w:rPr>
            </w:pPr>
            <w:r>
              <w:rPr>
                <w:sz w:val="20"/>
                <w:szCs w:val="20"/>
                <w:lang w:val="en-US"/>
              </w:rPr>
              <w:t>Middleware Service</w:t>
            </w:r>
          </w:p>
        </w:tc>
        <w:tc>
          <w:tcPr>
            <w:tcW w:w="2176" w:type="dxa"/>
            <w:tcBorders>
              <w:top w:val="single" w:sz="4" w:space="0" w:color="000000"/>
              <w:start w:val="single" w:sz="4" w:space="0" w:color="000000"/>
              <w:bottom w:val="single" w:sz="4" w:space="0" w:color="000000"/>
              <w:end w:val="single" w:sz="4" w:space="0" w:color="000000"/>
            </w:tcBorders>
            <w:vAlign w:val="center"/>
          </w:tcPr>
          <w:p>
            <w:pPr>
              <w:pStyle w:val="Normal"/>
              <w:rPr>
                <w:sz w:val="20"/>
                <w:szCs w:val="20"/>
                <w:lang w:val="en-US"/>
              </w:rPr>
            </w:pPr>
            <w:r>
              <w:rPr>
                <w:sz w:val="20"/>
                <w:szCs w:val="20"/>
                <w:lang w:val="en-US"/>
              </w:rPr>
              <w:t>Data synchronization</w:t>
            </w:r>
          </w:p>
        </w:tc>
      </w:tr>
      <w:tr>
        <w:trPr/>
        <w:tc>
          <w:tcPr>
            <w:tcW w:w="2744" w:type="dxa"/>
            <w:tcBorders>
              <w:top w:val="single" w:sz="4" w:space="0" w:color="000000"/>
              <w:start w:val="single" w:sz="4" w:space="0" w:color="000000"/>
              <w:bottom w:val="single" w:sz="4" w:space="0" w:color="000000"/>
              <w:end w:val="single" w:sz="4" w:space="0" w:color="000000"/>
            </w:tcBorders>
            <w:vAlign w:val="center"/>
          </w:tcPr>
          <w:p>
            <w:pPr>
              <w:pStyle w:val="Normal"/>
              <w:rPr>
                <w:sz w:val="20"/>
                <w:szCs w:val="20"/>
                <w:lang w:val="en-US"/>
              </w:rPr>
            </w:pPr>
            <w:r>
              <w:rPr>
                <w:sz w:val="20"/>
                <w:szCs w:val="20"/>
                <w:lang w:val="en-US"/>
              </w:rPr>
              <w:t>Procurement Intelligence Engine</w:t>
            </w:r>
          </w:p>
        </w:tc>
        <w:tc>
          <w:tcPr>
            <w:tcW w:w="1689" w:type="dxa"/>
            <w:tcBorders>
              <w:top w:val="single" w:sz="4" w:space="0" w:color="000000"/>
              <w:start w:val="single" w:sz="4" w:space="0" w:color="000000"/>
              <w:bottom w:val="single" w:sz="4" w:space="0" w:color="000000"/>
              <w:end w:val="single" w:sz="4" w:space="0" w:color="000000"/>
            </w:tcBorders>
            <w:vAlign w:val="center"/>
          </w:tcPr>
          <w:p>
            <w:pPr>
              <w:pStyle w:val="Normal"/>
              <w:rPr>
                <w:sz w:val="20"/>
                <w:szCs w:val="20"/>
                <w:lang w:val="en-US"/>
              </w:rPr>
            </w:pPr>
            <w:r>
              <w:rPr>
                <w:sz w:val="20"/>
                <w:szCs w:val="20"/>
                <w:lang w:val="en-US"/>
              </w:rPr>
              <w:t>Business Service</w:t>
            </w:r>
          </w:p>
        </w:tc>
        <w:tc>
          <w:tcPr>
            <w:tcW w:w="2176" w:type="dxa"/>
            <w:tcBorders>
              <w:top w:val="single" w:sz="4" w:space="0" w:color="000000"/>
              <w:start w:val="single" w:sz="4" w:space="0" w:color="000000"/>
              <w:bottom w:val="single" w:sz="4" w:space="0" w:color="000000"/>
              <w:end w:val="single" w:sz="4" w:space="0" w:color="000000"/>
            </w:tcBorders>
            <w:vAlign w:val="center"/>
          </w:tcPr>
          <w:p>
            <w:pPr>
              <w:pStyle w:val="Normal"/>
              <w:rPr>
                <w:sz w:val="20"/>
                <w:szCs w:val="20"/>
                <w:lang w:val="en-US"/>
              </w:rPr>
            </w:pPr>
            <w:r>
              <w:rPr>
                <w:sz w:val="20"/>
                <w:szCs w:val="20"/>
                <w:lang w:val="en-US"/>
              </w:rPr>
              <w:t>KPI &amp; Risk calculations</w:t>
            </w:r>
          </w:p>
        </w:tc>
      </w:tr>
      <w:tr>
        <w:trPr/>
        <w:tc>
          <w:tcPr>
            <w:tcW w:w="2744" w:type="dxa"/>
            <w:tcBorders>
              <w:top w:val="single" w:sz="4" w:space="0" w:color="000000"/>
              <w:start w:val="single" w:sz="4" w:space="0" w:color="000000"/>
              <w:bottom w:val="single" w:sz="4" w:space="0" w:color="000000"/>
              <w:end w:val="single" w:sz="4" w:space="0" w:color="000000"/>
            </w:tcBorders>
            <w:vAlign w:val="center"/>
          </w:tcPr>
          <w:p>
            <w:pPr>
              <w:pStyle w:val="Normal"/>
              <w:rPr>
                <w:sz w:val="20"/>
                <w:szCs w:val="20"/>
                <w:lang w:val="en-US"/>
              </w:rPr>
            </w:pPr>
            <w:r>
              <w:rPr>
                <w:sz w:val="20"/>
                <w:szCs w:val="20"/>
                <w:lang w:val="en-US"/>
              </w:rPr>
              <w:t>Notification Service</w:t>
            </w:r>
          </w:p>
        </w:tc>
        <w:tc>
          <w:tcPr>
            <w:tcW w:w="1689" w:type="dxa"/>
            <w:tcBorders>
              <w:top w:val="single" w:sz="4" w:space="0" w:color="000000"/>
              <w:start w:val="single" w:sz="4" w:space="0" w:color="000000"/>
              <w:bottom w:val="single" w:sz="4" w:space="0" w:color="000000"/>
              <w:end w:val="single" w:sz="4" w:space="0" w:color="000000"/>
            </w:tcBorders>
            <w:vAlign w:val="center"/>
          </w:tcPr>
          <w:p>
            <w:pPr>
              <w:pStyle w:val="Normal"/>
              <w:rPr>
                <w:sz w:val="20"/>
                <w:szCs w:val="20"/>
                <w:lang w:val="en-US"/>
              </w:rPr>
            </w:pPr>
            <w:r>
              <w:rPr>
                <w:sz w:val="20"/>
                <w:szCs w:val="20"/>
                <w:lang w:val="en-US"/>
              </w:rPr>
              <w:t>Business Service</w:t>
            </w:r>
          </w:p>
        </w:tc>
        <w:tc>
          <w:tcPr>
            <w:tcW w:w="2176" w:type="dxa"/>
            <w:tcBorders>
              <w:top w:val="single" w:sz="4" w:space="0" w:color="000000"/>
              <w:start w:val="single" w:sz="4" w:space="0" w:color="000000"/>
              <w:bottom w:val="single" w:sz="4" w:space="0" w:color="000000"/>
              <w:end w:val="single" w:sz="4" w:space="0" w:color="000000"/>
            </w:tcBorders>
            <w:vAlign w:val="center"/>
          </w:tcPr>
          <w:p>
            <w:pPr>
              <w:pStyle w:val="Normal"/>
              <w:rPr>
                <w:sz w:val="20"/>
                <w:szCs w:val="20"/>
                <w:lang w:val="en-US"/>
              </w:rPr>
            </w:pPr>
            <w:r>
              <w:rPr>
                <w:sz w:val="20"/>
                <w:szCs w:val="20"/>
                <w:lang w:val="en-US"/>
              </w:rPr>
              <w:t>Alerts and notifications</w:t>
            </w:r>
          </w:p>
        </w:tc>
      </w:tr>
      <w:tr>
        <w:trPr/>
        <w:tc>
          <w:tcPr>
            <w:tcW w:w="2744" w:type="dxa"/>
            <w:tcBorders>
              <w:top w:val="single" w:sz="4" w:space="0" w:color="000000"/>
              <w:start w:val="single" w:sz="4" w:space="0" w:color="000000"/>
              <w:bottom w:val="single" w:sz="4" w:space="0" w:color="000000"/>
              <w:end w:val="single" w:sz="4" w:space="0" w:color="000000"/>
            </w:tcBorders>
            <w:vAlign w:val="center"/>
          </w:tcPr>
          <w:p>
            <w:pPr>
              <w:pStyle w:val="Normal"/>
              <w:rPr>
                <w:sz w:val="20"/>
                <w:szCs w:val="20"/>
                <w:lang w:val="en-US"/>
              </w:rPr>
            </w:pPr>
            <w:r>
              <w:rPr>
                <w:sz w:val="20"/>
                <w:szCs w:val="20"/>
                <w:lang w:val="en-US"/>
              </w:rPr>
              <w:t>SQL Database</w:t>
            </w:r>
          </w:p>
        </w:tc>
        <w:tc>
          <w:tcPr>
            <w:tcW w:w="1689" w:type="dxa"/>
            <w:tcBorders>
              <w:top w:val="single" w:sz="4" w:space="0" w:color="000000"/>
              <w:start w:val="single" w:sz="4" w:space="0" w:color="000000"/>
              <w:bottom w:val="single" w:sz="4" w:space="0" w:color="000000"/>
              <w:end w:val="single" w:sz="4" w:space="0" w:color="000000"/>
            </w:tcBorders>
            <w:vAlign w:val="center"/>
          </w:tcPr>
          <w:p>
            <w:pPr>
              <w:pStyle w:val="Normal"/>
              <w:rPr>
                <w:sz w:val="20"/>
                <w:szCs w:val="20"/>
                <w:lang w:val="en-US"/>
              </w:rPr>
            </w:pPr>
            <w:r>
              <w:rPr>
                <w:sz w:val="20"/>
                <w:szCs w:val="20"/>
                <w:lang w:val="en-US"/>
              </w:rPr>
              <w:t>Database</w:t>
            </w:r>
          </w:p>
        </w:tc>
        <w:tc>
          <w:tcPr>
            <w:tcW w:w="2176" w:type="dxa"/>
            <w:tcBorders>
              <w:top w:val="single" w:sz="4" w:space="0" w:color="000000"/>
              <w:start w:val="single" w:sz="4" w:space="0" w:color="000000"/>
              <w:bottom w:val="single" w:sz="4" w:space="0" w:color="000000"/>
              <w:end w:val="single" w:sz="4" w:space="0" w:color="000000"/>
            </w:tcBorders>
            <w:vAlign w:val="center"/>
          </w:tcPr>
          <w:p>
            <w:pPr>
              <w:pStyle w:val="Normal"/>
              <w:rPr>
                <w:sz w:val="20"/>
                <w:szCs w:val="20"/>
                <w:lang w:val="en-US"/>
              </w:rPr>
            </w:pPr>
            <w:r>
              <w:rPr>
                <w:sz w:val="20"/>
                <w:szCs w:val="20"/>
                <w:lang w:val="en-US"/>
              </w:rPr>
              <w:t>Analytical data storage</w:t>
            </w:r>
          </w:p>
        </w:tc>
      </w:tr>
    </w:tbl>
    <w:p>
      <w:pPr>
        <w:pStyle w:val="Normal"/>
        <w:rPr/>
      </w:pPr>
      <w:r>
        <w:rPr/>
      </w:r>
    </w:p>
    <w:p>
      <w:pPr>
        <w:pStyle w:val="Normal"/>
        <w:rPr/>
      </w:pPr>
      <w:r>
        <w:rPr/>
      </w:r>
    </w:p>
    <w:p>
      <w:pPr>
        <w:pStyle w:val="Normal"/>
        <w:rPr>
          <w:lang w:val="en-US"/>
        </w:rPr>
      </w:pPr>
      <w:r>
        <w:rPr>
          <w:lang w:val="en-US"/>
        </w:rPr>
      </w:r>
    </w:p>
    <w:p>
      <w:pPr>
        <w:pStyle w:val="Heading2"/>
        <w:rPr>
          <w:lang w:val="en-US"/>
        </w:rPr>
      </w:pPr>
      <w:bookmarkStart w:id="29" w:name="_Toc239804436"/>
      <w:r>
        <w:rPr/>
        <w:t>Integration Architecture</w:t>
      </w:r>
      <w:bookmarkEnd w:id="29"/>
    </w:p>
    <w:p>
      <w:pPr>
        <w:pStyle w:val="Heading3"/>
        <w:rPr/>
      </w:pPr>
      <w:bookmarkStart w:id="30" w:name="_Toc239804437"/>
      <w:r>
        <w:rPr/>
        <w:t>Interface Inventory</w:t>
      </w:r>
      <w:bookmarkEnd w:id="30"/>
    </w:p>
    <w:tbl>
      <w:tblPr>
        <w:tblW w:w="7285" w:type="dxa"/>
        <w:jc w:val="start"/>
        <w:tblInd w:w="10" w:type="dxa"/>
        <w:tblLayout w:type="fixed"/>
        <w:tblCellMar>
          <w:top w:w="15" w:type="dxa"/>
          <w:start w:w="15" w:type="dxa"/>
          <w:bottom w:w="15" w:type="dxa"/>
          <w:end w:w="15" w:type="dxa"/>
        </w:tblCellMar>
        <w:tblLook w:noHBand="0" w:noVBand="1" w:firstColumn="1" w:lastRow="0" w:lastColumn="0" w:firstRow="1" w:val="04a0"/>
      </w:tblPr>
      <w:tblGrid>
        <w:gridCol w:w="1048"/>
        <w:gridCol w:w="2126"/>
        <w:gridCol w:w="1983"/>
        <w:gridCol w:w="2128"/>
      </w:tblGrid>
      <w:tr>
        <w:trPr>
          <w:tblHeader w:val="true"/>
        </w:trPr>
        <w:tc>
          <w:tcPr>
            <w:tcW w:w="1048" w:type="dxa"/>
            <w:tcBorders>
              <w:top w:val="single" w:sz="4" w:space="0" w:color="000000"/>
              <w:start w:val="single" w:sz="4" w:space="0" w:color="000000"/>
              <w:bottom w:val="single" w:sz="4" w:space="0" w:color="000000"/>
              <w:end w:val="single" w:sz="4" w:space="0" w:color="000000"/>
            </w:tcBorders>
            <w:shd w:color="auto" w:fill="92D050" w:val="clear"/>
            <w:vAlign w:val="center"/>
          </w:tcPr>
          <w:p>
            <w:pPr>
              <w:pStyle w:val="Normal"/>
              <w:jc w:val="center"/>
              <w:rPr>
                <w:b/>
                <w:bCs/>
                <w:lang w:val="en-US"/>
              </w:rPr>
            </w:pPr>
            <w:r>
              <w:rPr>
                <w:b/>
                <w:bCs/>
                <w:lang w:val="en-US"/>
              </w:rPr>
              <w:t>ID</w:t>
            </w:r>
          </w:p>
        </w:tc>
        <w:tc>
          <w:tcPr>
            <w:tcW w:w="2126" w:type="dxa"/>
            <w:tcBorders>
              <w:top w:val="single" w:sz="4" w:space="0" w:color="000000"/>
              <w:start w:val="single" w:sz="4" w:space="0" w:color="000000"/>
              <w:bottom w:val="single" w:sz="4" w:space="0" w:color="000000"/>
              <w:end w:val="single" w:sz="4" w:space="0" w:color="000000"/>
            </w:tcBorders>
            <w:shd w:color="auto" w:fill="92D050" w:val="clear"/>
            <w:vAlign w:val="center"/>
          </w:tcPr>
          <w:p>
            <w:pPr>
              <w:pStyle w:val="Normal"/>
              <w:jc w:val="center"/>
              <w:rPr>
                <w:b/>
                <w:bCs/>
                <w:lang w:val="en-US"/>
              </w:rPr>
            </w:pPr>
            <w:r>
              <w:rPr>
                <w:b/>
                <w:bCs/>
                <w:lang w:val="en-US"/>
              </w:rPr>
              <w:t>Source</w:t>
            </w:r>
          </w:p>
        </w:tc>
        <w:tc>
          <w:tcPr>
            <w:tcW w:w="1983" w:type="dxa"/>
            <w:tcBorders>
              <w:top w:val="single" w:sz="4" w:space="0" w:color="000000"/>
              <w:start w:val="single" w:sz="4" w:space="0" w:color="000000"/>
              <w:bottom w:val="single" w:sz="4" w:space="0" w:color="000000"/>
              <w:end w:val="single" w:sz="4" w:space="0" w:color="000000"/>
            </w:tcBorders>
            <w:shd w:color="auto" w:fill="92D050" w:val="clear"/>
            <w:vAlign w:val="center"/>
          </w:tcPr>
          <w:p>
            <w:pPr>
              <w:pStyle w:val="Normal"/>
              <w:jc w:val="center"/>
              <w:rPr>
                <w:b/>
                <w:bCs/>
                <w:lang w:val="en-US"/>
              </w:rPr>
            </w:pPr>
            <w:r>
              <w:rPr>
                <w:b/>
                <w:bCs/>
                <w:lang w:val="en-US"/>
              </w:rPr>
              <w:t>Target</w:t>
            </w:r>
          </w:p>
        </w:tc>
        <w:tc>
          <w:tcPr>
            <w:tcW w:w="2128" w:type="dxa"/>
            <w:tcBorders>
              <w:top w:val="single" w:sz="4" w:space="0" w:color="000000"/>
              <w:start w:val="single" w:sz="4" w:space="0" w:color="000000"/>
              <w:bottom w:val="single" w:sz="4" w:space="0" w:color="000000"/>
              <w:end w:val="single" w:sz="4" w:space="0" w:color="000000"/>
            </w:tcBorders>
            <w:shd w:color="auto" w:fill="92D050" w:val="clear"/>
            <w:vAlign w:val="center"/>
          </w:tcPr>
          <w:p>
            <w:pPr>
              <w:pStyle w:val="Normal"/>
              <w:jc w:val="center"/>
              <w:rPr>
                <w:b/>
                <w:bCs/>
                <w:lang w:val="en-US"/>
              </w:rPr>
            </w:pPr>
            <w:r>
              <w:rPr>
                <w:b/>
                <w:bCs/>
                <w:lang w:val="en-US"/>
              </w:rPr>
              <w:t>Interface Type</w:t>
            </w:r>
          </w:p>
        </w:tc>
      </w:tr>
      <w:tr>
        <w:trPr/>
        <w:tc>
          <w:tcPr>
            <w:tcW w:w="1048"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INT-01</w:t>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Business Central</w:t>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Integration Service</w:t>
            </w:r>
          </w:p>
        </w:tc>
        <w:tc>
          <w:tcPr>
            <w:tcW w:w="2128"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REST API</w:t>
            </w:r>
          </w:p>
        </w:tc>
      </w:tr>
      <w:tr>
        <w:trPr/>
        <w:tc>
          <w:tcPr>
            <w:tcW w:w="1048"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INT-02</w:t>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Integration Service</w:t>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SQL Database</w:t>
            </w:r>
          </w:p>
        </w:tc>
        <w:tc>
          <w:tcPr>
            <w:tcW w:w="2128"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Data Sync</w:t>
            </w:r>
          </w:p>
        </w:tc>
      </w:tr>
      <w:tr>
        <w:trPr/>
        <w:tc>
          <w:tcPr>
            <w:tcW w:w="1048"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INT-03</w:t>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Intelligence Engine</w:t>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SQL Database</w:t>
            </w:r>
          </w:p>
        </w:tc>
        <w:tc>
          <w:tcPr>
            <w:tcW w:w="2128"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Database Access</w:t>
            </w:r>
          </w:p>
        </w:tc>
      </w:tr>
      <w:tr>
        <w:trPr/>
        <w:tc>
          <w:tcPr>
            <w:tcW w:w="1048"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INT-04</w:t>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Intelligence Engine</w:t>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Notification Service</w:t>
            </w:r>
          </w:p>
        </w:tc>
        <w:tc>
          <w:tcPr>
            <w:tcW w:w="2128"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Event</w:t>
            </w:r>
          </w:p>
        </w:tc>
      </w:tr>
      <w:tr>
        <w:trPr/>
        <w:tc>
          <w:tcPr>
            <w:tcW w:w="1048"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INT-05</w:t>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Notification Service</w:t>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Email</w:t>
            </w:r>
          </w:p>
        </w:tc>
        <w:tc>
          <w:tcPr>
            <w:tcW w:w="2128"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SMTP/API</w:t>
            </w:r>
          </w:p>
        </w:tc>
      </w:tr>
    </w:tbl>
    <w:p>
      <w:pPr>
        <w:pStyle w:val="Normal"/>
        <w:rPr>
          <w:lang w:val="en-US"/>
        </w:rPr>
      </w:pPr>
      <w:r>
        <w:rPr>
          <w:lang w:val="en-US"/>
        </w:rPr>
      </w:r>
    </w:p>
    <w:p>
      <w:pPr>
        <w:pStyle w:val="Normal"/>
        <w:rPr>
          <w:lang w:val="en-US"/>
        </w:rPr>
      </w:pPr>
      <w:r>
        <w:rPr>
          <w:lang w:val="en-US"/>
        </w:rPr>
      </w:r>
    </w:p>
    <w:p>
      <w:pPr>
        <w:pStyle w:val="Heading2"/>
        <w:rPr>
          <w:lang w:val="en-US"/>
        </w:rPr>
      </w:pPr>
      <w:bookmarkStart w:id="31" w:name="_Toc239804438"/>
      <w:r>
        <w:rPr/>
        <w:t>Infrastructure Architecture</w:t>
      </w:r>
      <w:bookmarkEnd w:id="31"/>
    </w:p>
    <w:p>
      <w:pPr>
        <w:pStyle w:val="Heading3"/>
        <w:rPr/>
      </w:pPr>
      <w:bookmarkStart w:id="32" w:name="_Toc239804439"/>
      <w:r>
        <w:rPr/>
        <w:t>Infrastructure Repository</w:t>
      </w:r>
      <w:bookmarkEnd w:id="32"/>
    </w:p>
    <w:tbl>
      <w:tblPr>
        <w:tblW w:w="5158" w:type="dxa"/>
        <w:jc w:val="start"/>
        <w:tblInd w:w="10" w:type="dxa"/>
        <w:tblLayout w:type="fixed"/>
        <w:tblCellMar>
          <w:top w:w="15" w:type="dxa"/>
          <w:start w:w="15" w:type="dxa"/>
          <w:bottom w:w="15" w:type="dxa"/>
          <w:end w:w="15" w:type="dxa"/>
        </w:tblCellMar>
        <w:tblLook w:noHBand="0" w:noVBand="1" w:firstColumn="1" w:lastRow="0" w:lastColumn="0" w:firstRow="1" w:val="04a0"/>
      </w:tblPr>
      <w:tblGrid>
        <w:gridCol w:w="2606"/>
        <w:gridCol w:w="2552"/>
      </w:tblGrid>
      <w:tr>
        <w:trPr>
          <w:tblHeader w:val="true"/>
        </w:trPr>
        <w:tc>
          <w:tcPr>
            <w:tcW w:w="2606" w:type="dxa"/>
            <w:tcBorders>
              <w:top w:val="single" w:sz="4" w:space="0" w:color="000000"/>
              <w:start w:val="single" w:sz="4" w:space="0" w:color="000000"/>
              <w:bottom w:val="single" w:sz="4" w:space="0" w:color="000000"/>
              <w:end w:val="single" w:sz="4" w:space="0" w:color="000000"/>
            </w:tcBorders>
            <w:shd w:color="auto" w:fill="92D050" w:val="clear"/>
            <w:vAlign w:val="center"/>
          </w:tcPr>
          <w:p>
            <w:pPr>
              <w:pStyle w:val="Normal"/>
              <w:jc w:val="center"/>
              <w:rPr>
                <w:b/>
                <w:bCs/>
                <w:lang w:val="en-US"/>
              </w:rPr>
            </w:pPr>
            <w:r>
              <w:rPr>
                <w:b/>
                <w:bCs/>
                <w:lang w:val="en-US"/>
              </w:rPr>
              <w:t>Component</w:t>
            </w:r>
          </w:p>
        </w:tc>
        <w:tc>
          <w:tcPr>
            <w:tcW w:w="2552" w:type="dxa"/>
            <w:tcBorders>
              <w:top w:val="single" w:sz="4" w:space="0" w:color="000000"/>
              <w:start w:val="single" w:sz="4" w:space="0" w:color="000000"/>
              <w:bottom w:val="single" w:sz="4" w:space="0" w:color="000000"/>
              <w:end w:val="single" w:sz="4" w:space="0" w:color="000000"/>
            </w:tcBorders>
            <w:shd w:color="auto" w:fill="92D050" w:val="clear"/>
            <w:vAlign w:val="center"/>
          </w:tcPr>
          <w:p>
            <w:pPr>
              <w:pStyle w:val="Normal"/>
              <w:jc w:val="center"/>
              <w:rPr>
                <w:b/>
                <w:bCs/>
                <w:lang w:val="en-US"/>
              </w:rPr>
            </w:pPr>
            <w:r>
              <w:rPr>
                <w:b/>
                <w:bCs/>
                <w:lang w:val="en-US"/>
              </w:rPr>
              <w:t>Hosting Location</w:t>
            </w:r>
          </w:p>
        </w:tc>
      </w:tr>
      <w:tr>
        <w:trPr/>
        <w:tc>
          <w:tcPr>
            <w:tcW w:w="2606"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Business Central</w:t>
            </w:r>
          </w:p>
        </w:tc>
        <w:tc>
          <w:tcPr>
            <w:tcW w:w="2552"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Microsoft SaaS</w:t>
            </w:r>
          </w:p>
        </w:tc>
      </w:tr>
      <w:tr>
        <w:trPr/>
        <w:tc>
          <w:tcPr>
            <w:tcW w:w="2606"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Vendor Risk Platform</w:t>
            </w:r>
          </w:p>
        </w:tc>
        <w:tc>
          <w:tcPr>
            <w:tcW w:w="2552"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Azure App Service</w:t>
            </w:r>
          </w:p>
        </w:tc>
      </w:tr>
      <w:tr>
        <w:trPr/>
        <w:tc>
          <w:tcPr>
            <w:tcW w:w="2606"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Integration Service</w:t>
            </w:r>
          </w:p>
        </w:tc>
        <w:tc>
          <w:tcPr>
            <w:tcW w:w="2552"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Azure App Service</w:t>
            </w:r>
          </w:p>
        </w:tc>
      </w:tr>
      <w:tr>
        <w:trPr/>
        <w:tc>
          <w:tcPr>
            <w:tcW w:w="2606"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Intelligence Engine</w:t>
            </w:r>
          </w:p>
        </w:tc>
        <w:tc>
          <w:tcPr>
            <w:tcW w:w="2552"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Azure App Service</w:t>
            </w:r>
          </w:p>
        </w:tc>
      </w:tr>
      <w:tr>
        <w:trPr/>
        <w:tc>
          <w:tcPr>
            <w:tcW w:w="2606"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Notification Service</w:t>
            </w:r>
          </w:p>
        </w:tc>
        <w:tc>
          <w:tcPr>
            <w:tcW w:w="2552"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Azure App Service</w:t>
            </w:r>
          </w:p>
        </w:tc>
      </w:tr>
      <w:tr>
        <w:trPr/>
        <w:tc>
          <w:tcPr>
            <w:tcW w:w="2606"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SQL Database</w:t>
            </w:r>
          </w:p>
        </w:tc>
        <w:tc>
          <w:tcPr>
            <w:tcW w:w="2552"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Azure SQL Database</w:t>
            </w:r>
          </w:p>
        </w:tc>
      </w:tr>
    </w:tbl>
    <w:p>
      <w:pPr>
        <w:pStyle w:val="Normal"/>
        <w:rPr>
          <w:lang w:val="en-US"/>
        </w:rPr>
      </w:pPr>
      <w:r>
        <w:rPr>
          <w:lang w:val="en-US"/>
        </w:rPr>
      </w:r>
    </w:p>
    <w:p>
      <w:pPr>
        <w:pStyle w:val="Normal"/>
        <w:rPr/>
      </w:pPr>
      <w:r>
        <w:rPr/>
      </w:r>
    </w:p>
    <w:p>
      <w:pPr>
        <w:pStyle w:val="Heading2"/>
        <w:rPr>
          <w:lang w:val="en-US"/>
        </w:rPr>
      </w:pPr>
      <w:bookmarkStart w:id="33" w:name="_Toc239804440"/>
      <w:r>
        <w:rPr/>
        <w:t>Security Architecture</w:t>
      </w:r>
      <w:bookmarkEnd w:id="33"/>
    </w:p>
    <w:p>
      <w:pPr>
        <w:pStyle w:val="Heading3"/>
        <w:rPr/>
      </w:pPr>
      <w:bookmarkStart w:id="34" w:name="_Toc239804441"/>
      <w:r>
        <w:rPr/>
        <w:t>Identity and Access Management</w:t>
      </w:r>
      <w:bookmarkEnd w:id="34"/>
    </w:p>
    <w:p>
      <w:pPr>
        <w:pStyle w:val="ListParagraph"/>
        <w:numPr>
          <w:ilvl w:val="0"/>
          <w:numId w:val="20"/>
        </w:numPr>
        <w:rPr/>
      </w:pPr>
      <w:r>
        <w:rPr/>
        <w:t>Microsoft Entra ID Authentication</w:t>
      </w:r>
    </w:p>
    <w:p>
      <w:pPr>
        <w:pStyle w:val="ListParagraph"/>
        <w:numPr>
          <w:ilvl w:val="0"/>
          <w:numId w:val="20"/>
        </w:numPr>
        <w:rPr/>
      </w:pPr>
      <w:r>
        <w:rPr/>
        <w:t>Role-Based Access Control (RBAC)</w:t>
      </w:r>
    </w:p>
    <w:p>
      <w:pPr>
        <w:pStyle w:val="ListParagraph"/>
        <w:numPr>
          <w:ilvl w:val="0"/>
          <w:numId w:val="20"/>
        </w:numPr>
        <w:rPr/>
      </w:pPr>
      <w:r>
        <w:rPr/>
        <w:t>Multi-Factor Authentication (MFA)</w:t>
      </w:r>
    </w:p>
    <w:p>
      <w:pPr>
        <w:pStyle w:val="Normal"/>
        <w:rPr/>
      </w:pPr>
      <w:r>
        <w:rPr/>
      </w:r>
    </w:p>
    <w:p>
      <w:pPr>
        <w:pStyle w:val="Normal"/>
        <w:rPr/>
      </w:pPr>
      <w:r>
        <w:rPr/>
        <w:t>Roles:</w:t>
      </w:r>
    </w:p>
    <w:p>
      <w:pPr>
        <w:pStyle w:val="ListParagraph"/>
        <w:numPr>
          <w:ilvl w:val="0"/>
          <w:numId w:val="21"/>
        </w:numPr>
        <w:rPr/>
      </w:pPr>
      <w:r>
        <w:rPr/>
        <w:t>Procurement Officer</w:t>
      </w:r>
    </w:p>
    <w:p>
      <w:pPr>
        <w:pStyle w:val="ListParagraph"/>
        <w:numPr>
          <w:ilvl w:val="0"/>
          <w:numId w:val="21"/>
        </w:numPr>
        <w:rPr/>
      </w:pPr>
      <w:r>
        <w:rPr/>
        <w:t>Compliance Officer</w:t>
      </w:r>
    </w:p>
    <w:p>
      <w:pPr>
        <w:pStyle w:val="ListParagraph"/>
        <w:numPr>
          <w:ilvl w:val="0"/>
          <w:numId w:val="21"/>
        </w:numPr>
        <w:rPr/>
      </w:pPr>
      <w:r>
        <w:rPr/>
        <w:t>Finance User</w:t>
      </w:r>
    </w:p>
    <w:p>
      <w:pPr>
        <w:pStyle w:val="ListParagraph"/>
        <w:numPr>
          <w:ilvl w:val="0"/>
          <w:numId w:val="21"/>
        </w:numPr>
        <w:rPr/>
      </w:pPr>
      <w:r>
        <w:rPr/>
        <w:t>Procurement Manager</w:t>
      </w:r>
    </w:p>
    <w:p>
      <w:pPr>
        <w:pStyle w:val="ListParagraph"/>
        <w:numPr>
          <w:ilvl w:val="0"/>
          <w:numId w:val="21"/>
        </w:numPr>
        <w:rPr/>
      </w:pPr>
      <w:r>
        <w:rPr/>
        <w:t>Internal Audit</w:t>
      </w:r>
    </w:p>
    <w:p>
      <w:pPr>
        <w:pStyle w:val="ListParagraph"/>
        <w:numPr>
          <w:ilvl w:val="0"/>
          <w:numId w:val="21"/>
        </w:numPr>
        <w:rPr/>
      </w:pPr>
      <w:r>
        <w:rPr/>
        <w:t>System Administrator</w:t>
      </w:r>
    </w:p>
    <w:p>
      <w:pPr>
        <w:pStyle w:val="Normal"/>
        <w:rPr/>
      </w:pPr>
      <w:r>
        <w:rPr/>
      </w:r>
    </w:p>
    <w:p>
      <w:pPr>
        <w:pStyle w:val="Normal"/>
        <w:rPr/>
      </w:pPr>
      <w:r>
        <w:rPr/>
      </w:r>
    </w:p>
    <w:p>
      <w:pPr>
        <w:pStyle w:val="Heading3"/>
        <w:rPr/>
      </w:pPr>
      <w:bookmarkStart w:id="35" w:name="_Toc239804442"/>
      <w:r>
        <w:rPr/>
        <w:t>Threat Model</w:t>
      </w:r>
      <w:bookmarkEnd w:id="35"/>
    </w:p>
    <w:tbl>
      <w:tblPr>
        <w:tblW w:w="3508" w:type="dxa"/>
        <w:jc w:val="start"/>
        <w:tblInd w:w="10" w:type="dxa"/>
        <w:tblLayout w:type="fixed"/>
        <w:tblCellMar>
          <w:top w:w="15" w:type="dxa"/>
          <w:start w:w="15" w:type="dxa"/>
          <w:bottom w:w="15" w:type="dxa"/>
          <w:end w:w="15" w:type="dxa"/>
        </w:tblCellMar>
        <w:tblLook w:noHBand="0" w:noVBand="1" w:firstColumn="1" w:lastRow="0" w:lastColumn="0" w:firstRow="1" w:val="04a0"/>
      </w:tblPr>
      <w:tblGrid>
        <w:gridCol w:w="2132"/>
        <w:gridCol w:w="1376"/>
      </w:tblGrid>
      <w:tr>
        <w:trPr>
          <w:tblHeader w:val="true"/>
        </w:trPr>
        <w:tc>
          <w:tcPr>
            <w:tcW w:w="2132" w:type="dxa"/>
            <w:tcBorders>
              <w:top w:val="single" w:sz="4" w:space="0" w:color="000000"/>
              <w:start w:val="single" w:sz="4" w:space="0" w:color="000000"/>
              <w:bottom w:val="single" w:sz="4" w:space="0" w:color="000000"/>
              <w:end w:val="single" w:sz="4" w:space="0" w:color="000000"/>
            </w:tcBorders>
            <w:shd w:color="auto" w:fill="92D050" w:val="clear"/>
            <w:vAlign w:val="center"/>
          </w:tcPr>
          <w:p>
            <w:pPr>
              <w:pStyle w:val="Normal"/>
              <w:jc w:val="center"/>
              <w:rPr>
                <w:b/>
                <w:bCs/>
                <w:lang w:val="en-US"/>
              </w:rPr>
            </w:pPr>
            <w:r>
              <w:rPr>
                <w:b/>
                <w:bCs/>
                <w:lang w:val="en-US"/>
              </w:rPr>
              <w:t>Threat</w:t>
            </w:r>
          </w:p>
        </w:tc>
        <w:tc>
          <w:tcPr>
            <w:tcW w:w="1376" w:type="dxa"/>
            <w:tcBorders>
              <w:top w:val="single" w:sz="4" w:space="0" w:color="000000"/>
              <w:start w:val="single" w:sz="4" w:space="0" w:color="000000"/>
              <w:bottom w:val="single" w:sz="4" w:space="0" w:color="000000"/>
              <w:end w:val="single" w:sz="4" w:space="0" w:color="000000"/>
            </w:tcBorders>
            <w:shd w:color="auto" w:fill="92D050" w:val="clear"/>
            <w:vAlign w:val="center"/>
          </w:tcPr>
          <w:p>
            <w:pPr>
              <w:pStyle w:val="Normal"/>
              <w:jc w:val="center"/>
              <w:rPr>
                <w:b/>
                <w:bCs/>
                <w:lang w:val="en-US"/>
              </w:rPr>
            </w:pPr>
            <w:r>
              <w:rPr>
                <w:b/>
                <w:bCs/>
                <w:lang w:val="en-US"/>
              </w:rPr>
              <w:t>Mitigation</w:t>
            </w:r>
          </w:p>
        </w:tc>
      </w:tr>
      <w:tr>
        <w:trPr/>
        <w:tc>
          <w:tcPr>
            <w:tcW w:w="2132"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Spoofing</w:t>
            </w:r>
          </w:p>
        </w:tc>
        <w:tc>
          <w:tcPr>
            <w:tcW w:w="1376"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MFA</w:t>
            </w:r>
          </w:p>
        </w:tc>
      </w:tr>
      <w:tr>
        <w:trPr/>
        <w:tc>
          <w:tcPr>
            <w:tcW w:w="2132"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Tampering</w:t>
            </w:r>
          </w:p>
        </w:tc>
        <w:tc>
          <w:tcPr>
            <w:tcW w:w="1376"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TLS/HTTPS</w:t>
            </w:r>
          </w:p>
        </w:tc>
      </w:tr>
      <w:tr>
        <w:trPr/>
        <w:tc>
          <w:tcPr>
            <w:tcW w:w="2132"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Repudiation</w:t>
            </w:r>
          </w:p>
        </w:tc>
        <w:tc>
          <w:tcPr>
            <w:tcW w:w="1376"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Audit Logs</w:t>
            </w:r>
          </w:p>
        </w:tc>
      </w:tr>
      <w:tr>
        <w:trPr/>
        <w:tc>
          <w:tcPr>
            <w:tcW w:w="2132"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Information Disclosure</w:t>
            </w:r>
          </w:p>
        </w:tc>
        <w:tc>
          <w:tcPr>
            <w:tcW w:w="1376"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RBAC</w:t>
            </w:r>
          </w:p>
        </w:tc>
      </w:tr>
      <w:tr>
        <w:trPr/>
        <w:tc>
          <w:tcPr>
            <w:tcW w:w="2132"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Denial of Service</w:t>
            </w:r>
          </w:p>
        </w:tc>
        <w:tc>
          <w:tcPr>
            <w:tcW w:w="1376"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Rate Limiting</w:t>
            </w:r>
          </w:p>
        </w:tc>
      </w:tr>
      <w:tr>
        <w:trPr/>
        <w:tc>
          <w:tcPr>
            <w:tcW w:w="2132"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Elevation of Privilege</w:t>
            </w:r>
          </w:p>
        </w:tc>
        <w:tc>
          <w:tcPr>
            <w:tcW w:w="1376" w:type="dxa"/>
            <w:tcBorders>
              <w:top w:val="single" w:sz="4" w:space="0" w:color="000000"/>
              <w:start w:val="single" w:sz="4" w:space="0" w:color="000000"/>
              <w:bottom w:val="single" w:sz="4" w:space="0" w:color="000000"/>
              <w:end w:val="single" w:sz="4" w:space="0" w:color="000000"/>
            </w:tcBorders>
            <w:vAlign w:val="center"/>
          </w:tcPr>
          <w:p>
            <w:pPr>
              <w:pStyle w:val="Normal"/>
              <w:rPr>
                <w:lang w:val="en-US"/>
              </w:rPr>
            </w:pPr>
            <w:r>
              <w:rPr>
                <w:lang w:val="en-US"/>
              </w:rPr>
              <w:t>Least Privilege</w:t>
            </w:r>
          </w:p>
        </w:tc>
      </w:tr>
    </w:tbl>
    <w:p>
      <w:pPr>
        <w:pStyle w:val="Normal"/>
        <w:rPr/>
      </w:pPr>
      <w:r>
        <w:rPr/>
      </w:r>
    </w:p>
    <w:p>
      <w:pPr>
        <w:pStyle w:val="Normal"/>
        <w:rPr/>
      </w:pPr>
      <w:r>
        <w:rPr/>
      </w:r>
    </w:p>
    <w:sectPr>
      <w:headerReference w:type="even" r:id="rId16"/>
      <w:headerReference w:type="default" r:id="rId17"/>
      <w:headerReference w:type="first" r:id="rId18"/>
      <w:footerReference w:type="even" r:id="rId19"/>
      <w:footerReference w:type="default" r:id="rId20"/>
      <w:footerReference w:type="first" r:id="rId21"/>
      <w:type w:val="nextPage"/>
      <w:pgSz w:w="11906" w:h="16838"/>
      <w:pgMar w:left="1440" w:right="1440" w:gutter="0" w:header="709" w:top="1440" w:footer="709" w:bottom="1440"/>
      <w:pgNumType w:fmt="decimal"/>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Arial">
    <w:charset w:val="01" w:characterSet="utf-8"/>
    <w:family w:val="swiss"/>
    <w:pitch w:val="variable"/>
  </w:font>
  <w:font w:name="Calibri">
    <w:charset w:val="01" w:characterSet="utf-8"/>
    <w:family w:val="swiss"/>
    <w:pitch w:val="variable"/>
  </w:font>
  <w:font w:name="Consolas">
    <w:charset w:val="01" w:characterSet="utf-8"/>
    <w:family w:val="roman"/>
    <w:pitch w:val="variable"/>
  </w:font>
  <w:font w:name="Liberation Sans">
    <w:altName w:val="Arial"/>
    <w:charset w:val="01" w:characterSet="utf-8"/>
    <w:family w:val="swiss"/>
    <w:pitch w:val="variable"/>
  </w:font>
  <w:font w:name="Century Schoolbook">
    <w:charset w:val="01" w:characterSet="utf-8"/>
    <w:family w:val="roman"/>
    <w:pitch w:val="variable"/>
  </w:font>
  <w:font w:name="Tahoma">
    <w:charset w:val="01" w:characterSet="utf-8"/>
    <w:family w:val="swiss"/>
    <w:pitch w:val="variable"/>
  </w:font>
  <w:font w:name="Cambria">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Status: &lt;Draft/Released For Approval/Approved&gt;</w:t>
      <w:tab/>
      <w:t xml:space="preserve">Page </w:t>
    </w:r>
    <w:r>
      <w:rPr>
        <w:rStyle w:val="PageNumber"/>
        <w:rFonts w:ascii="Calibri" w:hAnsi="Calibri"/>
      </w:rPr>
      <w:fldChar w:fldCharType="begin"/>
    </w:r>
    <w:r>
      <w:rPr>
        <w:rStyle w:val="PageNumber"/>
        <w:rFonts w:ascii="Calibri" w:hAnsi="Calibri"/>
      </w:rPr>
      <w:instrText xml:space="preserve"> PAGE </w:instrText>
    </w:r>
    <w:r>
      <w:rPr>
        <w:rStyle w:val="PageNumber"/>
        <w:rFonts w:ascii="Calibri" w:hAnsi="Calibri"/>
      </w:rPr>
      <w:fldChar w:fldCharType="separate"/>
    </w:r>
    <w:r>
      <w:rPr>
        <w:rStyle w:val="PageNumber"/>
        <w:rFonts w:ascii="Calibri" w:hAnsi="Calibri"/>
      </w:rPr>
      <w:t>3</w:t>
    </w:r>
    <w:r>
      <w:rPr>
        <w:rStyle w:val="PageNumber"/>
        <w:rFonts w:ascii="Calibri" w:hAnsi="Calibri"/>
      </w:rPr>
      <w:fldChar w:fldCharType="end"/>
    </w:r>
    <w:r>
      <w:rPr>
        <w:rStyle w:val="PageNumber"/>
        <w:rFonts w:ascii="Calibri" w:hAnsi="Calibri"/>
      </w:rPr>
      <w:t xml:space="preserve"> of </w:t>
    </w:r>
    <w:r>
      <w:rPr>
        <w:rStyle w:val="PageNumber"/>
        <w:rFonts w:ascii="Calibri" w:hAnsi="Calibri"/>
      </w:rPr>
      <w:fldChar w:fldCharType="begin"/>
    </w:r>
    <w:r>
      <w:rPr>
        <w:rStyle w:val="PageNumber"/>
        <w:rFonts w:ascii="Calibri" w:hAnsi="Calibri"/>
      </w:rPr>
      <w:instrText xml:space="preserve"> NUMPAGES </w:instrText>
    </w:r>
    <w:r>
      <w:rPr>
        <w:rStyle w:val="PageNumber"/>
        <w:rFonts w:ascii="Calibri" w:hAnsi="Calibri"/>
      </w:rPr>
      <w:fldChar w:fldCharType="separate"/>
    </w:r>
    <w:r>
      <w:rPr>
        <w:rStyle w:val="PageNumber"/>
        <w:rFonts w:ascii="Calibri" w:hAnsi="Calibri"/>
      </w:rPr>
      <w:t>23</w:t>
    </w:r>
    <w:r>
      <w:rPr>
        <w:rStyle w:val="PageNumber"/>
        <w:rFonts w:ascii="Calibri" w:hAnsi="Calibri"/>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Calibri" w:hAnsi="Calibri"/>
      </w:rPr>
    </w:pPr>
    <w:r>
      <w:rPr/>
      <w:t>Status: &lt;Draft/Released For Approval/Approved&gt;</w:t>
      <w:tab/>
    </w:r>
    <w:r>
      <w:rPr>
        <w:rFonts w:ascii="Calibri" w:hAnsi="Calibri"/>
      </w:rPr>
      <w:t xml:space="preserve">Page </w:t>
    </w:r>
    <w:r>
      <w:rPr>
        <w:rStyle w:val="PageNumber"/>
        <w:rFonts w:ascii="Calibri" w:hAnsi="Calibri"/>
      </w:rPr>
      <w:fldChar w:fldCharType="begin"/>
    </w:r>
    <w:r>
      <w:rPr>
        <w:rStyle w:val="PageNumber"/>
        <w:rFonts w:ascii="Calibri" w:hAnsi="Calibri"/>
      </w:rPr>
      <w:instrText xml:space="preserve"> PAGE </w:instrText>
    </w:r>
    <w:r>
      <w:rPr>
        <w:rStyle w:val="PageNumber"/>
        <w:rFonts w:ascii="Calibri" w:hAnsi="Calibri"/>
      </w:rPr>
      <w:fldChar w:fldCharType="separate"/>
    </w:r>
    <w:r>
      <w:rPr>
        <w:rStyle w:val="PageNumber"/>
        <w:rFonts w:ascii="Calibri" w:hAnsi="Calibri"/>
      </w:rPr>
      <w:t>23</w:t>
    </w:r>
    <w:r>
      <w:rPr>
        <w:rStyle w:val="PageNumber"/>
        <w:rFonts w:ascii="Calibri" w:hAnsi="Calibri"/>
      </w:rPr>
      <w:fldChar w:fldCharType="end"/>
    </w:r>
    <w:r>
      <w:rPr>
        <w:rStyle w:val="PageNumber"/>
        <w:rFonts w:ascii="Calibri" w:hAnsi="Calibri"/>
      </w:rPr>
      <w:t xml:space="preserve"> of </w:t>
    </w:r>
    <w:r>
      <w:rPr>
        <w:rStyle w:val="PageNumber"/>
        <w:rFonts w:ascii="Calibri" w:hAnsi="Calibri"/>
      </w:rPr>
      <w:fldChar w:fldCharType="begin"/>
    </w:r>
    <w:r>
      <w:rPr>
        <w:rStyle w:val="PageNumber"/>
        <w:rFonts w:ascii="Calibri" w:hAnsi="Calibri"/>
      </w:rPr>
      <w:instrText xml:space="preserve"> NUMPAGES </w:instrText>
    </w:r>
    <w:r>
      <w:rPr>
        <w:rStyle w:val="PageNumber"/>
        <w:rFonts w:ascii="Calibri" w:hAnsi="Calibri"/>
      </w:rPr>
      <w:fldChar w:fldCharType="separate"/>
    </w:r>
    <w:r>
      <w:rPr>
        <w:rStyle w:val="PageNumber"/>
        <w:rFonts w:ascii="Calibri" w:hAnsi="Calibri"/>
      </w:rPr>
      <w:t>23</w:t>
    </w:r>
    <w:r>
      <w:rPr>
        <w:rStyle w:val="PageNumber"/>
        <w:rFonts w:ascii="Calibri" w:hAnsi="Calibri"/>
      </w:rPr>
      <w:fldChar w:fldCharType="end"/>
    </w:r>
  </w:p>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Calibri" w:hAnsi="Calibri"/>
      </w:rPr>
    </w:pPr>
    <w:r>
      <w:rPr/>
      <w:t>Status: &lt;Draft/Released For Approval/Approved&gt;</w:t>
      <w:tab/>
    </w:r>
    <w:r>
      <w:rPr>
        <w:rFonts w:ascii="Calibri" w:hAnsi="Calibri"/>
      </w:rPr>
      <w:t xml:space="preserve">Page </w:t>
    </w:r>
    <w:r>
      <w:rPr>
        <w:rStyle w:val="PageNumber"/>
        <w:rFonts w:ascii="Calibri" w:hAnsi="Calibri"/>
      </w:rPr>
      <w:fldChar w:fldCharType="begin"/>
    </w:r>
    <w:r>
      <w:rPr>
        <w:rStyle w:val="PageNumber"/>
        <w:rFonts w:ascii="Calibri" w:hAnsi="Calibri"/>
      </w:rPr>
      <w:instrText xml:space="preserve"> PAGE </w:instrText>
    </w:r>
    <w:r>
      <w:rPr>
        <w:rStyle w:val="PageNumber"/>
        <w:rFonts w:ascii="Calibri" w:hAnsi="Calibri"/>
      </w:rPr>
      <w:fldChar w:fldCharType="separate"/>
    </w:r>
    <w:r>
      <w:rPr>
        <w:rStyle w:val="PageNumber"/>
        <w:rFonts w:ascii="Calibri" w:hAnsi="Calibri"/>
      </w:rPr>
      <w:t>23</w:t>
    </w:r>
    <w:r>
      <w:rPr>
        <w:rStyle w:val="PageNumber"/>
        <w:rFonts w:ascii="Calibri" w:hAnsi="Calibri"/>
      </w:rPr>
      <w:fldChar w:fldCharType="end"/>
    </w:r>
    <w:r>
      <w:rPr>
        <w:rStyle w:val="PageNumber"/>
        <w:rFonts w:ascii="Calibri" w:hAnsi="Calibri"/>
      </w:rPr>
      <w:t xml:space="preserve"> of </w:t>
    </w:r>
    <w:r>
      <w:rPr>
        <w:rStyle w:val="PageNumber"/>
        <w:rFonts w:ascii="Calibri" w:hAnsi="Calibri"/>
      </w:rPr>
      <w:fldChar w:fldCharType="begin"/>
    </w:r>
    <w:r>
      <w:rPr>
        <w:rStyle w:val="PageNumber"/>
        <w:rFonts w:ascii="Calibri" w:hAnsi="Calibri"/>
      </w:rPr>
      <w:instrText xml:space="preserve"> NUMPAGES </w:instrText>
    </w:r>
    <w:r>
      <w:rPr>
        <w:rStyle w:val="PageNumber"/>
        <w:rFonts w:ascii="Calibri" w:hAnsi="Calibri"/>
      </w:rPr>
      <w:fldChar w:fldCharType="separate"/>
    </w:r>
    <w:r>
      <w:rPr>
        <w:rStyle w:val="PageNumber"/>
        <w:rFonts w:ascii="Calibri" w:hAnsi="Calibri"/>
      </w:rPr>
      <w:t>23</w:t>
    </w:r>
    <w:r>
      <w:rPr>
        <w:rStyle w:val="PageNumber"/>
        <w:rFonts w:ascii="Calibri" w:hAnsi="Calibri"/>
      </w:rPr>
      <w:fldChar w:fldCharType="end"/>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lang w:eastAsia="en-GB"/>
      </w:rPr>
      <w:t>&lt;</w:t>
    </w:r>
    <w:r>
      <w:rPr/>
      <w:t xml:space="preserve"> </w:t>
    </w:r>
    <w:r>
      <w:rPr>
        <w:lang w:eastAsia="en-GB"/>
      </w:rPr>
      <w:t>Procurement Intelligence &amp; Vendor Risk Platform &gt;</w:t>
    </w:r>
    <w:r>
      <w:rPr/>
      <w:t xml:space="preserve"> </w:t>
      <w:tab/>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lang w:eastAsia="en-GB"/>
      </w:rPr>
      <w:t>&lt;</w:t>
    </w:r>
    <w:r>
      <w:rPr/>
      <w:t xml:space="preserve"> </w:t>
    </w:r>
    <w:r>
      <w:rPr>
        <w:lang w:eastAsia="en-GB"/>
      </w:rPr>
      <w:t>Procurement Intelligence &amp; Vendor Risk Platform &gt;</w:t>
    </w:r>
    <w:r>
      <w:rPr/>
      <w:t xml:space="preserve"> </w:t>
      <w:tab/>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lang w:eastAsia="en-GB"/>
      </w:rPr>
      <w:t>&lt;</w:t>
    </w:r>
    <w:r>
      <w:rPr/>
      <w:t xml:space="preserve"> </w:t>
    </w:r>
    <w:r>
      <w:rPr>
        <w:lang w:eastAsia="en-GB"/>
      </w:rPr>
      <w:t>Procurement Intelligence &amp; Vendor Risk Platform &gt;</w:t>
    </w:r>
    <w:r>
      <w:rPr/>
      <w:t xml:space="preserve"> </w:t>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432"/>
        </w:tabs>
        <w:ind w:start="432" w:hanging="432"/>
      </w:pPr>
      <w:rPr>
        <w:rFonts w:cs="Times New Roman"/>
      </w:rPr>
    </w:lvl>
    <w:lvl w:ilvl="1">
      <w:start w:val="1"/>
      <w:numFmt w:val="decimal"/>
      <w:pStyle w:val="Heading2"/>
      <w:lvlText w:val="%1.%2"/>
      <w:lvlJc w:val="start"/>
      <w:pPr>
        <w:tabs>
          <w:tab w:val="num" w:pos="576"/>
        </w:tabs>
        <w:ind w:start="576" w:hanging="576"/>
      </w:pPr>
      <w:rPr>
        <w:rFonts w:cs="Times New Roman"/>
        <w:sz w:val="22"/>
        <w:szCs w:val="22"/>
      </w:rPr>
    </w:lvl>
    <w:lvl w:ilvl="2">
      <w:start w:val="1"/>
      <w:numFmt w:val="decimal"/>
      <w:pStyle w:val="Heading3"/>
      <w:lvlText w:val="%1.%2.%3"/>
      <w:lvlJc w:val="start"/>
      <w:pPr>
        <w:tabs>
          <w:tab w:val="num" w:pos="720"/>
        </w:tabs>
        <w:ind w:start="720" w:hanging="720"/>
      </w:pPr>
      <w:rPr>
        <w:rFonts w:ascii="Calibri" w:hAnsi="Calibri" w:cs="Calibri" w:asciiTheme="minorHAnsi" w:cstheme="minorHAnsi" w:hAnsiTheme="minorHAnsi"/>
        <w:sz w:val="22"/>
        <w:szCs w:val="22"/>
      </w:rPr>
    </w:lvl>
    <w:lvl w:ilvl="3">
      <w:start w:val="1"/>
      <w:numFmt w:val="decimal"/>
      <w:pStyle w:val="Heading4"/>
      <w:lvlText w:val="%1.%2.%3.%4"/>
      <w:lvlJc w:val="start"/>
      <w:pPr>
        <w:tabs>
          <w:tab w:val="num" w:pos="864"/>
        </w:tabs>
        <w:ind w:start="864" w:hanging="864"/>
      </w:pPr>
      <w:rPr>
        <w:rFonts w:cs="Times New Roman"/>
      </w:rPr>
    </w:lvl>
    <w:lvl w:ilvl="4">
      <w:start w:val="1"/>
      <w:numFmt w:val="decimal"/>
      <w:pStyle w:val="Heading5"/>
      <w:lvlText w:val="%1.%2.%3.%4.%5"/>
      <w:lvlJc w:val="start"/>
      <w:pPr>
        <w:tabs>
          <w:tab w:val="num" w:pos="1008"/>
        </w:tabs>
        <w:ind w:start="1008" w:hanging="1008"/>
      </w:pPr>
      <w:rPr>
        <w:rFonts w:cs="Times New Roman"/>
      </w:rPr>
    </w:lvl>
    <w:lvl w:ilvl="5">
      <w:start w:val="1"/>
      <w:numFmt w:val="decimal"/>
      <w:pStyle w:val="Heading6"/>
      <w:lvlText w:val="%1.%2.%3.%4.%5.%6"/>
      <w:lvlJc w:val="start"/>
      <w:pPr>
        <w:tabs>
          <w:tab w:val="num" w:pos="1152"/>
        </w:tabs>
        <w:ind w:start="1152" w:hanging="1152"/>
      </w:pPr>
      <w:rPr>
        <w:rFonts w:cs="Times New Roman"/>
      </w:rPr>
    </w:lvl>
    <w:lvl w:ilvl="6">
      <w:start w:val="1"/>
      <w:numFmt w:val="decimal"/>
      <w:pStyle w:val="Heading7"/>
      <w:lvlText w:val="%1.%2.%3.%4.%5.%6.%7"/>
      <w:lvlJc w:val="start"/>
      <w:pPr>
        <w:tabs>
          <w:tab w:val="num" w:pos="1296"/>
        </w:tabs>
        <w:ind w:start="1296" w:hanging="1296"/>
      </w:pPr>
      <w:rPr>
        <w:rFonts w:cs="Times New Roman"/>
      </w:rPr>
    </w:lvl>
    <w:lvl w:ilvl="7">
      <w:start w:val="1"/>
      <w:numFmt w:val="decimal"/>
      <w:pStyle w:val="Heading8"/>
      <w:lvlText w:val="%1.%2.%3.%4.%5.%6.%7.%8"/>
      <w:lvlJc w:val="start"/>
      <w:pPr>
        <w:tabs>
          <w:tab w:val="num" w:pos="1440"/>
        </w:tabs>
        <w:ind w:start="1440" w:hanging="1440"/>
      </w:pPr>
      <w:rPr>
        <w:rFonts w:cs="Times New Roman"/>
      </w:rPr>
    </w:lvl>
    <w:lvl w:ilvl="8">
      <w:start w:val="1"/>
      <w:numFmt w:val="decimal"/>
      <w:pStyle w:val="Heading9"/>
      <w:lvlText w:val="%1.%2.%3.%4.%5.%6.%7.%8.%9"/>
      <w:lvlJc w:val="start"/>
      <w:pPr>
        <w:tabs>
          <w:tab w:val="num" w:pos="1584"/>
        </w:tabs>
        <w:ind w:start="1584" w:hanging="1584"/>
      </w:pPr>
      <w:rPr>
        <w:rFonts w:cs="Times New Roman"/>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GB"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2"/>
        <w:szCs w:val="22"/>
        <w:lang w:val="en-GB" w:eastAsia="en-GB" w:bidi="ar-SA"/>
      </w:rPr>
    </w:rPrDefault>
    <w:pPrDefault>
      <w:pPr>
        <w:suppressAutoHyphens w:val="true"/>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locked="1" w:uiPriority="0"/>
    <w:lsdException w:name="footer" w:locked="1" w:uiPriority="0"/>
    <w:lsdException w:name="index heading" w:semiHidden="1" w:unhideWhenUsed="1"/>
    <w:lsdException w:name="caption" w:locked="1"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uiPriority="0"/>
    <w:lsdException w:name="FollowedHyperlink" w:semiHidden="1" w:unhideWhenUsed="1"/>
    <w:lsdException w:name="Strong" w:locked="1" w:uiPriority="0" w:qFormat="1"/>
    <w:lsdException w:name="Emphasis" w:locked="1" w:uiPriority="0" w:qFormat="1"/>
    <w:lsdException w:name="Document Map" w:semiHidden="1" w:unhideWhenUsed="1"/>
    <w:lsdException w:name="Plain Text" w:locked="1"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320ff"/>
    <w:pPr>
      <w:widowControl/>
      <w:bidi w:val="0"/>
      <w:spacing w:before="0" w:after="0"/>
      <w:jc w:val="start"/>
    </w:pPr>
    <w:rPr>
      <w:rFonts w:ascii="Calibri" w:hAnsi="Calibri" w:cs="Calibri" w:asciiTheme="minorHAnsi" w:cstheme="minorHAnsi" w:hAnsiTheme="minorHAnsi" w:eastAsia="Times New Roman"/>
      <w:color w:val="auto"/>
      <w:kern w:val="0"/>
      <w:sz w:val="22"/>
      <w:szCs w:val="22"/>
      <w:lang w:eastAsia="en-US" w:val="en-GB" w:bidi="ar-SA"/>
    </w:rPr>
  </w:style>
  <w:style w:type="paragraph" w:styleId="Heading1">
    <w:name w:val="heading 1"/>
    <w:basedOn w:val="Normal"/>
    <w:next w:val="Normal"/>
    <w:link w:val="Heading1Char"/>
    <w:uiPriority w:val="99"/>
    <w:qFormat/>
    <w:rsid w:val="00c05199"/>
    <w:pPr>
      <w:keepNext w:val="true"/>
      <w:numPr>
        <w:ilvl w:val="0"/>
        <w:numId w:val="1"/>
      </w:numPr>
      <w:spacing w:before="0" w:after="120"/>
      <w:outlineLvl w:val="0"/>
    </w:pPr>
    <w:rPr>
      <w:b/>
      <w:sz w:val="28"/>
    </w:rPr>
  </w:style>
  <w:style w:type="paragraph" w:styleId="Heading2">
    <w:name w:val="heading 2"/>
    <w:basedOn w:val="Normal"/>
    <w:next w:val="Normal"/>
    <w:link w:val="Heading2Char"/>
    <w:uiPriority w:val="99"/>
    <w:qFormat/>
    <w:rsid w:val="0069207e"/>
    <w:pPr>
      <w:keepNext w:val="true"/>
      <w:numPr>
        <w:ilvl w:val="1"/>
        <w:numId w:val="1"/>
      </w:numPr>
      <w:spacing w:before="0" w:after="120"/>
      <w:outlineLvl w:val="1"/>
    </w:pPr>
    <w:rPr>
      <w:b/>
      <w:color w:val="000000"/>
    </w:rPr>
  </w:style>
  <w:style w:type="paragraph" w:styleId="Heading3">
    <w:name w:val="heading 3"/>
    <w:basedOn w:val="Normal"/>
    <w:next w:val="Normal"/>
    <w:link w:val="Heading3Char"/>
    <w:uiPriority w:val="99"/>
    <w:qFormat/>
    <w:rsid w:val="0069207e"/>
    <w:pPr>
      <w:keepNext w:val="true"/>
      <w:numPr>
        <w:ilvl w:val="2"/>
        <w:numId w:val="1"/>
      </w:numPr>
      <w:spacing w:before="0" w:after="120"/>
      <w:outlineLvl w:val="2"/>
    </w:pPr>
    <w:rPr>
      <w:b/>
      <w:color w:val="000000"/>
    </w:rPr>
  </w:style>
  <w:style w:type="paragraph" w:styleId="Heading4">
    <w:name w:val="heading 4"/>
    <w:basedOn w:val="Normal"/>
    <w:next w:val="Normal"/>
    <w:link w:val="Heading4Char"/>
    <w:uiPriority w:val="99"/>
    <w:qFormat/>
    <w:rsid w:val="00fa52f8"/>
    <w:pPr>
      <w:keepNext w:val="true"/>
      <w:numPr>
        <w:ilvl w:val="3"/>
        <w:numId w:val="1"/>
      </w:numPr>
      <w:tabs>
        <w:tab w:val="clear" w:pos="720"/>
        <w:tab w:val="left" w:pos="2410" w:leader="none"/>
      </w:tabs>
      <w:outlineLvl w:val="3"/>
    </w:pPr>
    <w:rPr>
      <w:rFonts w:ascii="Times New Roman" w:hAnsi="Times New Roman"/>
      <w:sz w:val="24"/>
    </w:rPr>
  </w:style>
  <w:style w:type="paragraph" w:styleId="Heading5">
    <w:name w:val="heading 5"/>
    <w:basedOn w:val="Normal"/>
    <w:next w:val="Normal"/>
    <w:link w:val="Heading5Char"/>
    <w:uiPriority w:val="99"/>
    <w:qFormat/>
    <w:rsid w:val="00fa52f8"/>
    <w:pPr>
      <w:keepNext w:val="true"/>
      <w:numPr>
        <w:ilvl w:val="4"/>
        <w:numId w:val="1"/>
      </w:numPr>
      <w:outlineLvl w:val="4"/>
    </w:pPr>
    <w:rPr>
      <w:b/>
      <w:sz w:val="24"/>
    </w:rPr>
  </w:style>
  <w:style w:type="paragraph" w:styleId="Heading6">
    <w:name w:val="heading 6"/>
    <w:basedOn w:val="Normal"/>
    <w:next w:val="Normal"/>
    <w:link w:val="Heading6Char"/>
    <w:uiPriority w:val="99"/>
    <w:qFormat/>
    <w:rsid w:val="00fa52f8"/>
    <w:pPr>
      <w:keepNext w:val="true"/>
      <w:numPr>
        <w:ilvl w:val="5"/>
        <w:numId w:val="1"/>
      </w:numPr>
      <w:outlineLvl w:val="5"/>
    </w:pPr>
    <w:rPr>
      <w:b/>
    </w:rPr>
  </w:style>
  <w:style w:type="paragraph" w:styleId="Heading7">
    <w:name w:val="heading 7"/>
    <w:basedOn w:val="Normal"/>
    <w:next w:val="Normal"/>
    <w:link w:val="Heading7Char"/>
    <w:uiPriority w:val="99"/>
    <w:qFormat/>
    <w:rsid w:val="00fa52f8"/>
    <w:pPr>
      <w:numPr>
        <w:ilvl w:val="6"/>
        <w:numId w:val="1"/>
      </w:numPr>
      <w:spacing w:before="240" w:after="60"/>
      <w:outlineLvl w:val="6"/>
    </w:pPr>
    <w:rPr/>
  </w:style>
  <w:style w:type="paragraph" w:styleId="Heading8">
    <w:name w:val="heading 8"/>
    <w:basedOn w:val="Normal"/>
    <w:next w:val="Normal"/>
    <w:link w:val="Heading8Char"/>
    <w:uiPriority w:val="99"/>
    <w:qFormat/>
    <w:rsid w:val="00fa52f8"/>
    <w:pPr>
      <w:numPr>
        <w:ilvl w:val="7"/>
        <w:numId w:val="1"/>
      </w:numPr>
      <w:spacing w:before="240" w:after="60"/>
      <w:outlineLvl w:val="7"/>
    </w:pPr>
    <w:rPr>
      <w:i/>
    </w:rPr>
  </w:style>
  <w:style w:type="paragraph" w:styleId="Heading9">
    <w:name w:val="heading 9"/>
    <w:basedOn w:val="Normal"/>
    <w:next w:val="Normal"/>
    <w:link w:val="Heading9Char"/>
    <w:uiPriority w:val="99"/>
    <w:qFormat/>
    <w:rsid w:val="00fa52f8"/>
    <w:pPr>
      <w:numPr>
        <w:ilvl w:val="8"/>
        <w:numId w:val="1"/>
      </w:numPr>
      <w:spacing w:before="240" w:after="60"/>
      <w:outlineLvl w:val="8"/>
    </w:pPr>
    <w:rPr>
      <w:b/>
      <w:i/>
      <w:sz w:val="1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9"/>
    <w:qFormat/>
    <w:locked/>
    <w:rsid w:val="00d02205"/>
    <w:rPr>
      <w:rFonts w:ascii="Calibri" w:hAnsi="Calibri" w:cs="Calibri" w:asciiTheme="minorHAnsi" w:cstheme="minorHAnsi" w:hAnsiTheme="minorHAnsi"/>
      <w:b/>
      <w:sz w:val="28"/>
      <w:lang w:eastAsia="en-US"/>
    </w:rPr>
  </w:style>
  <w:style w:type="character" w:styleId="Heading2Char" w:customStyle="1">
    <w:name w:val="Heading 2 Char"/>
    <w:basedOn w:val="DefaultParagraphFont"/>
    <w:link w:val="Heading2"/>
    <w:uiPriority w:val="99"/>
    <w:qFormat/>
    <w:locked/>
    <w:rsid w:val="00d02205"/>
    <w:rPr>
      <w:rFonts w:ascii="Calibri" w:hAnsi="Calibri" w:cs="Calibri" w:asciiTheme="minorHAnsi" w:cstheme="minorHAnsi" w:hAnsiTheme="minorHAnsi"/>
      <w:b/>
      <w:color w:val="000000"/>
      <w:lang w:eastAsia="en-US"/>
    </w:rPr>
  </w:style>
  <w:style w:type="character" w:styleId="Heading3Char" w:customStyle="1">
    <w:name w:val="Heading 3 Char"/>
    <w:basedOn w:val="DefaultParagraphFont"/>
    <w:link w:val="Heading3"/>
    <w:uiPriority w:val="99"/>
    <w:qFormat/>
    <w:locked/>
    <w:rsid w:val="00d02205"/>
    <w:rPr>
      <w:rFonts w:ascii="Calibri" w:hAnsi="Calibri" w:cs="Calibri" w:asciiTheme="minorHAnsi" w:cstheme="minorHAnsi" w:hAnsiTheme="minorHAnsi"/>
      <w:b/>
      <w:color w:val="000000"/>
      <w:lang w:eastAsia="en-US"/>
    </w:rPr>
  </w:style>
  <w:style w:type="character" w:styleId="Heading4Char" w:customStyle="1">
    <w:name w:val="Heading 4 Char"/>
    <w:basedOn w:val="DefaultParagraphFont"/>
    <w:link w:val="Heading4"/>
    <w:uiPriority w:val="99"/>
    <w:qFormat/>
    <w:locked/>
    <w:rsid w:val="00d02205"/>
    <w:rPr>
      <w:rFonts w:cs="Calibri" w:cstheme="minorHAnsi"/>
      <w:sz w:val="24"/>
      <w:lang w:eastAsia="en-US"/>
    </w:rPr>
  </w:style>
  <w:style w:type="character" w:styleId="Heading5Char" w:customStyle="1">
    <w:name w:val="Heading 5 Char"/>
    <w:basedOn w:val="DefaultParagraphFont"/>
    <w:link w:val="Heading5"/>
    <w:uiPriority w:val="99"/>
    <w:qFormat/>
    <w:locked/>
    <w:rsid w:val="00d02205"/>
    <w:rPr>
      <w:rFonts w:ascii="Calibri" w:hAnsi="Calibri" w:cs="Calibri" w:asciiTheme="minorHAnsi" w:cstheme="minorHAnsi" w:hAnsiTheme="minorHAnsi"/>
      <w:b/>
      <w:sz w:val="24"/>
      <w:lang w:eastAsia="en-US"/>
    </w:rPr>
  </w:style>
  <w:style w:type="character" w:styleId="Heading6Char" w:customStyle="1">
    <w:name w:val="Heading 6 Char"/>
    <w:basedOn w:val="DefaultParagraphFont"/>
    <w:link w:val="Heading6"/>
    <w:uiPriority w:val="99"/>
    <w:qFormat/>
    <w:locked/>
    <w:rsid w:val="00d02205"/>
    <w:rPr>
      <w:rFonts w:ascii="Calibri" w:hAnsi="Calibri" w:cs="Calibri" w:asciiTheme="minorHAnsi" w:cstheme="minorHAnsi" w:hAnsiTheme="minorHAnsi"/>
      <w:b/>
      <w:lang w:eastAsia="en-US"/>
    </w:rPr>
  </w:style>
  <w:style w:type="character" w:styleId="Heading7Char" w:customStyle="1">
    <w:name w:val="Heading 7 Char"/>
    <w:basedOn w:val="DefaultParagraphFont"/>
    <w:link w:val="Heading7"/>
    <w:uiPriority w:val="99"/>
    <w:qFormat/>
    <w:locked/>
    <w:rsid w:val="00d02205"/>
    <w:rPr>
      <w:rFonts w:ascii="Calibri" w:hAnsi="Calibri" w:cs="Calibri" w:asciiTheme="minorHAnsi" w:cstheme="minorHAnsi" w:hAnsiTheme="minorHAnsi"/>
      <w:lang w:eastAsia="en-US"/>
    </w:rPr>
  </w:style>
  <w:style w:type="character" w:styleId="Heading8Char" w:customStyle="1">
    <w:name w:val="Heading 8 Char"/>
    <w:basedOn w:val="DefaultParagraphFont"/>
    <w:link w:val="Heading8"/>
    <w:uiPriority w:val="99"/>
    <w:qFormat/>
    <w:locked/>
    <w:rsid w:val="00d02205"/>
    <w:rPr>
      <w:rFonts w:ascii="Calibri" w:hAnsi="Calibri" w:cs="Calibri" w:asciiTheme="minorHAnsi" w:cstheme="minorHAnsi" w:hAnsiTheme="minorHAnsi"/>
      <w:i/>
      <w:lang w:eastAsia="en-US"/>
    </w:rPr>
  </w:style>
  <w:style w:type="character" w:styleId="Heading9Char" w:customStyle="1">
    <w:name w:val="Heading 9 Char"/>
    <w:basedOn w:val="DefaultParagraphFont"/>
    <w:link w:val="Heading9"/>
    <w:uiPriority w:val="99"/>
    <w:qFormat/>
    <w:locked/>
    <w:rsid w:val="00d02205"/>
    <w:rPr>
      <w:rFonts w:ascii="Calibri" w:hAnsi="Calibri" w:cs="Calibri" w:asciiTheme="minorHAnsi" w:cstheme="minorHAnsi" w:hAnsiTheme="minorHAnsi"/>
      <w:b/>
      <w:i/>
      <w:sz w:val="18"/>
      <w:lang w:eastAsia="en-US"/>
    </w:rPr>
  </w:style>
  <w:style w:type="character" w:styleId="FooterChar" w:customStyle="1">
    <w:name w:val="Footer Char"/>
    <w:basedOn w:val="DefaultParagraphFont"/>
    <w:link w:val="Footer"/>
    <w:uiPriority w:val="99"/>
    <w:qFormat/>
    <w:locked/>
    <w:rsid w:val="00134930"/>
    <w:rPr>
      <w:rFonts w:ascii="Arial" w:hAnsi="Arial" w:cs="Times New Roman"/>
      <w:lang w:eastAsia="en-US"/>
    </w:rPr>
  </w:style>
  <w:style w:type="character" w:styleId="HeaderChar" w:customStyle="1">
    <w:name w:val="Header Char"/>
    <w:basedOn w:val="DefaultParagraphFont"/>
    <w:link w:val="Header"/>
    <w:uiPriority w:val="99"/>
    <w:qFormat/>
    <w:locked/>
    <w:rsid w:val="00134930"/>
    <w:rPr>
      <w:rFonts w:ascii="Arial" w:hAnsi="Arial" w:cs="Times New Roman"/>
      <w:lang w:eastAsia="en-US"/>
    </w:rPr>
  </w:style>
  <w:style w:type="character" w:styleId="BodyTextChar" w:customStyle="1">
    <w:name w:val="Body Text Char"/>
    <w:basedOn w:val="DefaultParagraphFont"/>
    <w:uiPriority w:val="99"/>
    <w:semiHidden/>
    <w:qFormat/>
    <w:locked/>
    <w:rsid w:val="00d02205"/>
    <w:rPr>
      <w:rFonts w:ascii="Arial" w:hAnsi="Arial" w:cs="Times New Roman"/>
      <w:lang w:eastAsia="en-US"/>
    </w:rPr>
  </w:style>
  <w:style w:type="character" w:styleId="BodyTextIndentChar" w:customStyle="1">
    <w:name w:val="Body Text Indent Char"/>
    <w:basedOn w:val="DefaultParagraphFont"/>
    <w:uiPriority w:val="99"/>
    <w:semiHidden/>
    <w:qFormat/>
    <w:locked/>
    <w:rsid w:val="00d02205"/>
    <w:rPr>
      <w:rFonts w:ascii="Arial" w:hAnsi="Arial" w:cs="Times New Roman"/>
      <w:lang w:eastAsia="en-US"/>
    </w:rPr>
  </w:style>
  <w:style w:type="character" w:styleId="BodyText2Char" w:customStyle="1">
    <w:name w:val="Body Text 2 Char"/>
    <w:basedOn w:val="DefaultParagraphFont"/>
    <w:link w:val="BodyText2"/>
    <w:uiPriority w:val="99"/>
    <w:semiHidden/>
    <w:qFormat/>
    <w:locked/>
    <w:rsid w:val="00d02205"/>
    <w:rPr>
      <w:rFonts w:ascii="Arial" w:hAnsi="Arial" w:cs="Times New Roman"/>
      <w:lang w:eastAsia="en-US"/>
    </w:rPr>
  </w:style>
  <w:style w:type="character" w:styleId="PageNumber">
    <w:name w:val="page number"/>
    <w:basedOn w:val="DefaultParagraphFont"/>
    <w:uiPriority w:val="99"/>
    <w:rsid w:val="00fa52f8"/>
    <w:rPr>
      <w:rFonts w:cs="Times New Roman"/>
    </w:rPr>
  </w:style>
  <w:style w:type="character" w:styleId="BodyText3Char" w:customStyle="1">
    <w:name w:val="Body Text 3 Char"/>
    <w:basedOn w:val="DefaultParagraphFont"/>
    <w:link w:val="BodyText3"/>
    <w:uiPriority w:val="99"/>
    <w:semiHidden/>
    <w:qFormat/>
    <w:locked/>
    <w:rsid w:val="00d02205"/>
    <w:rPr>
      <w:rFonts w:ascii="Arial" w:hAnsi="Arial" w:cs="Times New Roman"/>
      <w:sz w:val="16"/>
      <w:szCs w:val="16"/>
      <w:lang w:eastAsia="en-US"/>
    </w:rPr>
  </w:style>
  <w:style w:type="character" w:styleId="BalloonTextChar" w:customStyle="1">
    <w:name w:val="Balloon Text Char"/>
    <w:basedOn w:val="DefaultParagraphFont"/>
    <w:link w:val="BalloonText"/>
    <w:uiPriority w:val="99"/>
    <w:semiHidden/>
    <w:qFormat/>
    <w:locked/>
    <w:rsid w:val="00d02205"/>
    <w:rPr>
      <w:rFonts w:cs="Times New Roman"/>
      <w:sz w:val="2"/>
      <w:lang w:eastAsia="en-US"/>
    </w:rPr>
  </w:style>
  <w:style w:type="character" w:styleId="Hyperlink">
    <w:name w:val="Hyperlink"/>
    <w:basedOn w:val="DefaultParagraphFont"/>
    <w:uiPriority w:val="99"/>
    <w:rsid w:val="00e32de5"/>
    <w:rPr>
      <w:rFonts w:cs="Times New Roman"/>
      <w:color w:val="0000FF"/>
      <w:u w:val="single"/>
    </w:rPr>
  </w:style>
  <w:style w:type="character" w:styleId="NoSpacingChar" w:customStyle="1">
    <w:name w:val="No Spacing Char"/>
    <w:basedOn w:val="DefaultParagraphFont"/>
    <w:link w:val="NoSpacing"/>
    <w:uiPriority w:val="99"/>
    <w:qFormat/>
    <w:locked/>
    <w:rsid w:val="008c0989"/>
    <w:rPr>
      <w:rFonts w:ascii="Calibri" w:hAnsi="Calibri" w:cs="Times New Roman"/>
      <w:sz w:val="22"/>
      <w:szCs w:val="22"/>
      <w:lang w:val="en-US" w:eastAsia="en-US" w:bidi="ar-SA"/>
    </w:rPr>
  </w:style>
  <w:style w:type="character" w:styleId="PlainTextChar" w:customStyle="1">
    <w:name w:val="Plain Text Char"/>
    <w:basedOn w:val="DefaultParagraphFont"/>
    <w:link w:val="PlainText"/>
    <w:uiPriority w:val="99"/>
    <w:qFormat/>
    <w:locked/>
    <w:rsid w:val="00371585"/>
    <w:rPr>
      <w:rFonts w:ascii="Consolas" w:hAnsi="Consolas" w:eastAsia="Times New Roman" w:cs="Times New Roman"/>
      <w:sz w:val="21"/>
      <w:szCs w:val="21"/>
      <w:lang w:eastAsia="en-US"/>
    </w:rPr>
  </w:style>
  <w:style w:type="character" w:styleId="DocumentMapChar" w:customStyle="1">
    <w:name w:val="Document Map Char"/>
    <w:basedOn w:val="DefaultParagraphFont"/>
    <w:link w:val="DocumentMap"/>
    <w:uiPriority w:val="99"/>
    <w:semiHidden/>
    <w:qFormat/>
    <w:rsid w:val="0029092d"/>
    <w:rPr>
      <w:sz w:val="0"/>
      <w:szCs w:val="0"/>
      <w:lang w:eastAsia="en-US"/>
    </w:rPr>
  </w:style>
  <w:style w:type="character" w:styleId="CommentReference">
    <w:name w:val="annotation reference"/>
    <w:basedOn w:val="DefaultParagraphFont"/>
    <w:uiPriority w:val="99"/>
    <w:semiHidden/>
    <w:unhideWhenUsed/>
    <w:qFormat/>
    <w:rsid w:val="00e85350"/>
    <w:rPr>
      <w:sz w:val="16"/>
      <w:szCs w:val="16"/>
    </w:rPr>
  </w:style>
  <w:style w:type="character" w:styleId="CommentTextChar" w:customStyle="1">
    <w:name w:val="Comment Text Char"/>
    <w:basedOn w:val="DefaultParagraphFont"/>
    <w:link w:val="CommentText"/>
    <w:uiPriority w:val="99"/>
    <w:qFormat/>
    <w:rsid w:val="00e85350"/>
    <w:rPr>
      <w:rFonts w:ascii="Calibri" w:hAnsi="Calibri" w:cs="Calibri" w:asciiTheme="minorHAnsi" w:cstheme="minorHAnsi" w:hAnsiTheme="minorHAnsi"/>
      <w:sz w:val="20"/>
      <w:szCs w:val="20"/>
      <w:lang w:eastAsia="en-US"/>
    </w:rPr>
  </w:style>
  <w:style w:type="character" w:styleId="CommentSubjectChar" w:customStyle="1">
    <w:name w:val="Comment Subject Char"/>
    <w:basedOn w:val="CommentTextChar"/>
    <w:link w:val="annotationsubject"/>
    <w:uiPriority w:val="99"/>
    <w:semiHidden/>
    <w:qFormat/>
    <w:rsid w:val="00e85350"/>
    <w:rPr>
      <w:rFonts w:ascii="Calibri" w:hAnsi="Calibri" w:cs="Calibri" w:asciiTheme="minorHAnsi" w:cstheme="minorHAnsi" w:hAnsiTheme="minorHAnsi"/>
      <w:b/>
      <w:bCs/>
      <w:sz w:val="20"/>
      <w:szCs w:val="20"/>
      <w:lang w:eastAsia="en-US"/>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rsid w:val="00fa52f8"/>
    <w:pPr/>
    <w:rPr>
      <w:rFonts w:ascii="Times New Roman" w:hAnsi="Times New Roman"/>
      <w:sz w:val="24"/>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Footer">
    <w:name w:val="footer"/>
    <w:basedOn w:val="Normal"/>
    <w:link w:val="FooterChar"/>
    <w:uiPriority w:val="99"/>
    <w:rsid w:val="00fa52f8"/>
    <w:pPr>
      <w:tabs>
        <w:tab w:val="clear" w:pos="720"/>
        <w:tab w:val="center" w:pos="4320" w:leader="none"/>
        <w:tab w:val="right" w:pos="8640" w:leader="none"/>
      </w:tabs>
    </w:pPr>
    <w:rPr/>
  </w:style>
  <w:style w:type="paragraph" w:styleId="Header">
    <w:name w:val="header"/>
    <w:basedOn w:val="Normal"/>
    <w:link w:val="HeaderChar"/>
    <w:uiPriority w:val="99"/>
    <w:rsid w:val="00fa52f8"/>
    <w:pPr>
      <w:tabs>
        <w:tab w:val="clear" w:pos="720"/>
        <w:tab w:val="center" w:pos="4320" w:leader="none"/>
        <w:tab w:val="right" w:pos="8640" w:leader="none"/>
      </w:tabs>
    </w:pPr>
    <w:rPr/>
  </w:style>
  <w:style w:type="paragraph" w:styleId="HelpText" w:customStyle="1">
    <w:name w:val="Help Text"/>
    <w:basedOn w:val="Normal"/>
    <w:next w:val="Normal"/>
    <w:uiPriority w:val="99"/>
    <w:qFormat/>
    <w:rsid w:val="00fa52f8"/>
    <w:pPr/>
    <w:rPr>
      <w:i/>
      <w:color w:val="0000FF"/>
      <w:sz w:val="18"/>
    </w:rPr>
  </w:style>
  <w:style w:type="paragraph" w:styleId="BodyTextIndent">
    <w:name w:val="Body Text Indent"/>
    <w:basedOn w:val="Normal"/>
    <w:link w:val="BodyTextIndentChar"/>
    <w:uiPriority w:val="99"/>
    <w:rsid w:val="00fa52f8"/>
    <w:pPr>
      <w:spacing w:before="0" w:after="120"/>
      <w:ind w:start="283"/>
    </w:pPr>
    <w:rPr>
      <w:rFonts w:ascii="Century Schoolbook" w:hAnsi="Century Schoolbook"/>
      <w:sz w:val="18"/>
    </w:rPr>
  </w:style>
  <w:style w:type="paragraph" w:styleId="TOC1">
    <w:name w:val="toc 1"/>
    <w:basedOn w:val="Normal"/>
    <w:next w:val="Normal"/>
    <w:autoRedefine/>
    <w:uiPriority w:val="39"/>
    <w:rsid w:val="00fa52f8"/>
    <w:pPr/>
    <w:rPr/>
  </w:style>
  <w:style w:type="paragraph" w:styleId="TOC2">
    <w:name w:val="toc 2"/>
    <w:basedOn w:val="Normal"/>
    <w:next w:val="Normal"/>
    <w:autoRedefine/>
    <w:uiPriority w:val="39"/>
    <w:rsid w:val="00fa52f8"/>
    <w:pPr>
      <w:ind w:start="200"/>
    </w:pPr>
    <w:rPr/>
  </w:style>
  <w:style w:type="paragraph" w:styleId="TOC3">
    <w:name w:val="toc 3"/>
    <w:basedOn w:val="Normal"/>
    <w:next w:val="Normal"/>
    <w:autoRedefine/>
    <w:uiPriority w:val="39"/>
    <w:rsid w:val="00fa52f8"/>
    <w:pPr>
      <w:ind w:start="400"/>
    </w:pPr>
    <w:rPr/>
  </w:style>
  <w:style w:type="paragraph" w:styleId="TOC4">
    <w:name w:val="toc 4"/>
    <w:basedOn w:val="Normal"/>
    <w:next w:val="Normal"/>
    <w:autoRedefine/>
    <w:uiPriority w:val="99"/>
    <w:semiHidden/>
    <w:rsid w:val="00fa52f8"/>
    <w:pPr>
      <w:ind w:start="600"/>
    </w:pPr>
    <w:rPr/>
  </w:style>
  <w:style w:type="paragraph" w:styleId="TOC5">
    <w:name w:val="toc 5"/>
    <w:basedOn w:val="Normal"/>
    <w:next w:val="Normal"/>
    <w:autoRedefine/>
    <w:uiPriority w:val="99"/>
    <w:semiHidden/>
    <w:rsid w:val="00fa52f8"/>
    <w:pPr>
      <w:ind w:start="800"/>
    </w:pPr>
    <w:rPr/>
  </w:style>
  <w:style w:type="paragraph" w:styleId="TOC6">
    <w:name w:val="toc 6"/>
    <w:basedOn w:val="Normal"/>
    <w:next w:val="Normal"/>
    <w:autoRedefine/>
    <w:uiPriority w:val="99"/>
    <w:semiHidden/>
    <w:rsid w:val="00fa52f8"/>
    <w:pPr>
      <w:ind w:start="1000"/>
    </w:pPr>
    <w:rPr/>
  </w:style>
  <w:style w:type="paragraph" w:styleId="TOC7">
    <w:name w:val="toc 7"/>
    <w:basedOn w:val="Normal"/>
    <w:next w:val="Normal"/>
    <w:autoRedefine/>
    <w:uiPriority w:val="99"/>
    <w:semiHidden/>
    <w:rsid w:val="00fa52f8"/>
    <w:pPr>
      <w:ind w:start="1200"/>
    </w:pPr>
    <w:rPr/>
  </w:style>
  <w:style w:type="paragraph" w:styleId="TOC8">
    <w:name w:val="toc 8"/>
    <w:basedOn w:val="Normal"/>
    <w:next w:val="Normal"/>
    <w:autoRedefine/>
    <w:uiPriority w:val="99"/>
    <w:semiHidden/>
    <w:rsid w:val="00fa52f8"/>
    <w:pPr>
      <w:ind w:start="1400"/>
    </w:pPr>
    <w:rPr/>
  </w:style>
  <w:style w:type="paragraph" w:styleId="TOC9">
    <w:name w:val="toc 9"/>
    <w:basedOn w:val="Normal"/>
    <w:next w:val="Normal"/>
    <w:autoRedefine/>
    <w:uiPriority w:val="99"/>
    <w:semiHidden/>
    <w:rsid w:val="00fa52f8"/>
    <w:pPr>
      <w:ind w:start="1600"/>
    </w:pPr>
    <w:rPr/>
  </w:style>
  <w:style w:type="paragraph" w:styleId="BodyText2">
    <w:name w:val="Body Text 2"/>
    <w:basedOn w:val="Normal"/>
    <w:link w:val="BodyText2Char"/>
    <w:uiPriority w:val="99"/>
    <w:qFormat/>
    <w:rsid w:val="00fa52f8"/>
    <w:pPr/>
    <w:rPr>
      <w:i/>
      <w:color w:val="0000FF"/>
    </w:rPr>
  </w:style>
  <w:style w:type="paragraph" w:styleId="BodyText3">
    <w:name w:val="Body Text 3"/>
    <w:basedOn w:val="Normal"/>
    <w:link w:val="BodyText3Char"/>
    <w:uiPriority w:val="99"/>
    <w:qFormat/>
    <w:rsid w:val="00fa52f8"/>
    <w:pPr/>
    <w:rPr>
      <w:color w:val="0000FF"/>
    </w:rPr>
  </w:style>
  <w:style w:type="paragraph" w:styleId="BalloonText">
    <w:name w:val="Balloon Text"/>
    <w:basedOn w:val="Normal"/>
    <w:link w:val="BalloonTextChar"/>
    <w:uiPriority w:val="99"/>
    <w:semiHidden/>
    <w:qFormat/>
    <w:rsid w:val="00b66df4"/>
    <w:pPr/>
    <w:rPr>
      <w:rFonts w:ascii="Tahoma" w:hAnsi="Tahoma" w:cs="Tahoma"/>
      <w:sz w:val="16"/>
      <w:szCs w:val="16"/>
    </w:rPr>
  </w:style>
  <w:style w:type="paragraph" w:styleId="msolistparagraph" w:customStyle="1">
    <w:name w:val="msolistparagraph"/>
    <w:basedOn w:val="Normal"/>
    <w:uiPriority w:val="99"/>
    <w:qFormat/>
    <w:rsid w:val="00e942ac"/>
    <w:pPr>
      <w:ind w:start="720"/>
    </w:pPr>
    <w:rPr>
      <w:rFonts w:ascii="Times New Roman" w:hAnsi="Times New Roman"/>
      <w:sz w:val="24"/>
      <w:szCs w:val="24"/>
      <w:lang w:eastAsia="en-GB"/>
    </w:rPr>
  </w:style>
  <w:style w:type="paragraph" w:styleId="IndexHeading">
    <w:name w:val="index heading"/>
    <w:basedOn w:val="Heading"/>
    <w:pPr/>
    <w:rPr/>
  </w:style>
  <w:style w:type="paragraph" w:styleId="TOCHeading">
    <w:name w:val="TOC Heading"/>
    <w:basedOn w:val="Heading1"/>
    <w:next w:val="Normal"/>
    <w:uiPriority w:val="99"/>
    <w:qFormat/>
    <w:rsid w:val="001f6f0a"/>
    <w:pPr>
      <w:keepLines/>
      <w:numPr>
        <w:ilvl w:val="0"/>
        <w:numId w:val="0"/>
      </w:numPr>
      <w:spacing w:lineRule="auto" w:line="276" w:before="480" w:after="0"/>
      <w:outlineLvl w:val="9"/>
    </w:pPr>
    <w:rPr>
      <w:rFonts w:ascii="Cambria" w:hAnsi="Cambria"/>
      <w:bCs/>
      <w:color w:val="365F91"/>
      <w:szCs w:val="28"/>
      <w:lang w:val="en-US"/>
    </w:rPr>
  </w:style>
  <w:style w:type="paragraph" w:styleId="NormalTable" w:customStyle="1">
    <w:name w:val="Normal Table"/>
    <w:basedOn w:val="Normal"/>
    <w:uiPriority w:val="99"/>
    <w:qFormat/>
    <w:rsid w:val="003f2fe5"/>
    <w:pPr>
      <w:spacing w:before="60" w:after="60"/>
    </w:pPr>
    <w:rPr>
      <w:rFonts w:cs="Arial"/>
      <w:szCs w:val="24"/>
    </w:rPr>
  </w:style>
  <w:style w:type="paragraph" w:styleId="defaulttext" w:customStyle="1">
    <w:name w:val="defaulttext"/>
    <w:basedOn w:val="Normal"/>
    <w:uiPriority w:val="99"/>
    <w:qFormat/>
    <w:rsid w:val="00554b3d"/>
    <w:pPr>
      <w:overflowPunct w:val="true"/>
    </w:pPr>
    <w:rPr>
      <w:rFonts w:ascii="Times New Roman" w:hAnsi="Times New Roman"/>
      <w:color w:val="000000"/>
      <w:sz w:val="24"/>
      <w:szCs w:val="24"/>
      <w:lang w:eastAsia="en-GB"/>
    </w:rPr>
  </w:style>
  <w:style w:type="paragraph" w:styleId="ListParagraph">
    <w:name w:val="List Paragraph"/>
    <w:basedOn w:val="Normal"/>
    <w:uiPriority w:val="99"/>
    <w:qFormat/>
    <w:rsid w:val="00786096"/>
    <w:pPr>
      <w:ind w:start="720"/>
    </w:pPr>
    <w:rPr/>
  </w:style>
  <w:style w:type="paragraph" w:styleId="CITInfoBlue" w:customStyle="1">
    <w:name w:val="CIT InfoBlue"/>
    <w:basedOn w:val="Normal"/>
    <w:next w:val="ListParagraph"/>
    <w:uiPriority w:val="99"/>
    <w:qFormat/>
    <w:rsid w:val="0021798f"/>
    <w:pPr>
      <w:keepNext w:val="true"/>
      <w:widowControl w:val="false"/>
      <w:tabs>
        <w:tab w:val="clear" w:pos="720"/>
        <w:tab w:val="left" w:pos="540" w:leader="none"/>
        <w:tab w:val="left" w:pos="1260" w:leader="none"/>
      </w:tabs>
      <w:spacing w:lineRule="atLeast" w:line="240" w:before="120" w:after="120"/>
      <w:ind w:start="680"/>
    </w:pPr>
    <w:rPr>
      <w:bCs/>
      <w:i/>
      <w:color w:val="3366FF"/>
      <w:szCs w:val="16"/>
      <w:lang w:val="en-US"/>
    </w:rPr>
  </w:style>
  <w:style w:type="paragraph" w:styleId="NoSpacing">
    <w:name w:val="No Spacing"/>
    <w:link w:val="NoSpacingChar"/>
    <w:uiPriority w:val="99"/>
    <w:qFormat/>
    <w:rsid w:val="008c0989"/>
    <w:pPr>
      <w:widowControl/>
      <w:bidi w:val="0"/>
      <w:spacing w:before="0" w:after="0"/>
      <w:jc w:val="start"/>
    </w:pPr>
    <w:rPr>
      <w:rFonts w:ascii="Calibri" w:hAnsi="Calibri" w:eastAsia="Times New Roman" w:cs="Times New Roman"/>
      <w:color w:val="auto"/>
      <w:kern w:val="0"/>
      <w:sz w:val="22"/>
      <w:szCs w:val="22"/>
      <w:lang w:val="en-US" w:eastAsia="en-US" w:bidi="ar-SA"/>
    </w:rPr>
  </w:style>
  <w:style w:type="paragraph" w:styleId="PlainText">
    <w:name w:val="Plain Text"/>
    <w:basedOn w:val="Normal"/>
    <w:link w:val="PlainTextChar"/>
    <w:uiPriority w:val="99"/>
    <w:qFormat/>
    <w:rsid w:val="00371585"/>
    <w:pPr/>
    <w:rPr>
      <w:rFonts w:ascii="Consolas" w:hAnsi="Consolas"/>
      <w:sz w:val="21"/>
      <w:szCs w:val="21"/>
    </w:rPr>
  </w:style>
  <w:style w:type="paragraph" w:styleId="DocumentMap">
    <w:name w:val="Document Map"/>
    <w:basedOn w:val="Normal"/>
    <w:link w:val="DocumentMapChar"/>
    <w:uiPriority w:val="99"/>
    <w:semiHidden/>
    <w:qFormat/>
    <w:rsid w:val="00f150a2"/>
    <w:pPr>
      <w:shd w:val="clear" w:color="auto" w:fill="000080"/>
    </w:pPr>
    <w:rPr>
      <w:rFonts w:ascii="Tahoma" w:hAnsi="Tahoma" w:cs="Tahoma"/>
    </w:rPr>
  </w:style>
  <w:style w:type="paragraph" w:styleId="NormalWeb">
    <w:name w:val="Normal (Web)"/>
    <w:basedOn w:val="Normal"/>
    <w:uiPriority w:val="99"/>
    <w:semiHidden/>
    <w:unhideWhenUsed/>
    <w:qFormat/>
    <w:rsid w:val="00e51609"/>
    <w:pPr>
      <w:spacing w:beforeAutospacing="1" w:afterAutospacing="1"/>
    </w:pPr>
    <w:rPr>
      <w:rFonts w:ascii="Times New Roman" w:hAnsi="Times New Roman"/>
      <w:sz w:val="24"/>
      <w:szCs w:val="24"/>
      <w:lang w:val="en-US"/>
    </w:rPr>
  </w:style>
  <w:style w:type="paragraph" w:styleId="CommentText">
    <w:name w:val="annotation text"/>
    <w:basedOn w:val="Normal"/>
    <w:link w:val="CommentTextChar"/>
    <w:uiPriority w:val="99"/>
    <w:unhideWhenUsed/>
    <w:rsid w:val="00e85350"/>
    <w:pPr/>
    <w:rPr>
      <w:sz w:val="20"/>
      <w:szCs w:val="20"/>
    </w:rPr>
  </w:style>
  <w:style w:type="paragraph" w:styleId="annotationsubject">
    <w:name w:val="annotation subject"/>
    <w:basedOn w:val="CommentText"/>
    <w:next w:val="CommentText"/>
    <w:link w:val="CommentSubjectChar"/>
    <w:uiPriority w:val="99"/>
    <w:semiHidden/>
    <w:unhideWhenUsed/>
    <w:qFormat/>
    <w:rsid w:val="00e85350"/>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99"/>
    <w:rsid w:val="004408de"/>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MediumList2-Accent1">
    <w:name w:val="Medium List 2 Accent 1"/>
    <w:basedOn w:val="TableNormal"/>
    <w:uiPriority w:val="99"/>
    <w:rsid w:val="00c13ae9"/>
    <w:rPr>
      <w:lang w:val="en-US" w:eastAsia="en-US"/>
    </w:rPr>
    <w:tblPr>
      <w:tblStyleRowBandSize w:val="1"/>
      <w:tblStyleColBandSize w:val="1"/>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nil"/>
          <w:bottom w:val="single" w:color="4F81BD" w:sz="24" w:space="0"/>
          <w:right w:val="nil"/>
          <w:insideH w:val="nil"/>
          <w:insideV w:val="nil"/>
        </w:tcBorders>
        <w:shd w:val="clear" w:color="auto" w:fill="FFFFFF"/>
      </w:tcPr>
    </w:tblStylePr>
    <w:tblStylePr w:type="lastRow">
      <w:rPr/>
      <w:tblPr/>
      <w:tcPr>
        <w:tcBorders>
          <w:top w:val="single" w:color="4F81BD" w:sz="8" w:space="0"/>
          <w:left w:val="nil"/>
          <w:bottom w:val="nil"/>
          <w:right w:val="nil"/>
          <w:insideH w:val="nil"/>
          <w:insideV w:val="nil"/>
        </w:tcBorders>
        <w:shd w:val="clear" w:color="auto" w:fill="FFFFFF"/>
      </w:tcPr>
    </w:tblStylePr>
    <w:tblStylePr w:type="firstCol">
      <w:rPr/>
      <w:tblPr/>
      <w:tcPr>
        <w:tcBorders>
          <w:top w:val="nil"/>
          <w:left w:val="nil"/>
          <w:bottom w:val="nil"/>
          <w:right w:val="single" w:color="4F81BD" w:sz="8" w:space="0"/>
          <w:insideH w:val="nil"/>
          <w:insideV w:val="nil"/>
        </w:tcBorders>
        <w:shd w:val="clear" w:color="auto" w:fill="FFFFFF"/>
      </w:tcPr>
    </w:tblStylePr>
    <w:tblStylePr w:type="lastCol">
      <w:rPr/>
      <w:tblPr/>
      <w:tcPr>
        <w:tcBorders>
          <w:top w:val="nil"/>
          <w:left w:val="single" w:color="4F81BD" w:sz="8" w:space="0"/>
          <w:bottom w:val="nil"/>
          <w:right w:val="nil"/>
          <w:insideH w:val="nil"/>
          <w:insideV w:val="nil"/>
        </w:tcBorders>
        <w:shd w:val="clear" w:color="auto" w:fill="FFFFFF"/>
      </w:tcPr>
    </w:tblStylePr>
    <w:tblStylePr w:type="band1Vert">
      <w:rPr/>
      <w:tblPr/>
      <w:tcPr>
        <w:tcBorders>
          <w:left w:val="nil"/>
          <w:right w:val="nil"/>
          <w:insideH w:val="nil"/>
          <w:insideV w:val="nil"/>
        </w:tcBorders>
        <w:shd w:val="clear" w:color="auto" w:fill="D3DFEE"/>
      </w:tcPr>
    </w:tblStylePr>
    <w:tblStylePr w:type="band1Horz">
      <w:rPr/>
      <w:tblPr/>
      <w:tcPr>
        <w:tcBorders>
          <w:top w:val="nil"/>
          <w:bottom w:val="nil"/>
          <w:insideH w:val="nil"/>
          <w:insideV w:val="nil"/>
        </w:tcBorders>
        <w:shd w:val="clear" w:color="auto" w:fill="D3DFEE"/>
      </w:tcPr>
    </w:tblStylePr>
    <w:tblStylePr w:type="nwCell">
      <w:rPr/>
      <w:tblPr/>
      <w:tcPr>
        <w:shd w:val="clear" w:color="auto" w:fill="FFFFFF"/>
      </w:tcPr>
    </w:tblStylePr>
    <w:tblStylePr w:type="swCell">
      <w:rPr/>
      <w:tblPr/>
      <w:tcPr>
        <w:tcBorders>
          <w:top w:val="nil"/>
        </w:tcBorders>
      </w:tcPr>
    </w:tblStylePr>
  </w:style>
  <w:style w:type="table" w:styleId="TableClassic4">
    <w:name w:val="Table Classic 4"/>
    <w:basedOn w:val="TableNormal"/>
    <w:uiPriority w:val="99"/>
    <w:rsid w:val="009903dc"/>
    <w:rPr>
      <w:sz w:val="20"/>
      <w:szCs w:val="20"/>
    </w:rPr>
    <w:tblPr>
      <w:tblBorders>
        <w:top w:val="single" w:color="000000" w:sz="12" w:space="0"/>
        <w:left w:val="single" w:color="000000" w:sz="6" w:space="0"/>
        <w:bottom w:val="single" w:color="000000" w:sz="12" w:space="0"/>
        <w:right w:val="single" w:color="000000" w:sz="6" w:space="0"/>
      </w:tblBorders>
    </w:tblPr>
    <w:tblStylePr w:type="firstRow">
      <w:rPr>
        <w:b/>
        <w:bCs/>
        <w:i/>
      </w:rPr>
      <w:tblPr/>
      <w:tcPr>
        <w:tcBorders>
          <w:bottom w:val="single" w:color="000000" w:sz="6" w:space="0"/>
          <w:tl2br w:val="none" w:color="auto" w:sz="0" w:space="0"/>
          <w:tr2bl w:val="none" w:color="auto" w:sz="0" w:space="0"/>
        </w:tcBorders>
        <w:shd w:val="pct50" w:color="000080" w:fill="FFFFFF"/>
      </w:tcPr>
    </w:tblStylePr>
    <w:tblStylePr w:type="lastRow">
      <w:rPr/>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rPr/>
      <w:tblPr/>
      <w:tcPr>
        <w:tcBorders>
          <w:tl2br w:val="none" w:color="auto" w:sz="0" w:space="0"/>
          <w:tr2bl w:val="none" w:color="auto" w:sz="0" w:space="0"/>
        </w:tcBorders>
      </w:tcPr>
    </w:tblStylePr>
  </w:style>
  <w:style w:type="table" w:styleId="TableList4">
    <w:name w:val="Table List 4"/>
    <w:basedOn w:val="TableNormal"/>
    <w:uiPriority w:val="99"/>
    <w:rsid w:val="009903dc"/>
    <w:rPr>
      <w:sz w:val="20"/>
      <w:szCs w:val="20"/>
    </w:rPr>
    <w:tblPr>
      <w:tblBorders>
        <w:top w:val="single" w:color="000000" w:sz="12" w:space="0"/>
        <w:left w:val="single" w:color="000000" w:sz="12" w:space="0"/>
        <w:bottom w:val="single" w:color="000000" w:sz="12" w:space="0"/>
        <w:right w:val="single" w:color="000000" w:sz="12" w:space="0"/>
        <w:insideH w:val="single" w:color="000000" w:sz="6" w:space="0"/>
      </w:tblBorders>
    </w:tblPr>
    <w:tblStylePr w:type="firstRow">
      <w:rPr>
        <w:b/>
        <w:bCs/>
      </w:rPr>
      <w:tblPr/>
      <w:tcPr>
        <w:tcBorders>
          <w:bottom w:val="single" w:color="000000" w:sz="12" w:space="0"/>
          <w:tl2br w:val="none" w:color="auto" w:sz="0" w:space="0"/>
          <w:tr2bl w:val="none" w:color="auto" w:sz="0" w:space="0"/>
        </w:tcBorders>
        <w:shd w:val="solid" w:color="808080" w:fill="FFFFF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1.png"/><Relationship Id="rId16" Type="http://schemas.openxmlformats.org/officeDocument/2006/relationships/header" Target="header4.xml"/><Relationship Id="rId17" Type="http://schemas.openxmlformats.org/officeDocument/2006/relationships/header" Target="header5.xml"/><Relationship Id="rId18" Type="http://schemas.openxmlformats.org/officeDocument/2006/relationships/header" Target="header6.xml"/><Relationship Id="rId19" Type="http://schemas.openxmlformats.org/officeDocument/2006/relationships/footer" Target="footer4.xml"/><Relationship Id="rId20" Type="http://schemas.openxmlformats.org/officeDocument/2006/relationships/footer" Target="footer5.xml"/><Relationship Id="rId21" Type="http://schemas.openxmlformats.org/officeDocument/2006/relationships/footer" Target="footer6.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Relationship Id="rId2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2EED56-1174-44D6-9835-B2CFAF74D4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Business Requirements Spec.dot</Template>
  <TotalTime>630</TotalTime>
  <Application>LibreOffice/26.2.6.3$Linux_X86_64 LibreOffice_project/620$Build-3</Application>
  <AppVersion>15.0000</AppVersion>
  <Pages>23</Pages>
  <Words>3061</Words>
  <Characters>20272</Characters>
  <CharactersWithSpaces>22638</CharactersWithSpaces>
  <Paragraphs>602</Paragraph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2015-06-03T21:44:00Z</dcterms:created>
  <dc:creator/>
  <dc:description/>
  <dc:language>en-GB</dc:language>
  <cp:lastModifiedBy/>
  <cp:lastPrinted>2013-07-11T08:24:00Z</cp:lastPrinted>
  <dcterms:modified xsi:type="dcterms:W3CDTF">2026-09-25T23:17:40Z</dcterms:modified>
  <cp:revision>255</cp:revision>
  <dc:subject/>
  <dc:title>Business Requirements Spec</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0x0101003FEAD3B6806BAB4BB6374F360ED4A06F</vt:lpwstr>
  </property>
</Properties>
</file>