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rPr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Strict compliance: </w:t>
            </w:r>
            <w:r>
              <w:rPr/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98"/>
        <w:gridCol w:w="5861"/>
      </w:tblGrid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Project name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Historical Epidemiology RAG Agent</w:t>
            </w:r>
          </w:p>
        </w:tc>
      </w:tr>
    </w:tbl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Team members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697"/>
        <w:gridCol w:w="3002"/>
        <w:gridCol w:w="2364"/>
        <w:gridCol w:w="2296"/>
      </w:tblGrid>
      <w:tr>
        <w:trPr>
          <w:tblHeader w:val="true"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Student 1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20"/>
                <w:szCs w:val="20"/>
              </w:rPr>
              <w:t>Md. Mobasharul Islam Tonmoy</w:t>
            </w:r>
          </w:p>
          <w:p>
            <w:pPr>
              <w:pStyle w:val="Normal"/>
              <w:rPr/>
            </w:pPr>
            <w:r>
              <w:rPr/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2105076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Frame &amp; configs, corpus &amp; provenance, ingest (load → preprocess → enhance), data validation &amp; corpus versioning, CI build fixes (uv.lock + runtime deps)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Student 2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Tanzim Tousif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2105071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Layout detection &amp; reading order, OCR engine selection, OCR evaluation (char-F1 vs held-out labels), EDA notebook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3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Rubaiyat -E-Zaman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2105104</w:t>
            </w:r>
          </w:p>
        </w:tc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 xml:space="preserve">Index (chunk/embed/store), </w:t>
              <w:br/>
              <w:t>kb_demo notebook,</w:t>
              <w:br/>
              <w:t xml:space="preserve">A2 form, design_choices.md, </w:t>
            </w:r>
            <w:r>
              <w:rPr/>
              <w:t>myproject.toml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this assignment is: </w:t>
            </w:r>
            <w:r>
              <w:rPr/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to hand in: </w:t>
            </w:r>
            <w:r>
              <w:rPr/>
              <w:t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</w:rPr>
        <w:t>Section 1 — Recap from Assignment 1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98"/>
        <w:gridCol w:w="5861"/>
      </w:tblGrid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three choices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domain: historical epidemiology research support — colonial Bengal sanitary reports (1889), for a public-health researcher / policy analyst</w:t>
              <w:br/>
              <w:t>data speciality: unruled multi-column statistical tables + faded/degraded scans (multi-level district/division mortality tables with no ruling lines — whitespace-aligned columns, multi-row headers — on faded, sometimes hardly-readable print)</w:t>
              <w:br/>
              <w:t>primary NFR + target: auditable — 95% of answers have a completely replayable audit trail (retrieval scores, extracted value + source page/cell, verify-and-correct recomputation, final decision all logged; re-running the trace reproduces the identical answer)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Success metric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Groundedness &gt;= 0.90 — at least 90% of answers are fully supported by the cited page (correct district, correct year, correct extracted figure), with no unsupported or fabricated numbers (unchanged from A1; measured on grading_kit/tasks.jsonl at A3)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corpus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Internet Archive in.ernet.dli.2015.95111 (DLI collection), public domain; 836 pages / ~180k OCR words; hard because it is images-before-text: 1890 letterpress with unruled multi-column statistical tables (whitespace-aligned columns, multi-row headers) on faded, sometimes hardly-readable print (no text layer at all)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</w:rPr>
        <w:t>Section 2 — The Structure We Exploit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98"/>
        <w:gridCol w:w="5861"/>
      </w:tblGrid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page image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Nearby pixels form strokes/characters, and a character looks the same when shifted — translation invariance drives conv-based detection/recognition. Pages have a regular print grid (text lines, columns, margins), so projection/contour layout grouping is reliable. Drives layout + enhancement choices.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text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Reading order and context carry meaning — a sequence model can exploit word/line context; tables have row/column semantics that columnar layout preserves. Conjuncts/ligatures and old orthography span characters, so recognition benefits from a character+word context. Drives OCR + embedding choices.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What should NOT change the answer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Page position, font, mild skew, scan noise, ink bleed, and foxing should not change the answer. On this corpus, degraded letterforms, bleed-through, uneven ink density, and foxing can confuse OCR. The implemented path uses Gaussian denoise + Otsu binarization + deskew (&gt;0.5 degrees), followed by default CLAHE+unsharp enhancement. The optional UNet training path uses mild rotation/contrast/blur augmentation, but augmentation is disabled in the default A2 config. Robust pretrained OCR/embedding models are preferred over corpus-specific fine-tuning at this stage.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</w:rPr>
        <w:t>Section 3 — Components &amp; Options We Considered</w:t>
      </w:r>
    </w:p>
    <w:p>
      <w:pPr>
        <w:pStyle w:val="Normal"/>
        <w:spacing w:before="0" w:after="100"/>
        <w:rPr/>
      </w:pPr>
      <w:r>
        <w:rPr/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rPr/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697"/>
        <w:gridCol w:w="2904"/>
        <w:gridCol w:w="3198"/>
        <w:gridCol w:w="1560"/>
      </w:tblGrid>
      <w:tr>
        <w:trPr>
          <w:tblHeader w:val="true"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Enhancement (bonus)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classical enhancement (CLAHE/unsharp) vs from-scratch UNet denoiser vs VAE/diffusion</w:t>
            </w:r>
          </w:p>
        </w:tc>
        <w:tc>
          <w:tcPr>
            <w:tcW w:w="3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Classical CLAHE+unsharp by default: deterministic, inexpensive, and appropriate as the first-pass enhancer for letterpress scans. A tiny self-supervised UNet is implemented as an optional alternative; VAE/diffusion is not implemented. The default config does not train the UNet.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Layout detection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heuristic projection/contour vs learned detector (PP-DocLayout / YOLO)</w:t>
            </w:r>
          </w:p>
        </w:tc>
        <w:tc>
          <w:tcPr>
            <w:tcW w:w="3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Heuristic projection/contour with whitespace-column detection: requires no layout labels and directly targets the corpus' unruled multi-column tables. Connected components are merged, then regions are classified as table/figure/heading/text and band-sorted for reading order. A learned detector remains a future upgrade path.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/ HTR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Tesseract (not installed) vs PaddleOCR PP-OCRv5 (evaluated; paddlepaddle CPU build crashes) vs EasyOCR CRAFT+CRNN (evaluated) vs RapidOCR PP-OCRv4 (ONNX)</w:t>
            </w:r>
          </w:p>
        </w:tc>
        <w:tc>
          <w:tcPr>
            <w:tcW w:w="3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RapidOCR PP-OCRv4-onnx: pretrained PP-OCR detection + recognition models served through onnxruntime. This is the current implementation. PaddleOCR PP-OCRv5 was tried but the installed paddlepaddle 3.3.1 CPU build crashed; EasyOCR worked but was slower and less accurate on this corpus. OCR results are cached per page, and table regions additionally use the optional table-recovery path to reconstruct cell structure.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yes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Chunking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fixed-size tokens vs semantic; size/overlap</w:t>
            </w:r>
          </w:p>
        </w:tc>
        <w:tc>
          <w:tcPr>
            <w:tcW w:w="3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Fixed-size sliding windows (256 tokens, 32 overlap) using the embedding model's own tokenizer, applied independently per OCR region. This keeps region provenance intact and makes window size/overlap deterministic through config.yaml.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Embedding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all-MiniLM-L6-v2 vs bge-small vs mpnet</w:t>
            </w:r>
          </w:p>
        </w:tc>
        <w:tc>
          <w:tcPr>
            <w:tcW w:w="3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sentence-transformers/all-MiniLM-L6-v2 (384-dim). Embeddings are L2-normalized, so inner product at the FAISS index corresponds to cosine similarity. The model is pretrained, small, and suitable for a lightweight semantic-search baseline; runtime device follows the main config rather than being CPU-only.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Yes — pretrained, off-the-shelf, unmodified</w:t>
            </w:r>
          </w:p>
        </w:tc>
      </w:tr>
      <w:tr>
        <w:trPr/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Vector index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flat exact (numpy) vs faiss HNSW vs vector DB</w:t>
            </w:r>
          </w:p>
        </w:tc>
        <w:tc>
          <w:tcPr>
            <w:tcW w:w="3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FAISS IndexHNSWFlat with METRIC_INNER_PRODUCT; chunk metadata (id/doc_id/text/page_ids) are persisted in a row-aligned JSONL sidecar. The current config selects faiss:hnsw and the implementation uses M=32. This local design avoids a hosted vector database and fits the class-project corpus.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</w:rPr>
        <w:t>Section 4 — The Knowledge Base We Built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01"/>
        <w:gridCol w:w="1598"/>
        <w:gridCol w:w="1102"/>
        <w:gridCol w:w="2400"/>
        <w:gridCol w:w="2358"/>
      </w:tblGrid>
      <w:tr>
        <w:trPr>
          <w:tblHeader w:val="true"/>
        </w:trPr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  <w:sz w:val="18"/>
              </w:rPr>
              <w:t>Stage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  <w:sz w:val="18"/>
              </w:rPr>
              <w:t>Model / checkpoint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  <w:sz w:val="18"/>
              </w:rPr>
              <w:t>Key parameters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  <w:sz w:val="18"/>
              </w:rPr>
              <w:t>Pretrained / fine-tuned / scratch</w:t>
            </w:r>
          </w:p>
        </w:tc>
      </w:tr>
      <w:tr>
        <w:trPr/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8"/>
              </w:rPr>
              <w:t>Ingest + enhance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pypdfium2 render (200 dpi) · OpenCV preprocessing + classical enhancer · optional tiny UNet (from scratch)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dpi=200; Gaussian blur (3x3, sigma=0.8), Otsu binarize, deskew &gt;0.5°; CLAHE clipLimit=2.5, tile=(8,8), Gaussian blur sigma=1.0, unsharp addWeighted(1.5,-0.5); optional UNet 1/16/32/64 channels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classical path by default; UNet from scratch, self-supervised (trainable)</w:t>
            </w:r>
          </w:p>
        </w:tc>
      </w:tr>
      <w:tr>
        <w:trPr/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8"/>
              </w:rPr>
              <w:t>Layout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heuristic projection/contour (no pretrained model)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min_block_h=20, merge_gap=14; morphology close kernel derived from image size (minimum 15x9); table = ruling lines OR &gt;=2 whitespace columns; figure via ink density; heading via edge/height heuristic; banded reading order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from scratch (heuristic)</w:t>
            </w:r>
          </w:p>
        </w:tc>
      </w:tr>
      <w:tr>
        <w:trPr/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8"/>
              </w:rPr>
              <w:t>OCR / HTR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RapidOCR PP-OCRv4-onnx (pretrained PP-OCR detection + recognition, en)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lang=en, workers=2 process pool; per-page JSON cache under data/interim/ocr_cache; CUDA when available, otherwise CPU; optional table-cell recovery for table regions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pretrained (reproduced published method), not fine-tuned</w:t>
            </w:r>
          </w:p>
        </w:tc>
      </w:tr>
      <w:tr>
        <w:trPr/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8"/>
              </w:rPr>
              <w:t>Chunk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N/A — deterministic algorithm; tokenizer loaded from cfg['embed']['model']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chunk_tokens=256, overlap=32; windowed independently per OCR region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N/A (not a trained model)</w:t>
            </w:r>
          </w:p>
        </w:tc>
      </w:tr>
      <w:tr>
        <w:trPr/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8"/>
              </w:rPr>
              <w:t>Embed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sentence-transformers/all-MiniLM-L6-v2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dim=384, normalize_embeddings=True; model name read from config.yaml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pretrained (off-the-shelf, no fine-tuning)</w:t>
            </w:r>
          </w:p>
        </w:tc>
      </w:tr>
      <w:tr>
        <w:trPr/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8"/>
              </w:rPr>
              <w:t>Index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FAISS IndexHNSWFlat (M=32 graph connectivity)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type=faiss:hnsw; metric=inner product (cosine for normalized vectors); M=32 is hard-coded in current store.py; dir=data/index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N/A (search infrastructure, not a trained model)</w:t>
            </w:r>
          </w:p>
        </w:tc>
      </w:tr>
      <w:tr>
        <w:trPr/>
        <w:tc>
          <w:tcPr>
            <w:tcW w:w="3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rPr/>
            </w:pPr>
            <w:r>
              <w:rPr>
                <w:sz w:val="18"/>
              </w:rPr>
              <w:t>pages -&gt; preprocess (Gaussian denoise / Otsu / deskew) -&gt; enhance (CLAHE+unsharp) -&gt; layout (projection/contour + unruled-column detection) -&gt; OCR (RapidOCR PP-OCRv4-onnx, page-level, cached) -&gt; chunk (256/32) -&gt; embed (MiniLM-L6-v2, 384-d, normalized) -&gt; store (FAISS HNSW). Current config defaults: classical enhancement, RapidOCR ONNX, FAISS HNSW, device=cuda with per-stage CPU fallback when CUDA is unavailable.</w:t>
            </w:r>
          </w:p>
        </w:tc>
        <w:tc>
          <w:tcPr>
            <w:tcW w:w="58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8"/>
              </w:rPr>
              <w:t>pages -&gt; clean (denoise/binarize/deskew) -&gt; enhance (CLAHE+unsharp) -&gt; layout (projection/contour + unruled-column detection) -&gt; OCR (RapidOCR PP-OCRv4-onnx, page-level, cached) -&gt; chunk (256/32) -&gt; embed (MiniLM-L6-v2 384-d) -&gt; store (faiss:hnsw). Changed from default: OCR backend (RapidOCR PP-OCRv4-onnx — paddleocr blocked by the paddlepaddle CPU bug), , enhancement default (classical).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</w:rPr>
        <w:t>Section 5 — Evidence It Works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98"/>
        <w:gridCol w:w="5861"/>
      </w:tblGrid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sz w:val="18"/>
              </w:rPr>
              <w:t>OCR quality on a sample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Current checked-in notebooks/kb_demo.ipynb demonstrates the held-out page bengal1889_p0018: 3 layout regions -&gt; 3 OCR region-chunks -&gt; 8 token-windowed chunks -&gt; 384-d embeddings -&gt; FAISS store build/load round-trip with 8 vectors. The previously reported 4-page char-F1 values and 6,088-chunk NumPy exact-index statistics are not present in the current checked-in notebook, so they have been removed rather than repeated as unsupported evidence.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sz w:val="18"/>
              </w:rPr>
              <w:t>Index statistics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Current checked-in evidence does not report corpus-wide chunk/page coverage or a retrieval benchmark. The store round-trip is demonstrated, but the current notebook's Stage 4 demo does not perform a top-k retrieval query. A3 should add the required retrieval example and corpus-level measurements before submission.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sz w:val="18"/>
              </w:rPr>
              <w:t>One retrieval example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There is no current top-k retrieval result in the checked-in kb_demo.ipynb. The notebook demonstrates the FAISS store build/load round-trip, but it does not currently contain the required query → top chunk → correctness example. The earlier query/score claim has therefore been removed rather than presented as current evidence.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sz w:val="18"/>
              </w:rPr>
              <w:t>The worst failure we saw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The current notebook's hardest observed page is a dense statistical-table region: the OCR output contains visibly fragmented/misread digits and headings. This remains the main risk for retrieval and answer quality, and the current code already includes table-region cell recovery as a first mitigation.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</w:rPr>
        <w:t>Section 6 — The Plan for A3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98"/>
        <w:gridCol w:w="5861"/>
      </w:tblGrid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sz w:val="18"/>
              </w:rPr>
              <w:t>What we'll build next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retrieval + rerank, the agent loop + tools, guardrails/HITL, grounding, evaluation — and RL/RLVR if you attempt the bonus.</w:t>
            </w:r>
          </w:p>
          <w:p>
            <w:pPr>
              <w:pStyle w:val="Normal"/>
              <w:rPr/>
            </w:pPr>
            <w:r>
              <w:rPr>
                <w:sz w:val="18"/>
              </w:rPr>
              <w:t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8"/>
              </w:rPr>
              <w:t>Next: implement/verify retrieval + reranking, the agent loop and tools, guardrails/HITL, grounding/citations, and evaluation. The current config already contains evidence-gated retrieval parameters (k=10, step=10, k_max=40, weak_threshold=0.35) and a reranker checkpoint (cross-encoder/ms-marco-MiniLM-L6-v2), but these are A3 configuration/planning rather than demonstrated A2 results. RL/RLVR remains optional bonus work.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sz w:val="18"/>
              </w:rPr>
              <w:t>Our evaluation set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8"/>
              </w:rPr>
              <w:t>Author grading_kit/tasks.jsonl for OUR domain: questions a historian of public health would ask (e.g. 'what was the cholera death rate in Calcutta in 1889?') — enough checkable/verifiable items anchored to labels.jsonl, plus abstention (out-of-corpus) cases and one {needs_research true/false} pair; scored by groundedness &gt;= 0.90 + exact-match against labels.jsonl (A1's success metric).</w:t>
            </w:r>
          </w:p>
        </w:tc>
      </w:tr>
      <w:tr>
        <w:trPr/>
        <w:tc>
          <w:tcPr>
            <w:tcW w:w="3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sz w:val="18"/>
              </w:rPr>
              <w:t>Biggest risk / unknown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8"/>
              </w:rPr>
              <w:t>OCR quality on tables/maps and 1890 typography is the biggest risk for retrieval+answer quality. First ideas: per-region re-OCR at higher canvas, table-aware region handling, and (if needed) fine-tuning the recognizer on held-out-clean pages with labels.jsonl as the oracle.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</w:rPr>
        <w:t>Section 7 — Design Choices &amp; Justification (knowledge-base stages)</w:t>
      </w:r>
    </w:p>
    <w:p>
      <w:pPr>
        <w:pStyle w:val="Normal"/>
        <w:spacing w:before="0" w:after="100"/>
        <w:rPr/>
      </w:pPr>
      <w:r>
        <w:rPr/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rPr/>
        <w:t>).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96"/>
        <w:gridCol w:w="3404"/>
        <w:gridCol w:w="3760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  <w:sz w:val="17"/>
              </w:rPr>
              <w:t>Facet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  <w:sz w:val="17"/>
              </w:rPr>
              <w:t>Our choice across the knowledge-base stages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  <w:sz w:val="17"/>
              </w:rPr>
              <w:t>Why — fits our corpus · what it costs · what would change it</w:t>
            </w:r>
          </w:p>
        </w:tc>
      </w:tr>
      <w:tr>
        <w:trPr/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7"/>
              </w:rPr>
              <w:t>Problem statement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Stages 1-4 convert scanned pages to region-level OCR, then retrieval-sized chunks, normalized embeddings, and a persistent vector index. A2 evidence is implementation/build evidence; final answer quality is judged in A3.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Keeps the milestone focused on building the KB. Groundedness &gt;=0.90 remains the A1/A3 answer-quality target. Change if the final agent cannot reliably ground answers in citations.</w:t>
            </w:r>
          </w:p>
        </w:tc>
      </w:tr>
      <w:tr>
        <w:trPr/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7"/>
              </w:rPr>
              <w:t>Data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200-DPI page images -&gt; cached processed/enhanced images -&gt; heuristic Regions -&gt; cached page-level OCR lines -&gt; region Chunks -&gt; 256/32 windows -&gt; 384-d normalized vectors -&gt; FAISS HNSW + JSONL sidecar. Held-out labels are evaluation oracles, not training data for these stages.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Preserves page/region provenance and avoids training the index on the held-out labels. Cost is storage for caches and metadata; change if more labelled data are needed for learned layout/OCR.</w:t>
            </w:r>
          </w:p>
        </w:tc>
      </w:tr>
      <w:tr>
        <w:trPr/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7"/>
              </w:rPr>
              <w:t>Model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No learned enhancer by default; heuristic layout; pretrained RapidOCR PP-OCRv4 ONNX; pretrained all-MiniLM-L6-v2 embeddings; FAISS HNSW infrastructure.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Off-the-shelf models reduce training cost and fit the class-project scope. A learned enhancer/layout detector or domain-adapted OCR would be justified only if the degraded-table failure cases dominate A3.</w:t>
            </w:r>
          </w:p>
        </w:tc>
      </w:tr>
      <w:tr>
        <w:trPr/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7"/>
              </w:rPr>
              <w:t>Methods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Deterministic preprocessing and enhancement; fixed 256-token windows with 32 overlap; normalized embeddings; HNSW with inner-product metric and M=32; OCR workers=2 in config. Optional UNet training uses self-supervised noisy-&gt;clean reconstruction.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Parameters are explicit in config where available, while M=32 remains hard-coded in store.py. Cost is one full-corpus build; change chunk size/index parameters only after retrieval evidence shows a problem.</w:t>
            </w:r>
          </w:p>
        </w:tc>
      </w:tr>
      <w:tr>
        <w:trPr/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7"/>
              </w:rPr>
              <w:t>Design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Page -&gt; Region -&gt; Chunk contracts; OCR runs page-level once and maps line boxes into regions; table regions can be rebuilt into cell-delimited text; chunking never crosses region boundaries; FAISS row i stays aligned with JSONL row i.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This is the main auditability/provenance design. It costs some implementation complexity and duplicate cache storage but preserves source mapping.</w:t>
            </w:r>
          </w:p>
        </w:tc>
      </w:tr>
      <w:tr>
        <w:trPr/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7"/>
              </w:rPr>
              <w:t>Development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Module sanity checks, current kb_demo one-page Stage 1-4 execution, config-driven models/parameters, OCR cache, and FAISS build/load checks. No dedicated Stage 4 pytest module is currently present.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Fast feedback for integration issues. Add formal Stage 4 tests and corpus-level retrieval evaluation before final submission.</w:t>
            </w:r>
          </w:p>
        </w:tc>
      </w:tr>
      <w:tr>
        <w:trPr/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7"/>
              </w:rPr>
              <w:t>Deployment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Batch corpus build; config requests CUDA, with OCR/enhance CPU fallback when CUDA is unavailable. Embeddings and FAISS materialize the provided chunk list in memory.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Suitable for the class-project corpus. Cost grows with corpus size; use explicit batching/streaming if the corpus becomes much larger.</w:t>
            </w:r>
          </w:p>
        </w:tc>
      </w:tr>
      <w:tr>
        <w:trPr/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sz w:val="17"/>
              </w:rPr>
              <w:t>MLOps</w:t>
            </w:r>
          </w:p>
        </w:tc>
        <w:tc>
          <w:tcPr>
            <w:tcW w:w="3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Intermediate OCR/enhancement caches live under data/interim; generated index artifacts live under data/index; the corpus and provenance are versioned separately.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17"/>
              </w:rPr>
              <w:t>Rebuildable derived artifacts improve reproducibility. Monitor cache/index invalidation and retrieval quality if the corpus changes; HNSW M=32 is a fixed implementation choice today.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</w:rPr>
        <w:t>Section 8 — How We Worked With AI</w:t>
      </w:r>
    </w:p>
    <w:p>
      <w:pPr>
        <w:pStyle w:val="Normal"/>
        <w:spacing w:before="0" w:after="100"/>
        <w:rPr/>
      </w:pPr>
      <w:r>
        <w:rPr/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rPr/>
        <w:t>, containing the full AI conversation behind the sections they led.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98"/>
        <w:gridCol w:w="5961"/>
      </w:tblGrid>
      <w:tr>
        <w:trPr>
          <w:tblHeader w:val="true"/>
        </w:trPr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Header</w:t>
            </w:r>
          </w:p>
        </w:tc>
        <w:tc>
          <w:tcPr>
            <w:tcW w:w="5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full conversation</w:t>
            </w:r>
          </w:p>
        </w:tc>
        <w:tc>
          <w:tcPr>
            <w:tcW w:w="5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short reflection</w:t>
            </w:r>
          </w:p>
        </w:tc>
        <w:tc>
          <w:tcPr>
            <w:tcW w:w="5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</w:rPr>
        <w:t>Submission — Required Folder Structure</w:t>
      </w:r>
    </w:p>
    <w:p>
      <w:pPr>
        <w:pStyle w:val="Normal"/>
        <w:spacing w:before="0" w:after="100"/>
        <w:rPr/>
      </w:pPr>
      <w:r>
        <w:rPr/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rPr/>
        <w:t>, containing: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800"/>
        <w:gridCol w:w="5559"/>
      </w:tblGrid>
      <w:tr>
        <w:trPr>
          <w:tblHeader w:val="true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A2_form.docx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this filled form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src/doc_agent/  (ingest, vision, index)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implemented knowledge-base stages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scripts/build_index.sh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builds the vector index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notebooks/kb_demo.ipynb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quality + one retrieval example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reports/pipeline_diagram.md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diagram of the knowledge-base pipeline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configs/design_choices.md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updated with Stages 1–4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transcripts/&lt;student number&gt;.txt  ×3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one AI-chat transcript per member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</w:rPr>
        <w:t>How You'll Be Graded (100 points)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59"/>
        <w:gridCol w:w="2000"/>
      </w:tblGrid>
      <w:tr>
        <w:trPr/>
        <w:tc>
          <w:tcPr>
            <w:tcW w:w="9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Grounding gate: </w:t>
            </w:r>
            <w:r>
              <w:rPr/>
              <w:t>every claim in the form must match your own code, index, and notebook outputs. Numbers with no notebook evidence score zero for that item.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1 — recap accurate and consistent with A1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2 — structure and invariances identified correctly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3 — options compared, with ≥1 reproduced published/pretrained method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4 — knowledge base built; models and parameters justified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5 — real evidence: OCR quality + a working retrieval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6 — a concrete, sensible plan for A3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7 — eight-facet design table for Stages 1–4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8 + submission structure correct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 w:customStyle="1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 w:customStyle="1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 w:customStyle="1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 w:customStyle="1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uiPriority w:val="10"/>
    <w:qFormat/>
    <w:pPr/>
    <w:rPr>
      <w:sz w:val="56"/>
      <w:szCs w:val="56"/>
    </w:rPr>
  </w:style>
  <w:style w:type="paragraph" w:styleId="StrongEmphasis" w:customStyle="1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/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/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Application>LibreOffice/25.2.7.2$Windows_X86_64 LibreOffice_project/5cbfd1ab6520636bb5f7b99185aa69bd7456825d</Application>
  <AppVersion>15.0000</AppVersion>
  <Pages>8</Pages>
  <Words>2825</Words>
  <Characters>17393</Characters>
  <CharactersWithSpaces>20048</CharactersWithSpaces>
  <Paragraphs>213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2026-07-04T23:56:00Z</dcterms:created>
  <dc:creator>Un-named</dc:creator>
  <dc:description/>
  <dc:language>en-US</dc:language>
  <cp:lastModifiedBy/>
  <dcterms:modified xsi:type="dcterms:W3CDTF">2026-08-15T23:52:57Z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