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100%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none"/>
              <w:left w:val="none"/>
              <w:bottom w:val="none"/>
              <w:right w:val="none"/>
            </w:tcBorders>
            <w:shd w:fill="8E2B3A" w:val="clear"/>
            <w:tcMar>
              <w:top w:type="dxa" w:w="180"/>
              <w:left w:type="dxa" w:w="240"/>
              <w:bottom w:type="dxa" w:w="180"/>
              <w:right w:type="dxa" w:w="2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34"/>
                <w:szCs w:val="34"/>
              </w:rPr>
              <w:t xml:space="preserve">Plan de cours — Trouver son chemin à Montréal 🚇</w:t>
            </w:r>
          </w:p>
          <w:p>
            <w:pPr>
              <w:spacing w:before="40"/>
            </w:pPr>
            <w:r>
              <w:rPr>
                <w:rFonts w:ascii="Calibri" w:cs="Calibri" w:eastAsia="Calibri" w:hAnsi="Calibri"/>
                <w:i/>
                <w:iCs/>
                <w:color w:val="FFFFFF"/>
                <w:sz w:val="20"/>
                <w:szCs w:val="20"/>
              </w:rPr>
              <w:t xml:space="preserve">Comprendre et expliquer un itinéraire</w:t>
            </w:r>
          </w:p>
        </w:tc>
      </w:tr>
    </w:tbl>
    <w:p>
      <w:pPr>
        <w:spacing w:after="100"/>
      </w:pPr>
      <w: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000"/>
      </w:tblGrid>
      <w:tr>
        <w:tc>
          <w:tcPr>
            <w:tcBorders>
              <w:top w:val="single" w:color="E4CDD2" w:sz="4"/>
              <w:left w:val="single" w:color="E4CDD2" w:sz="4"/>
              <w:bottom w:val="single" w:color="E4CDD2" w:sz="4"/>
              <w:right w:val="single" w:color="E4CDD2" w:sz="4"/>
            </w:tcBorders>
            <w:shd w:fill="F6E6E9" w:val="clear"/>
            <w:tcMar>
              <w:top w:type="dxa" w:w="70"/>
              <w:left w:type="dxa" w:w="15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6E1F2C"/>
                <w:sz w:val="19"/>
                <w:szCs w:val="19"/>
              </w:rPr>
              <w:t xml:space="preserve">Cours</w:t>
            </w:r>
          </w:p>
        </w:tc>
        <w:tc>
          <w:tcPr>
            <w:tcBorders>
              <w:top w:val="single" w:color="E4CDD2" w:sz="4"/>
              <w:left w:val="single" w:color="E4CDD2" w:sz="4"/>
              <w:bottom w:val="single" w:color="E4CDD2" w:sz="4"/>
              <w:right w:val="single" w:color="E4CDD2" w:sz="4"/>
            </w:tcBorders>
            <w:tcMar>
              <w:top w:type="dxa" w:w="70"/>
              <w:left w:type="dxa" w:w="15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Francisation — Niveau 4 (LAN-4049-8) « Des propos sur des thèmes familiers »</w:t>
            </w:r>
          </w:p>
        </w:tc>
      </w:tr>
      <w:tr>
        <w:tc>
          <w:tcPr>
            <w:tcBorders>
              <w:top w:val="single" w:color="E4CDD2" w:sz="4"/>
              <w:left w:val="single" w:color="E4CDD2" w:sz="4"/>
              <w:bottom w:val="single" w:color="E4CDD2" w:sz="4"/>
              <w:right w:val="single" w:color="E4CDD2" w:sz="4"/>
            </w:tcBorders>
            <w:shd w:fill="F6E6E9" w:val="clear"/>
            <w:tcMar>
              <w:top w:type="dxa" w:w="70"/>
              <w:left w:type="dxa" w:w="15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6E1F2C"/>
                <w:sz w:val="19"/>
                <w:szCs w:val="19"/>
              </w:rPr>
              <w:t xml:space="preserve">Domaine</w:t>
            </w:r>
          </w:p>
        </w:tc>
        <w:tc>
          <w:tcPr>
            <w:tcBorders>
              <w:top w:val="single" w:color="E4CDD2" w:sz="4"/>
              <w:left w:val="single" w:color="E4CDD2" w:sz="4"/>
              <w:bottom w:val="single" w:color="E4CDD2" w:sz="4"/>
              <w:right w:val="single" w:color="E4CDD2" w:sz="4"/>
            </w:tcBorders>
            <w:tcMar>
              <w:top w:type="dxa" w:w="70"/>
              <w:left w:type="dxa" w:w="15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Habitation et déplacement</w:t>
            </w:r>
          </w:p>
        </w:tc>
      </w:tr>
      <w:tr>
        <w:tc>
          <w:tcPr>
            <w:tcBorders>
              <w:top w:val="single" w:color="E4CDD2" w:sz="4"/>
              <w:left w:val="single" w:color="E4CDD2" w:sz="4"/>
              <w:bottom w:val="single" w:color="E4CDD2" w:sz="4"/>
              <w:right w:val="single" w:color="E4CDD2" w:sz="4"/>
            </w:tcBorders>
            <w:shd w:fill="F6E6E9" w:val="clear"/>
            <w:tcMar>
              <w:top w:type="dxa" w:w="70"/>
              <w:left w:type="dxa" w:w="15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6E1F2C"/>
                <w:sz w:val="19"/>
                <w:szCs w:val="19"/>
              </w:rPr>
              <w:t xml:space="preserve">Thème</w:t>
            </w:r>
          </w:p>
        </w:tc>
        <w:tc>
          <w:tcPr>
            <w:tcBorders>
              <w:top w:val="single" w:color="E4CDD2" w:sz="4"/>
              <w:left w:val="single" w:color="E4CDD2" w:sz="4"/>
              <w:bottom w:val="single" w:color="E4CDD2" w:sz="4"/>
              <w:right w:val="single" w:color="E4CDD2" w:sz="4"/>
            </w:tcBorders>
            <w:tcMar>
              <w:top w:type="dxa" w:w="70"/>
              <w:left w:type="dxa" w:w="15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Demander son chemin dans la ville (métro)</w:t>
            </w:r>
          </w:p>
        </w:tc>
      </w:tr>
      <w:tr>
        <w:tc>
          <w:tcPr>
            <w:tcBorders>
              <w:top w:val="single" w:color="E4CDD2" w:sz="4"/>
              <w:left w:val="single" w:color="E4CDD2" w:sz="4"/>
              <w:bottom w:val="single" w:color="E4CDD2" w:sz="4"/>
              <w:right w:val="single" w:color="E4CDD2" w:sz="4"/>
            </w:tcBorders>
            <w:shd w:fill="F6E6E9" w:val="clear"/>
            <w:tcMar>
              <w:top w:type="dxa" w:w="70"/>
              <w:left w:type="dxa" w:w="15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6E1F2C"/>
                <w:sz w:val="19"/>
                <w:szCs w:val="19"/>
              </w:rPr>
              <w:t xml:space="preserve">Compétences</w:t>
            </w:r>
          </w:p>
        </w:tc>
        <w:tc>
          <w:tcPr>
            <w:tcBorders>
              <w:top w:val="single" w:color="E4CDD2" w:sz="4"/>
              <w:left w:val="single" w:color="E4CDD2" w:sz="4"/>
              <w:bottom w:val="single" w:color="E4CDD2" w:sz="4"/>
              <w:right w:val="single" w:color="E4CDD2" w:sz="4"/>
            </w:tcBorders>
            <w:tcMar>
              <w:top w:type="dxa" w:w="70"/>
              <w:left w:type="dxa" w:w="15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Compréhension orale (CO) et production orale (PO)</w:t>
            </w:r>
          </w:p>
        </w:tc>
      </w:tr>
      <w:tr>
        <w:tc>
          <w:tcPr>
            <w:tcBorders>
              <w:top w:val="single" w:color="E4CDD2" w:sz="4"/>
              <w:left w:val="single" w:color="E4CDD2" w:sz="4"/>
              <w:bottom w:val="single" w:color="E4CDD2" w:sz="4"/>
              <w:right w:val="single" w:color="E4CDD2" w:sz="4"/>
            </w:tcBorders>
            <w:shd w:fill="F6E6E9" w:val="clear"/>
            <w:tcMar>
              <w:top w:type="dxa" w:w="70"/>
              <w:left w:type="dxa" w:w="15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6E1F2C"/>
                <w:sz w:val="19"/>
                <w:szCs w:val="19"/>
              </w:rPr>
              <w:t xml:space="preserve">Durée</w:t>
            </w:r>
          </w:p>
        </w:tc>
        <w:tc>
          <w:tcPr>
            <w:tcBorders>
              <w:top w:val="single" w:color="E4CDD2" w:sz="4"/>
              <w:left w:val="single" w:color="E4CDD2" w:sz="4"/>
              <w:bottom w:val="single" w:color="E4CDD2" w:sz="4"/>
              <w:right w:val="single" w:color="E4CDD2" w:sz="4"/>
            </w:tcBorders>
            <w:tcMar>
              <w:top w:type="dxa" w:w="70"/>
              <w:left w:type="dxa" w:w="15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2 heures (120 minutes)</w:t>
            </w:r>
          </w:p>
        </w:tc>
      </w:tr>
      <w:tr>
        <w:tc>
          <w:tcPr>
            <w:tcBorders>
              <w:top w:val="single" w:color="E4CDD2" w:sz="4"/>
              <w:left w:val="single" w:color="E4CDD2" w:sz="4"/>
              <w:bottom w:val="single" w:color="E4CDD2" w:sz="4"/>
              <w:right w:val="single" w:color="E4CDD2" w:sz="4"/>
            </w:tcBorders>
            <w:shd w:fill="F6E6E9" w:val="clear"/>
            <w:tcMar>
              <w:top w:type="dxa" w:w="70"/>
              <w:left w:type="dxa" w:w="15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6E1F2C"/>
                <w:sz w:val="19"/>
                <w:szCs w:val="19"/>
              </w:rPr>
              <w:t xml:space="preserve">Intention</w:t>
            </w:r>
          </w:p>
        </w:tc>
        <w:tc>
          <w:tcPr>
            <w:tcBorders>
              <w:top w:val="single" w:color="E4CDD2" w:sz="4"/>
              <w:left w:val="single" w:color="E4CDD2" w:sz="4"/>
              <w:bottom w:val="single" w:color="E4CDD2" w:sz="4"/>
              <w:right w:val="single" w:color="E4CDD2" w:sz="4"/>
            </w:tcBorders>
            <w:tcMar>
              <w:top w:type="dxa" w:w="70"/>
              <w:left w:type="dxa" w:w="15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Comprendre et expliquer un itinéraire simple</w:t>
            </w:r>
          </w:p>
        </w:tc>
      </w:tr>
      <w:tr>
        <w:tc>
          <w:tcPr>
            <w:tcBorders>
              <w:top w:val="single" w:color="E4CDD2" w:sz="4"/>
              <w:left w:val="single" w:color="E4CDD2" w:sz="4"/>
              <w:bottom w:val="single" w:color="E4CDD2" w:sz="4"/>
              <w:right w:val="single" w:color="E4CDD2" w:sz="4"/>
            </w:tcBorders>
            <w:shd w:fill="F6E6E9" w:val="clear"/>
            <w:tcMar>
              <w:top w:type="dxa" w:w="70"/>
              <w:left w:type="dxa" w:w="15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6E1F2C"/>
                <w:sz w:val="19"/>
                <w:szCs w:val="19"/>
              </w:rPr>
              <w:t xml:space="preserve">Variété de langue</w:t>
            </w:r>
          </w:p>
        </w:tc>
        <w:tc>
          <w:tcPr>
            <w:tcBorders>
              <w:top w:val="single" w:color="E4CDD2" w:sz="4"/>
              <w:left w:val="single" w:color="E4CDD2" w:sz="4"/>
              <w:bottom w:val="single" w:color="E4CDD2" w:sz="4"/>
              <w:right w:val="single" w:color="E4CDD2" w:sz="4"/>
            </w:tcBorders>
            <w:tcMar>
              <w:top w:type="dxa" w:w="70"/>
              <w:left w:type="dxa" w:w="15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Standard (échange avec un inconnu)</w:t>
            </w:r>
          </w:p>
        </w:tc>
      </w:tr>
    </w:tbl>
    <w:p>
      <w:pPr>
        <w:spacing w:after="100"/>
      </w:pPr>
      <w:r>
        <w:t xml:space="preserve"/>
      </w:r>
    </w:p>
    <w:tbl>
      <w:tblPr>
        <w:tblW w:type="pct" w:w="100%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8300"/>
        <w:gridCol w:w="1400"/>
      </w:tblGrid>
      <w:tr>
        <w:tc>
          <w:tcPr>
            <w:tcBorders>
              <w:top w:val="none"/>
              <w:left w:val="none"/>
              <w:bottom w:val="none"/>
              <w:right w:val="none"/>
            </w:tcBorders>
            <w:shd w:fill="FBF1DE" w:val="clear"/>
            <w:tcMar>
              <w:top w:type="dxa" w:w="110"/>
              <w:left w:type="dxa" w:w="200"/>
              <w:bottom w:type="dxa" w:w="11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6E1F2C"/>
                <w:sz w:val="24"/>
                <w:szCs w:val="24"/>
              </w:rPr>
              <w:t xml:space="preserve">🎯   Objectifs de la séance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  <w:shd w:fill="FBF1DE" w:val="clear"/>
            <w:tcMar>
              <w:top w:type="dxa" w:w="110"/>
              <w:left w:type="dxa" w:w="80"/>
              <w:bottom w:type="dxa" w:w="110"/>
              <w:right w:type="dxa" w:w="2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6E1F2C"/>
                <w:sz w:val="20"/>
                <w:szCs w:val="20"/>
              </w:rPr>
              <w:t xml:space="preserve"/>
            </w:r>
          </w:p>
        </w:tc>
      </w:tr>
    </w:tbl>
    <w:p>
      <w:pPr>
        <w:pStyle w:val="ListParagraph"/>
        <w:numPr>
          <w:ilvl w:val="0"/>
          <w:numId w:val="2"/>
        </w:numPr>
        <w:spacing w:after="40" w:before="20"/>
      </w:pPr>
      <w:r>
        <w:rPr>
          <w:rFonts w:ascii="Calibri" w:cs="Calibri" w:eastAsia="Calibri" w:hAnsi="Calibri"/>
          <w:sz w:val="21"/>
          <w:szCs w:val="21"/>
        </w:rPr>
        <w:t xml:space="preserve">Suivre un itinéraire décrit à l'oral (CO).</w:t>
      </w:r>
    </w:p>
    <w:p>
      <w:pPr>
        <w:pStyle w:val="ListParagraph"/>
        <w:numPr>
          <w:ilvl w:val="0"/>
          <w:numId w:val="2"/>
        </w:numPr>
        <w:spacing w:after="40" w:before="20"/>
      </w:pPr>
      <w:r>
        <w:rPr>
          <w:rFonts w:ascii="Calibri" w:cs="Calibri" w:eastAsia="Calibri" w:hAnsi="Calibri"/>
          <w:sz w:val="21"/>
          <w:szCs w:val="21"/>
        </w:rPr>
        <w:t xml:space="preserve">Nommer le vocabulaire du déplacement et des directions.</w:t>
      </w:r>
    </w:p>
    <w:p>
      <w:pPr>
        <w:pStyle w:val="ListParagraph"/>
        <w:numPr>
          <w:ilvl w:val="0"/>
          <w:numId w:val="2"/>
        </w:numPr>
        <w:spacing w:after="40" w:before="20"/>
      </w:pPr>
      <w:r>
        <w:rPr>
          <w:rFonts w:ascii="Calibri" w:cs="Calibri" w:eastAsia="Calibri" w:hAnsi="Calibri"/>
          <w:sz w:val="21"/>
          <w:szCs w:val="21"/>
        </w:rPr>
        <w:t xml:space="preserve">Utiliser les verbes prendre, tourner, changer, descendre, continuer.</w:t>
      </w:r>
    </w:p>
    <w:p>
      <w:pPr>
        <w:pStyle w:val="ListParagraph"/>
        <w:numPr>
          <w:ilvl w:val="0"/>
          <w:numId w:val="2"/>
        </w:numPr>
        <w:spacing w:after="40" w:before="20"/>
      </w:pPr>
      <w:r>
        <w:rPr>
          <w:rFonts w:ascii="Calibri" w:cs="Calibri" w:eastAsia="Calibri" w:hAnsi="Calibri"/>
          <w:sz w:val="21"/>
          <w:szCs w:val="21"/>
        </w:rPr>
        <w:t xml:space="preserve">Expliquer un itinéraire à quelqu'un (PO).</w:t>
      </w:r>
    </w:p>
    <w:p>
      <w:pPr>
        <w:spacing w:after="100"/>
      </w:pPr>
      <w:r>
        <w:t xml:space="preserve"/>
      </w:r>
    </w:p>
    <w:tbl>
      <w:tblPr>
        <w:tblW w:type="pct" w:w="100%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8300"/>
        <w:gridCol w:w="1400"/>
      </w:tblGrid>
      <w:tr>
        <w:tc>
          <w:tcPr>
            <w:tcBorders>
              <w:top w:val="none"/>
              <w:left w:val="none"/>
              <w:bottom w:val="none"/>
              <w:right w:val="none"/>
            </w:tcBorders>
            <w:shd w:fill="FBF1DE" w:val="clear"/>
            <w:tcMar>
              <w:top w:type="dxa" w:w="110"/>
              <w:left w:type="dxa" w:w="200"/>
              <w:bottom w:type="dxa" w:w="11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6E1F2C"/>
                <w:sz w:val="24"/>
                <w:szCs w:val="24"/>
              </w:rPr>
              <w:t xml:space="preserve">🧰   Matériel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  <w:shd w:fill="FBF1DE" w:val="clear"/>
            <w:tcMar>
              <w:top w:type="dxa" w:w="110"/>
              <w:left w:type="dxa" w:w="80"/>
              <w:bottom w:type="dxa" w:w="110"/>
              <w:right w:type="dxa" w:w="2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6E1F2C"/>
                <w:sz w:val="20"/>
                <w:szCs w:val="20"/>
              </w:rPr>
              <w:t xml:space="preserve"/>
            </w:r>
          </w:p>
        </w:tc>
      </w:tr>
    </w:tbl>
    <w:p>
      <w:pPr>
        <w:pStyle w:val="ListParagraph"/>
        <w:numPr>
          <w:ilvl w:val="0"/>
          <w:numId w:val="2"/>
        </w:numPr>
        <w:spacing w:after="40" w:before="20"/>
      </w:pPr>
      <w:r>
        <w:rPr>
          <w:rFonts w:ascii="Calibri" w:cs="Calibri" w:eastAsia="Calibri" w:hAnsi="Calibri"/>
          <w:sz w:val="21"/>
          <w:szCs w:val="21"/>
        </w:rPr>
        <w:t xml:space="preserve">Fiche d'activité « Trouver son chemin à Montréal » — version élève (à imprimer).</w:t>
      </w:r>
    </w:p>
    <w:p>
      <w:pPr>
        <w:pStyle w:val="ListParagraph"/>
        <w:numPr>
          <w:ilvl w:val="0"/>
          <w:numId w:val="2"/>
        </w:numPr>
        <w:spacing w:after="40" w:before="20"/>
      </w:pPr>
      <w:r>
        <w:rPr>
          <w:rFonts w:ascii="Calibri" w:cs="Calibri" w:eastAsia="Calibri" w:hAnsi="Calibri"/>
          <w:sz w:val="21"/>
          <w:szCs w:val="21"/>
        </w:rPr>
        <w:t xml:space="preserve">Fiche version réponses (pour l'enseignant·e).</w:t>
      </w:r>
    </w:p>
    <w:p>
      <w:pPr>
        <w:pStyle w:val="ListParagraph"/>
        <w:numPr>
          <w:ilvl w:val="0"/>
          <w:numId w:val="2"/>
        </w:numPr>
        <w:spacing w:after="40" w:before="20"/>
      </w:pPr>
      <w:r>
        <w:rPr>
          <w:rFonts w:ascii="Calibri" w:cs="Calibri" w:eastAsia="Calibri" w:hAnsi="Calibri"/>
          <w:sz w:val="21"/>
          <w:szCs w:val="21"/>
        </w:rPr>
        <w:t xml:space="preserve">Fichier audio dialogue_deplacement.mp3 + haut-parleurs.</w:t>
      </w:r>
    </w:p>
    <w:p>
      <w:pPr>
        <w:pStyle w:val="ListParagraph"/>
        <w:numPr>
          <w:ilvl w:val="0"/>
          <w:numId w:val="2"/>
        </w:numPr>
        <w:spacing w:after="40" w:before="20"/>
      </w:pPr>
      <w:r>
        <w:rPr>
          <w:rFonts w:ascii="Calibri" w:cs="Calibri" w:eastAsia="Calibri" w:hAnsi="Calibri"/>
          <w:sz w:val="21"/>
          <w:szCs w:val="21"/>
        </w:rPr>
        <w:t xml:space="preserve">Tableau / projecteur, images liées au thème.</w:t>
      </w:r>
    </w:p>
    <w:p>
      <w:pPr>
        <w:pStyle w:val="ListParagraph"/>
        <w:numPr>
          <w:ilvl w:val="0"/>
          <w:numId w:val="2"/>
        </w:numPr>
        <w:spacing w:after="40" w:before="20"/>
      </w:pPr>
      <w:r>
        <w:rPr>
          <w:rFonts w:ascii="Calibri" w:cs="Calibri" w:eastAsia="Calibri" w:hAnsi="Calibri"/>
          <w:sz w:val="21"/>
          <w:szCs w:val="21"/>
        </w:rPr>
        <w:t xml:space="preserve">Optionnel : cartons VRAI / FAUX, objets ou images du vocabulaire.</w:t>
      </w:r>
    </w:p>
    <w:p>
      <w:pPr>
        <w:spacing w:after="100"/>
      </w:pPr>
      <w:r>
        <w:t xml:space="preserve"/>
      </w:r>
    </w:p>
    <w:tbl>
      <w:tblPr>
        <w:tblW w:type="pct" w:w="100%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8300"/>
        <w:gridCol w:w="1400"/>
      </w:tblGrid>
      <w:tr>
        <w:tc>
          <w:tcPr>
            <w:tcBorders>
              <w:top w:val="none"/>
              <w:left w:val="none"/>
              <w:bottom w:val="none"/>
              <w:right w:val="none"/>
            </w:tcBorders>
            <w:shd w:fill="F6E6E9" w:val="clear"/>
            <w:tcMar>
              <w:top w:type="dxa" w:w="110"/>
              <w:left w:type="dxa" w:w="200"/>
              <w:bottom w:type="dxa" w:w="11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6E1F2C"/>
                <w:sz w:val="24"/>
                <w:szCs w:val="24"/>
              </w:rPr>
              <w:t xml:space="preserve">1   Mise en train — Éveil au sujet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  <w:shd w:fill="F6E6E9" w:val="clear"/>
            <w:tcMar>
              <w:top w:type="dxa" w:w="110"/>
              <w:left w:type="dxa" w:w="80"/>
              <w:bottom w:type="dxa" w:w="110"/>
              <w:right w:type="dxa" w:w="2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6E1F2C"/>
                <w:sz w:val="20"/>
                <w:szCs w:val="20"/>
              </w:rPr>
              <w:t xml:space="preserve">⏱ 15 min</w:t>
            </w:r>
          </w:p>
        </w:tc>
      </w:tr>
    </w:tbl>
    <w:p>
      <w:pPr>
        <w:spacing w:after="60" w:before="40"/>
        <w:jc w:val="left"/>
      </w:pPr>
      <w:r>
        <w:rPr>
          <w:rFonts w:ascii="Calibri" w:cs="Calibri" w:eastAsia="Calibri" w:hAnsi="Calibri"/>
          <w:i/>
          <w:iCs/>
          <w:color w:val="6B7280"/>
          <w:sz w:val="19"/>
          <w:szCs w:val="19"/>
        </w:rPr>
        <w:t xml:space="preserve">But : activer les connaissances et présenter le vocabulaire.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900"/>
        <w:gridCol w:w="2500"/>
      </w:tblGrid>
      <w:tr>
        <w:tc>
          <w:tcPr>
            <w:tcBorders>
              <w:top w:val="single" w:color="D8D8D8" w:sz="4"/>
              <w:left w:val="single" w:color="D8D8D8" w:sz="4"/>
              <w:bottom w:val="single" w:color="D8D8D8" w:sz="4"/>
              <w:right w:val="single" w:color="D8D8D8" w:sz="4"/>
            </w:tcBorders>
            <w:shd w:fill="ECEDEF" w:val="clear"/>
            <w:tcMar>
              <w:top w:type="dxa" w:w="70"/>
              <w:left w:type="dxa" w:w="15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6B7280"/>
                <w:sz w:val="18"/>
                <w:szCs w:val="18"/>
              </w:rPr>
              <w:t xml:space="preserve">Déroulement</w:t>
            </w:r>
          </w:p>
        </w:tc>
        <w:tc>
          <w:tcPr>
            <w:tcBorders>
              <w:top w:val="single" w:color="D8D8D8" w:sz="4"/>
              <w:left w:val="single" w:color="D8D8D8" w:sz="4"/>
              <w:bottom w:val="single" w:color="D8D8D8" w:sz="4"/>
              <w:right w:val="single" w:color="D8D8D8" w:sz="4"/>
            </w:tcBorders>
            <w:shd w:fill="ECEDE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6B7280"/>
                <w:sz w:val="18"/>
                <w:szCs w:val="18"/>
              </w:rPr>
              <w:t xml:space="preserve">Modalité</w:t>
            </w:r>
          </w:p>
        </w:tc>
      </w:tr>
      <w:tr>
        <w:tc>
          <w:tcPr>
            <w:tcW w:type="pct" w:w="74%"/>
            <w:tcBorders>
              <w:top w:val="single" w:color="D8D8D8" w:sz="4"/>
              <w:left w:val="single" w:color="D8D8D8" w:sz="4"/>
              <w:bottom w:val="single" w:color="D8D8D8" w:sz="4"/>
              <w:right w:val="single" w:color="D8D8D8" w:sz="4"/>
            </w:tcBorders>
            <w:tcMar>
              <w:top w:type="dxa" w:w="80"/>
              <w:left w:type="dxa" w:w="15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Afficher un plan de métro simple. Repérer quelques stations ensemble.</w:t>
            </w:r>
          </w:p>
        </w:tc>
        <w:tc>
          <w:tcPr>
            <w:tcW w:type="pct" w:w="26%"/>
            <w:tcBorders>
              <w:top w:val="single" w:color="D8D8D8" w:sz="4"/>
              <w:left w:val="single" w:color="D8D8D8" w:sz="4"/>
              <w:bottom w:val="single" w:color="D8D8D8" w:sz="4"/>
              <w:right w:val="single" w:color="D8D8D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6B7280"/>
                <w:sz w:val="18"/>
                <w:szCs w:val="18"/>
              </w:rPr>
              <w:t xml:space="preserve">Groupe</w:t>
            </w:r>
          </w:p>
        </w:tc>
      </w:tr>
      <w:tr>
        <w:tc>
          <w:tcPr>
            <w:tcW w:type="pct" w:w="74%"/>
            <w:tcBorders>
              <w:top w:val="single" w:color="D8D8D8" w:sz="4"/>
              <w:left w:val="single" w:color="D8D8D8" w:sz="4"/>
              <w:bottom w:val="single" w:color="D8D8D8" w:sz="4"/>
              <w:right w:val="single" w:color="D8D8D8" w:sz="4"/>
            </w:tcBorders>
            <w:shd w:fill="F3F4F6" w:val="clear"/>
            <w:tcMar>
              <w:top w:type="dxa" w:w="80"/>
              <w:left w:type="dxa" w:w="15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Jeu « le labyrinthe aveugle » : guider un·e élève avec des mots (à gauche, tout droit…).</w:t>
            </w:r>
          </w:p>
        </w:tc>
        <w:tc>
          <w:tcPr>
            <w:tcW w:type="pct" w:w="26%"/>
            <w:tcBorders>
              <w:top w:val="single" w:color="D8D8D8" w:sz="4"/>
              <w:left w:val="single" w:color="D8D8D8" w:sz="4"/>
              <w:bottom w:val="single" w:color="D8D8D8" w:sz="4"/>
              <w:right w:val="single" w:color="D8D8D8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6B7280"/>
                <w:sz w:val="18"/>
                <w:szCs w:val="18"/>
              </w:rPr>
              <w:t xml:space="preserve">Dyade</w:t>
            </w:r>
          </w:p>
        </w:tc>
      </w:tr>
      <w:tr>
        <w:tc>
          <w:tcPr>
            <w:tcW w:type="pct" w:w="74%"/>
            <w:tcBorders>
              <w:top w:val="single" w:color="D8D8D8" w:sz="4"/>
              <w:left w:val="single" w:color="D8D8D8" w:sz="4"/>
              <w:bottom w:val="single" w:color="D8D8D8" w:sz="4"/>
              <w:right w:val="single" w:color="D8D8D8" w:sz="4"/>
            </w:tcBorders>
            <w:tcMar>
              <w:top w:type="dxa" w:w="80"/>
              <w:left w:type="dxa" w:w="15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Présenter le vocabulaire de la fiche. Répétition à voix haute.</w:t>
            </w:r>
          </w:p>
        </w:tc>
        <w:tc>
          <w:tcPr>
            <w:tcW w:type="pct" w:w="26%"/>
            <w:tcBorders>
              <w:top w:val="single" w:color="D8D8D8" w:sz="4"/>
              <w:left w:val="single" w:color="D8D8D8" w:sz="4"/>
              <w:bottom w:val="single" w:color="D8D8D8" w:sz="4"/>
              <w:right w:val="single" w:color="D8D8D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6B7280"/>
                <w:sz w:val="18"/>
                <w:szCs w:val="18"/>
              </w:rPr>
              <w:t xml:space="preserve">Groupe</w:t>
            </w:r>
          </w:p>
        </w:tc>
      </w:tr>
    </w:tbl>
    <w:p>
      <w:pPr>
        <w:spacing w:after="100"/>
      </w:pPr>
      <w:r>
        <w:t xml:space="preserve"/>
      </w:r>
    </w:p>
    <w:tbl>
      <w:tblPr>
        <w:tblW w:type="pct" w:w="100%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8300"/>
        <w:gridCol w:w="1400"/>
      </w:tblGrid>
      <w:tr>
        <w:tc>
          <w:tcPr>
            <w:tcBorders>
              <w:top w:val="none"/>
              <w:left w:val="none"/>
              <w:bottom w:val="none"/>
              <w:right w:val="none"/>
            </w:tcBorders>
            <w:shd w:fill="F6E6E9" w:val="clear"/>
            <w:tcMar>
              <w:top w:type="dxa" w:w="110"/>
              <w:left w:type="dxa" w:w="200"/>
              <w:bottom w:type="dxa" w:w="11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6E1F2C"/>
                <w:sz w:val="24"/>
                <w:szCs w:val="24"/>
              </w:rPr>
              <w:t xml:space="preserve">2   Compréhension orale — Écoute du dialogue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  <w:shd w:fill="F6E6E9" w:val="clear"/>
            <w:tcMar>
              <w:top w:type="dxa" w:w="110"/>
              <w:left w:type="dxa" w:w="80"/>
              <w:bottom w:type="dxa" w:w="110"/>
              <w:right w:type="dxa" w:w="2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6E1F2C"/>
                <w:sz w:val="20"/>
                <w:szCs w:val="20"/>
              </w:rPr>
              <w:t xml:space="preserve">⏱ 35 min</w:t>
            </w:r>
          </w:p>
        </w:tc>
      </w:tr>
    </w:tbl>
    <w:p>
      <w:pPr>
        <w:spacing w:after="60" w:before="40"/>
        <w:jc w:val="left"/>
      </w:pPr>
      <w:r>
        <w:rPr>
          <w:rFonts w:ascii="Calibri" w:cs="Calibri" w:eastAsia="Calibri" w:hAnsi="Calibri"/>
          <w:i/>
          <w:iCs/>
          <w:color w:val="6B7280"/>
          <w:sz w:val="19"/>
          <w:szCs w:val="19"/>
        </w:rPr>
        <w:t xml:space="preserve">But : comprendre l'information essentielle (exercices ① et ②).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900"/>
        <w:gridCol w:w="2500"/>
      </w:tblGrid>
      <w:tr>
        <w:tc>
          <w:tcPr>
            <w:tcBorders>
              <w:top w:val="single" w:color="D8D8D8" w:sz="4"/>
              <w:left w:val="single" w:color="D8D8D8" w:sz="4"/>
              <w:bottom w:val="single" w:color="D8D8D8" w:sz="4"/>
              <w:right w:val="single" w:color="D8D8D8" w:sz="4"/>
            </w:tcBorders>
            <w:shd w:fill="ECEDEF" w:val="clear"/>
            <w:tcMar>
              <w:top w:type="dxa" w:w="70"/>
              <w:left w:type="dxa" w:w="15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6B7280"/>
                <w:sz w:val="18"/>
                <w:szCs w:val="18"/>
              </w:rPr>
              <w:t xml:space="preserve">Déroulement</w:t>
            </w:r>
          </w:p>
        </w:tc>
        <w:tc>
          <w:tcPr>
            <w:tcBorders>
              <w:top w:val="single" w:color="D8D8D8" w:sz="4"/>
              <w:left w:val="single" w:color="D8D8D8" w:sz="4"/>
              <w:bottom w:val="single" w:color="D8D8D8" w:sz="4"/>
              <w:right w:val="single" w:color="D8D8D8" w:sz="4"/>
            </w:tcBorders>
            <w:shd w:fill="ECEDE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6B7280"/>
                <w:sz w:val="18"/>
                <w:szCs w:val="18"/>
              </w:rPr>
              <w:t xml:space="preserve">Modalité</w:t>
            </w:r>
          </w:p>
        </w:tc>
      </w:tr>
      <w:tr>
        <w:tc>
          <w:tcPr>
            <w:tcW w:type="pct" w:w="74%"/>
            <w:tcBorders>
              <w:top w:val="single" w:color="D8D8D8" w:sz="4"/>
              <w:left w:val="single" w:color="D8D8D8" w:sz="4"/>
              <w:bottom w:val="single" w:color="D8D8D8" w:sz="4"/>
              <w:right w:val="single" w:color="D8D8D8" w:sz="4"/>
            </w:tcBorders>
            <w:tcMar>
              <w:top w:type="dxa" w:w="80"/>
              <w:left w:type="dxa" w:w="15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Distribuer la fiche élève. Expliquer la consigne : écouter d'abord SANS lire la transcription (③).</w:t>
            </w:r>
          </w:p>
        </w:tc>
        <w:tc>
          <w:tcPr>
            <w:tcW w:type="pct" w:w="26%"/>
            <w:tcBorders>
              <w:top w:val="single" w:color="D8D8D8" w:sz="4"/>
              <w:left w:val="single" w:color="D8D8D8" w:sz="4"/>
              <w:bottom w:val="single" w:color="D8D8D8" w:sz="4"/>
              <w:right w:val="single" w:color="D8D8D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6B7280"/>
                <w:sz w:val="18"/>
                <w:szCs w:val="18"/>
              </w:rPr>
              <w:t xml:space="preserve">Groupe</w:t>
            </w:r>
          </w:p>
        </w:tc>
      </w:tr>
      <w:tr>
        <w:tc>
          <w:tcPr>
            <w:tcW w:type="pct" w:w="74%"/>
            <w:tcBorders>
              <w:top w:val="single" w:color="D8D8D8" w:sz="4"/>
              <w:left w:val="single" w:color="D8D8D8" w:sz="4"/>
              <w:bottom w:val="single" w:color="D8D8D8" w:sz="4"/>
              <w:right w:val="single" w:color="D8D8D8" w:sz="4"/>
            </w:tcBorders>
            <w:shd w:fill="F3F4F6" w:val="clear"/>
            <w:tcMar>
              <w:top w:type="dxa" w:w="80"/>
              <w:left w:type="dxa" w:w="15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1re écoute du fichier audio : écoute globale.</w:t>
            </w:r>
          </w:p>
        </w:tc>
        <w:tc>
          <w:tcPr>
            <w:tcW w:type="pct" w:w="26%"/>
            <w:tcBorders>
              <w:top w:val="single" w:color="D8D8D8" w:sz="4"/>
              <w:left w:val="single" w:color="D8D8D8" w:sz="4"/>
              <w:bottom w:val="single" w:color="D8D8D8" w:sz="4"/>
              <w:right w:val="single" w:color="D8D8D8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6B7280"/>
                <w:sz w:val="18"/>
                <w:szCs w:val="18"/>
              </w:rPr>
              <w:t xml:space="preserve">Individuel</w:t>
            </w:r>
          </w:p>
        </w:tc>
      </w:tr>
      <w:tr>
        <w:tc>
          <w:tcPr>
            <w:tcW w:type="pct" w:w="74%"/>
            <w:tcBorders>
              <w:top w:val="single" w:color="D8D8D8" w:sz="4"/>
              <w:left w:val="single" w:color="D8D8D8" w:sz="4"/>
              <w:bottom w:val="single" w:color="D8D8D8" w:sz="4"/>
              <w:right w:val="single" w:color="D8D8D8" w:sz="4"/>
            </w:tcBorders>
            <w:tcMar>
              <w:top w:type="dxa" w:w="80"/>
              <w:left w:type="dxa" w:w="15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Exercice ① Vrai ou faux (5 énoncés). 2e écoute au besoin.</w:t>
            </w:r>
          </w:p>
        </w:tc>
        <w:tc>
          <w:tcPr>
            <w:tcW w:type="pct" w:w="26%"/>
            <w:tcBorders>
              <w:top w:val="single" w:color="D8D8D8" w:sz="4"/>
              <w:left w:val="single" w:color="D8D8D8" w:sz="4"/>
              <w:bottom w:val="single" w:color="D8D8D8" w:sz="4"/>
              <w:right w:val="single" w:color="D8D8D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6B7280"/>
                <w:sz w:val="18"/>
                <w:szCs w:val="18"/>
              </w:rPr>
              <w:t xml:space="preserve">Individuel</w:t>
            </w:r>
          </w:p>
        </w:tc>
      </w:tr>
      <w:tr>
        <w:tc>
          <w:tcPr>
            <w:tcW w:type="pct" w:w="74%"/>
            <w:tcBorders>
              <w:top w:val="single" w:color="D8D8D8" w:sz="4"/>
              <w:left w:val="single" w:color="D8D8D8" w:sz="4"/>
              <w:bottom w:val="single" w:color="D8D8D8" w:sz="4"/>
              <w:right w:val="single" w:color="D8D8D8" w:sz="4"/>
            </w:tcBorders>
            <w:shd w:fill="F3F4F6" w:val="clear"/>
            <w:tcMar>
              <w:top w:type="dxa" w:w="80"/>
              <w:left w:type="dxa" w:w="15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Exercice ② Questions (5 questions ouvertes). 3e écoute si nécessaire.</w:t>
            </w:r>
          </w:p>
        </w:tc>
        <w:tc>
          <w:tcPr>
            <w:tcW w:type="pct" w:w="26%"/>
            <w:tcBorders>
              <w:top w:val="single" w:color="D8D8D8" w:sz="4"/>
              <w:left w:val="single" w:color="D8D8D8" w:sz="4"/>
              <w:bottom w:val="single" w:color="D8D8D8" w:sz="4"/>
              <w:right w:val="single" w:color="D8D8D8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6B7280"/>
                <w:sz w:val="18"/>
                <w:szCs w:val="18"/>
              </w:rPr>
              <w:t xml:space="preserve">Individuel</w:t>
            </w:r>
          </w:p>
        </w:tc>
      </w:tr>
      <w:tr>
        <w:tc>
          <w:tcPr>
            <w:tcW w:type="pct" w:w="74%"/>
            <w:tcBorders>
              <w:top w:val="single" w:color="D8D8D8" w:sz="4"/>
              <w:left w:val="single" w:color="D8D8D8" w:sz="4"/>
              <w:bottom w:val="single" w:color="D8D8D8" w:sz="4"/>
              <w:right w:val="single" w:color="D8D8D8" w:sz="4"/>
            </w:tcBorders>
            <w:tcMar>
              <w:top w:type="dxa" w:w="80"/>
              <w:left w:type="dxa" w:w="15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Correction collective de ① et ② à l'oral (version réponses).</w:t>
            </w:r>
          </w:p>
        </w:tc>
        <w:tc>
          <w:tcPr>
            <w:tcW w:type="pct" w:w="26%"/>
            <w:tcBorders>
              <w:top w:val="single" w:color="D8D8D8" w:sz="4"/>
              <w:left w:val="single" w:color="D8D8D8" w:sz="4"/>
              <w:bottom w:val="single" w:color="D8D8D8" w:sz="4"/>
              <w:right w:val="single" w:color="D8D8D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6B7280"/>
                <w:sz w:val="18"/>
                <w:szCs w:val="18"/>
              </w:rPr>
              <w:t xml:space="preserve">Groupe</w:t>
            </w:r>
          </w:p>
        </w:tc>
      </w:tr>
    </w:tbl>
    <w:p>
      <w:pPr>
        <w:spacing w:after="100"/>
      </w:pPr>
      <w:r>
        <w:t xml:space="preserve"/>
      </w:r>
    </w:p>
    <w:tbl>
      <w:tblPr>
        <w:tblW w:type="pct" w:w="100%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8300"/>
        <w:gridCol w:w="1400"/>
      </w:tblGrid>
      <w:tr>
        <w:tc>
          <w:tcPr>
            <w:tcBorders>
              <w:top w:val="none"/>
              <w:left w:val="none"/>
              <w:bottom w:val="none"/>
              <w:right w:val="none"/>
            </w:tcBorders>
            <w:shd w:fill="F6E6E9" w:val="clear"/>
            <w:tcMar>
              <w:top w:type="dxa" w:w="110"/>
              <w:left w:type="dxa" w:w="200"/>
              <w:bottom w:type="dxa" w:w="11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6E1F2C"/>
                <w:sz w:val="24"/>
                <w:szCs w:val="24"/>
              </w:rPr>
              <w:t xml:space="preserve">3   Travail sur la langue — Transcription et structures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  <w:shd w:fill="F6E6E9" w:val="clear"/>
            <w:tcMar>
              <w:top w:type="dxa" w:w="110"/>
              <w:left w:type="dxa" w:w="80"/>
              <w:bottom w:type="dxa" w:w="110"/>
              <w:right w:type="dxa" w:w="2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6E1F2C"/>
                <w:sz w:val="20"/>
                <w:szCs w:val="20"/>
              </w:rPr>
              <w:t xml:space="preserve">⏱ 25 min</w:t>
            </w:r>
          </w:p>
        </w:tc>
      </w:tr>
    </w:tbl>
    <w:p>
      <w:pPr>
        <w:spacing w:after="60" w:before="40"/>
        <w:jc w:val="left"/>
      </w:pPr>
      <w:r>
        <w:rPr>
          <w:rFonts w:ascii="Calibri" w:cs="Calibri" w:eastAsia="Calibri" w:hAnsi="Calibri"/>
          <w:i/>
          <w:iCs/>
          <w:color w:val="6B7280"/>
          <w:sz w:val="19"/>
          <w:szCs w:val="19"/>
        </w:rPr>
        <w:t xml:space="preserve">But : repérer les mots-clés et les structures utiles (exercice ③).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900"/>
        <w:gridCol w:w="2500"/>
      </w:tblGrid>
      <w:tr>
        <w:tc>
          <w:tcPr>
            <w:tcBorders>
              <w:top w:val="single" w:color="D8D8D8" w:sz="4"/>
              <w:left w:val="single" w:color="D8D8D8" w:sz="4"/>
              <w:bottom w:val="single" w:color="D8D8D8" w:sz="4"/>
              <w:right w:val="single" w:color="D8D8D8" w:sz="4"/>
            </w:tcBorders>
            <w:shd w:fill="ECEDEF" w:val="clear"/>
            <w:tcMar>
              <w:top w:type="dxa" w:w="70"/>
              <w:left w:type="dxa" w:w="15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6B7280"/>
                <w:sz w:val="18"/>
                <w:szCs w:val="18"/>
              </w:rPr>
              <w:t xml:space="preserve">Déroulement</w:t>
            </w:r>
          </w:p>
        </w:tc>
        <w:tc>
          <w:tcPr>
            <w:tcBorders>
              <w:top w:val="single" w:color="D8D8D8" w:sz="4"/>
              <w:left w:val="single" w:color="D8D8D8" w:sz="4"/>
              <w:bottom w:val="single" w:color="D8D8D8" w:sz="4"/>
              <w:right w:val="single" w:color="D8D8D8" w:sz="4"/>
            </w:tcBorders>
            <w:shd w:fill="ECEDE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6B7280"/>
                <w:sz w:val="18"/>
                <w:szCs w:val="18"/>
              </w:rPr>
              <w:t xml:space="preserve">Modalité</w:t>
            </w:r>
          </w:p>
        </w:tc>
      </w:tr>
      <w:tr>
        <w:tc>
          <w:tcPr>
            <w:tcW w:type="pct" w:w="74%"/>
            <w:tcBorders>
              <w:top w:val="single" w:color="D8D8D8" w:sz="4"/>
              <w:left w:val="single" w:color="D8D8D8" w:sz="4"/>
              <w:bottom w:val="single" w:color="D8D8D8" w:sz="4"/>
              <w:right w:val="single" w:color="D8D8D8" w:sz="4"/>
            </w:tcBorders>
            <w:tcMar>
              <w:top w:type="dxa" w:w="80"/>
              <w:left w:type="dxa" w:w="15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Exercice ③ Complétez : remplir les trous pendant une dernière écoute.</w:t>
            </w:r>
          </w:p>
        </w:tc>
        <w:tc>
          <w:tcPr>
            <w:tcW w:type="pct" w:w="26%"/>
            <w:tcBorders>
              <w:top w:val="single" w:color="D8D8D8" w:sz="4"/>
              <w:left w:val="single" w:color="D8D8D8" w:sz="4"/>
              <w:bottom w:val="single" w:color="D8D8D8" w:sz="4"/>
              <w:right w:val="single" w:color="D8D8D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6B7280"/>
                <w:sz w:val="18"/>
                <w:szCs w:val="18"/>
              </w:rPr>
              <w:t xml:space="preserve">Individuel</w:t>
            </w:r>
          </w:p>
        </w:tc>
      </w:tr>
      <w:tr>
        <w:tc>
          <w:tcPr>
            <w:tcW w:type="pct" w:w="74%"/>
            <w:tcBorders>
              <w:top w:val="single" w:color="D8D8D8" w:sz="4"/>
              <w:left w:val="single" w:color="D8D8D8" w:sz="4"/>
              <w:bottom w:val="single" w:color="D8D8D8" w:sz="4"/>
              <w:right w:val="single" w:color="D8D8D8" w:sz="4"/>
            </w:tcBorders>
            <w:shd w:fill="F3F4F6" w:val="clear"/>
            <w:tcMar>
              <w:top w:type="dxa" w:w="80"/>
              <w:left w:type="dxa" w:w="15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Correction en dyade.</w:t>
            </w:r>
          </w:p>
        </w:tc>
        <w:tc>
          <w:tcPr>
            <w:tcW w:type="pct" w:w="26%"/>
            <w:tcBorders>
              <w:top w:val="single" w:color="D8D8D8" w:sz="4"/>
              <w:left w:val="single" w:color="D8D8D8" w:sz="4"/>
              <w:bottom w:val="single" w:color="D8D8D8" w:sz="4"/>
              <w:right w:val="single" w:color="D8D8D8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6B7280"/>
                <w:sz w:val="18"/>
                <w:szCs w:val="18"/>
              </w:rPr>
              <w:t xml:space="preserve">Dyade</w:t>
            </w:r>
          </w:p>
        </w:tc>
      </w:tr>
      <w:tr>
        <w:tc>
          <w:tcPr>
            <w:tcW w:type="pct" w:w="74%"/>
            <w:tcBorders>
              <w:top w:val="single" w:color="D8D8D8" w:sz="4"/>
              <w:left w:val="single" w:color="D8D8D8" w:sz="4"/>
              <w:bottom w:val="single" w:color="D8D8D8" w:sz="4"/>
              <w:right w:val="single" w:color="D8D8D8" w:sz="4"/>
            </w:tcBorders>
            <w:tcMar>
              <w:top w:type="dxa" w:w="80"/>
              <w:left w:type="dxa" w:w="15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Point de langue : les verbes de déplacement + les prépositions (jusqu'à, vers, à).</w:t>
            </w:r>
          </w:p>
        </w:tc>
        <w:tc>
          <w:tcPr>
            <w:tcW w:type="pct" w:w="26%"/>
            <w:tcBorders>
              <w:top w:val="single" w:color="D8D8D8" w:sz="4"/>
              <w:left w:val="single" w:color="D8D8D8" w:sz="4"/>
              <w:bottom w:val="single" w:color="D8D8D8" w:sz="4"/>
              <w:right w:val="single" w:color="D8D8D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6B7280"/>
                <w:sz w:val="18"/>
                <w:szCs w:val="18"/>
              </w:rPr>
              <w:t xml:space="preserve">Groupe</w:t>
            </w:r>
          </w:p>
        </w:tc>
      </w:tr>
    </w:tbl>
    <w:p>
      <w:pPr>
        <w:spacing w:after="100"/>
      </w:pPr>
      <w:r>
        <w:t xml:space="preserve"/>
      </w:r>
    </w:p>
    <w:tbl>
      <w:tblPr>
        <w:tblW w:type="pct" w:w="100%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8300"/>
        <w:gridCol w:w="1400"/>
      </w:tblGrid>
      <w:tr>
        <w:tc>
          <w:tcPr>
            <w:tcBorders>
              <w:top w:val="none"/>
              <w:left w:val="none"/>
              <w:bottom w:val="none"/>
              <w:right w:val="none"/>
            </w:tcBorders>
            <w:shd w:fill="F6E6E9" w:val="clear"/>
            <w:tcMar>
              <w:top w:type="dxa" w:w="110"/>
              <w:left w:type="dxa" w:w="200"/>
              <w:bottom w:type="dxa" w:w="11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6E1F2C"/>
                <w:sz w:val="24"/>
                <w:szCs w:val="24"/>
              </w:rPr>
              <w:t xml:space="preserve">4   Production orale — Mise en pratique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  <w:shd w:fill="F6E6E9" w:val="clear"/>
            <w:tcMar>
              <w:top w:type="dxa" w:w="110"/>
              <w:left w:type="dxa" w:w="80"/>
              <w:bottom w:type="dxa" w:w="110"/>
              <w:right w:type="dxa" w:w="2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6E1F2C"/>
                <w:sz w:val="20"/>
                <w:szCs w:val="20"/>
              </w:rPr>
              <w:t xml:space="preserve">⏱ 35 min</w:t>
            </w:r>
          </w:p>
        </w:tc>
      </w:tr>
    </w:tbl>
    <w:p>
      <w:pPr>
        <w:spacing w:after="60" w:before="40"/>
        <w:jc w:val="left"/>
      </w:pPr>
      <w:r>
        <w:rPr>
          <w:rFonts w:ascii="Calibri" w:cs="Calibri" w:eastAsia="Calibri" w:hAnsi="Calibri"/>
          <w:i/>
          <w:iCs/>
          <w:color w:val="6B7280"/>
          <w:sz w:val="19"/>
          <w:szCs w:val="19"/>
        </w:rPr>
        <w:t xml:space="preserve">But : expliquer un itinéraire (tâche ④).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900"/>
        <w:gridCol w:w="2500"/>
      </w:tblGrid>
      <w:tr>
        <w:tc>
          <w:tcPr>
            <w:tcBorders>
              <w:top w:val="single" w:color="D8D8D8" w:sz="4"/>
              <w:left w:val="single" w:color="D8D8D8" w:sz="4"/>
              <w:bottom w:val="single" w:color="D8D8D8" w:sz="4"/>
              <w:right w:val="single" w:color="D8D8D8" w:sz="4"/>
            </w:tcBorders>
            <w:shd w:fill="ECEDEF" w:val="clear"/>
            <w:tcMar>
              <w:top w:type="dxa" w:w="70"/>
              <w:left w:type="dxa" w:w="15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6B7280"/>
                <w:sz w:val="18"/>
                <w:szCs w:val="18"/>
              </w:rPr>
              <w:t xml:space="preserve">Déroulement</w:t>
            </w:r>
          </w:p>
        </w:tc>
        <w:tc>
          <w:tcPr>
            <w:tcBorders>
              <w:top w:val="single" w:color="D8D8D8" w:sz="4"/>
              <w:left w:val="single" w:color="D8D8D8" w:sz="4"/>
              <w:bottom w:val="single" w:color="D8D8D8" w:sz="4"/>
              <w:right w:val="single" w:color="D8D8D8" w:sz="4"/>
            </w:tcBorders>
            <w:shd w:fill="ECEDE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6B7280"/>
                <w:sz w:val="18"/>
                <w:szCs w:val="18"/>
              </w:rPr>
              <w:t xml:space="preserve">Modalité</w:t>
            </w:r>
          </w:p>
        </w:tc>
      </w:tr>
      <w:tr>
        <w:tc>
          <w:tcPr>
            <w:tcW w:type="pct" w:w="74%"/>
            <w:tcBorders>
              <w:top w:val="single" w:color="D8D8D8" w:sz="4"/>
              <w:left w:val="single" w:color="D8D8D8" w:sz="4"/>
              <w:bottom w:val="single" w:color="D8D8D8" w:sz="4"/>
              <w:right w:val="single" w:color="D8D8D8" w:sz="4"/>
            </w:tcBorders>
            <w:tcMar>
              <w:top w:type="dxa" w:w="80"/>
              <w:left w:type="dxa" w:w="15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Présenter la tâche ④ À vous ! : expliquer un chemin à un touriste.</w:t>
            </w:r>
          </w:p>
        </w:tc>
        <w:tc>
          <w:tcPr>
            <w:tcW w:type="pct" w:w="26%"/>
            <w:tcBorders>
              <w:top w:val="single" w:color="D8D8D8" w:sz="4"/>
              <w:left w:val="single" w:color="D8D8D8" w:sz="4"/>
              <w:bottom w:val="single" w:color="D8D8D8" w:sz="4"/>
              <w:right w:val="single" w:color="D8D8D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6B7280"/>
                <w:sz w:val="18"/>
                <w:szCs w:val="18"/>
              </w:rPr>
              <w:t xml:space="preserve">Groupe</w:t>
            </w:r>
          </w:p>
        </w:tc>
      </w:tr>
      <w:tr>
        <w:tc>
          <w:tcPr>
            <w:tcW w:type="pct" w:w="74%"/>
            <w:tcBorders>
              <w:top w:val="single" w:color="D8D8D8" w:sz="4"/>
              <w:left w:val="single" w:color="D8D8D8" w:sz="4"/>
              <w:bottom w:val="single" w:color="D8D8D8" w:sz="4"/>
              <w:right w:val="single" w:color="D8D8D8" w:sz="4"/>
            </w:tcBorders>
            <w:shd w:fill="F3F4F6" w:val="clear"/>
            <w:tcMar>
              <w:top w:type="dxa" w:w="80"/>
              <w:left w:type="dxa" w:w="15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En dyade, avec un plan : un·e demande le chemin, l'autre l'explique.</w:t>
            </w:r>
          </w:p>
        </w:tc>
        <w:tc>
          <w:tcPr>
            <w:tcW w:type="pct" w:w="26%"/>
            <w:tcBorders>
              <w:top w:val="single" w:color="D8D8D8" w:sz="4"/>
              <w:left w:val="single" w:color="D8D8D8" w:sz="4"/>
              <w:bottom w:val="single" w:color="D8D8D8" w:sz="4"/>
              <w:right w:val="single" w:color="D8D8D8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6B7280"/>
                <w:sz w:val="18"/>
                <w:szCs w:val="18"/>
              </w:rPr>
              <w:t xml:space="preserve">Dyade</w:t>
            </w:r>
          </w:p>
        </w:tc>
      </w:tr>
      <w:tr>
        <w:tc>
          <w:tcPr>
            <w:tcW w:type="pct" w:w="74%"/>
            <w:tcBorders>
              <w:top w:val="single" w:color="D8D8D8" w:sz="4"/>
              <w:left w:val="single" w:color="D8D8D8" w:sz="4"/>
              <w:bottom w:val="single" w:color="D8D8D8" w:sz="4"/>
              <w:right w:val="single" w:color="D8D8D8" w:sz="4"/>
            </w:tcBorders>
            <w:tcMar>
              <w:top w:type="dxa" w:w="80"/>
              <w:left w:type="dxa" w:w="15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Inverser les rôles (autre destination).</w:t>
            </w:r>
          </w:p>
        </w:tc>
        <w:tc>
          <w:tcPr>
            <w:tcW w:type="pct" w:w="26%"/>
            <w:tcBorders>
              <w:top w:val="single" w:color="D8D8D8" w:sz="4"/>
              <w:left w:val="single" w:color="D8D8D8" w:sz="4"/>
              <w:bottom w:val="single" w:color="D8D8D8" w:sz="4"/>
              <w:right w:val="single" w:color="D8D8D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6B7280"/>
                <w:sz w:val="18"/>
                <w:szCs w:val="18"/>
              </w:rPr>
              <w:t xml:space="preserve">Dyade</w:t>
            </w:r>
          </w:p>
        </w:tc>
      </w:tr>
      <w:tr>
        <w:tc>
          <w:tcPr>
            <w:tcW w:type="pct" w:w="74%"/>
            <w:tcBorders>
              <w:top w:val="single" w:color="D8D8D8" w:sz="4"/>
              <w:left w:val="single" w:color="D8D8D8" w:sz="4"/>
              <w:bottom w:val="single" w:color="D8D8D8" w:sz="4"/>
              <w:right w:val="single" w:color="D8D8D8" w:sz="4"/>
            </w:tcBorders>
            <w:shd w:fill="F3F4F6" w:val="clear"/>
            <w:tcMar>
              <w:top w:type="dxa" w:w="80"/>
              <w:left w:type="dxa" w:w="15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Quelques dyades présentent devant le groupe.</w:t>
            </w:r>
          </w:p>
        </w:tc>
        <w:tc>
          <w:tcPr>
            <w:tcW w:type="pct" w:w="26%"/>
            <w:tcBorders>
              <w:top w:val="single" w:color="D8D8D8" w:sz="4"/>
              <w:left w:val="single" w:color="D8D8D8" w:sz="4"/>
              <w:bottom w:val="single" w:color="D8D8D8" w:sz="4"/>
              <w:right w:val="single" w:color="D8D8D8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6B7280"/>
                <w:sz w:val="18"/>
                <w:szCs w:val="18"/>
              </w:rPr>
              <w:t xml:space="preserve">Groupe</w:t>
            </w:r>
          </w:p>
        </w:tc>
      </w:tr>
    </w:tbl>
    <w:p>
      <w:pPr>
        <w:spacing w:after="100"/>
      </w:pPr>
      <w:r>
        <w:t xml:space="preserve"/>
      </w:r>
    </w:p>
    <w:tbl>
      <w:tblPr>
        <w:tblW w:type="pct" w:w="100%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8300"/>
        <w:gridCol w:w="1400"/>
      </w:tblGrid>
      <w:tr>
        <w:tc>
          <w:tcPr>
            <w:tcBorders>
              <w:top w:val="none"/>
              <w:left w:val="none"/>
              <w:bottom w:val="none"/>
              <w:right w:val="none"/>
            </w:tcBorders>
            <w:shd w:fill="F6E6E9" w:val="clear"/>
            <w:tcMar>
              <w:top w:type="dxa" w:w="110"/>
              <w:left w:type="dxa" w:w="200"/>
              <w:bottom w:type="dxa" w:w="11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6E1F2C"/>
                <w:sz w:val="24"/>
                <w:szCs w:val="24"/>
              </w:rPr>
              <w:t xml:space="preserve">5   Retour et clôture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  <w:shd w:fill="F6E6E9" w:val="clear"/>
            <w:tcMar>
              <w:top w:type="dxa" w:w="110"/>
              <w:left w:type="dxa" w:w="80"/>
              <w:bottom w:type="dxa" w:w="110"/>
              <w:right w:type="dxa" w:w="2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6E1F2C"/>
                <w:sz w:val="20"/>
                <w:szCs w:val="20"/>
              </w:rPr>
              <w:t xml:space="preserve">⏱ 10 min</w:t>
            </w:r>
          </w:p>
        </w:tc>
      </w:tr>
    </w:tbl>
    <w:p>
      <w:pPr>
        <w:spacing w:after="60" w:before="40"/>
        <w:jc w:val="left"/>
      </w:pPr>
      <w:r>
        <w:rPr>
          <w:rFonts w:ascii="Calibri" w:cs="Calibri" w:eastAsia="Calibri" w:hAnsi="Calibri"/>
          <w:i/>
          <w:iCs/>
          <w:color w:val="6B7280"/>
          <w:sz w:val="19"/>
          <w:szCs w:val="19"/>
        </w:rPr>
        <w:t xml:space="preserve">But : consolider les apprentissages de la séance.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900"/>
        <w:gridCol w:w="2500"/>
      </w:tblGrid>
      <w:tr>
        <w:tc>
          <w:tcPr>
            <w:tcBorders>
              <w:top w:val="single" w:color="D8D8D8" w:sz="4"/>
              <w:left w:val="single" w:color="D8D8D8" w:sz="4"/>
              <w:bottom w:val="single" w:color="D8D8D8" w:sz="4"/>
              <w:right w:val="single" w:color="D8D8D8" w:sz="4"/>
            </w:tcBorders>
            <w:shd w:fill="ECEDEF" w:val="clear"/>
            <w:tcMar>
              <w:top w:type="dxa" w:w="70"/>
              <w:left w:type="dxa" w:w="15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6B7280"/>
                <w:sz w:val="18"/>
                <w:szCs w:val="18"/>
              </w:rPr>
              <w:t xml:space="preserve">Déroulement</w:t>
            </w:r>
          </w:p>
        </w:tc>
        <w:tc>
          <w:tcPr>
            <w:tcBorders>
              <w:top w:val="single" w:color="D8D8D8" w:sz="4"/>
              <w:left w:val="single" w:color="D8D8D8" w:sz="4"/>
              <w:bottom w:val="single" w:color="D8D8D8" w:sz="4"/>
              <w:right w:val="single" w:color="D8D8D8" w:sz="4"/>
            </w:tcBorders>
            <w:shd w:fill="ECEDE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6B7280"/>
                <w:sz w:val="18"/>
                <w:szCs w:val="18"/>
              </w:rPr>
              <w:t xml:space="preserve">Modalité</w:t>
            </w:r>
          </w:p>
        </w:tc>
      </w:tr>
      <w:tr>
        <w:tc>
          <w:tcPr>
            <w:tcW w:type="pct" w:w="74%"/>
            <w:tcBorders>
              <w:top w:val="single" w:color="D8D8D8" w:sz="4"/>
              <w:left w:val="single" w:color="D8D8D8" w:sz="4"/>
              <w:bottom w:val="single" w:color="D8D8D8" w:sz="4"/>
              <w:right w:val="single" w:color="D8D8D8" w:sz="4"/>
            </w:tcBorders>
            <w:tcMar>
              <w:top w:type="dxa" w:w="80"/>
              <w:left w:type="dxa" w:w="15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Tour de table : « Pour aller chez moi, je prends… »</w:t>
            </w:r>
          </w:p>
        </w:tc>
        <w:tc>
          <w:tcPr>
            <w:tcW w:type="pct" w:w="26%"/>
            <w:tcBorders>
              <w:top w:val="single" w:color="D8D8D8" w:sz="4"/>
              <w:left w:val="single" w:color="D8D8D8" w:sz="4"/>
              <w:bottom w:val="single" w:color="D8D8D8" w:sz="4"/>
              <w:right w:val="single" w:color="D8D8D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6B7280"/>
                <w:sz w:val="18"/>
                <w:szCs w:val="18"/>
              </w:rPr>
              <w:t xml:space="preserve">Groupe</w:t>
            </w:r>
          </w:p>
        </w:tc>
      </w:tr>
      <w:tr>
        <w:tc>
          <w:tcPr>
            <w:tcW w:type="pct" w:w="74%"/>
            <w:tcBorders>
              <w:top w:val="single" w:color="D8D8D8" w:sz="4"/>
              <w:left w:val="single" w:color="D8D8D8" w:sz="4"/>
              <w:bottom w:val="single" w:color="D8D8D8" w:sz="4"/>
              <w:right w:val="single" w:color="D8D8D8" w:sz="4"/>
            </w:tcBorders>
            <w:shd w:fill="F3F4F6" w:val="clear"/>
            <w:tcMar>
              <w:top w:type="dxa" w:w="80"/>
              <w:left w:type="dxa" w:w="15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Rappel des verbes de déplacement.</w:t>
            </w:r>
          </w:p>
        </w:tc>
        <w:tc>
          <w:tcPr>
            <w:tcW w:type="pct" w:w="26%"/>
            <w:tcBorders>
              <w:top w:val="single" w:color="D8D8D8" w:sz="4"/>
              <w:left w:val="single" w:color="D8D8D8" w:sz="4"/>
              <w:bottom w:val="single" w:color="D8D8D8" w:sz="4"/>
              <w:right w:val="single" w:color="D8D8D8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6B7280"/>
                <w:sz w:val="18"/>
                <w:szCs w:val="18"/>
              </w:rPr>
              <w:t xml:space="preserve">Groupe</w:t>
            </w:r>
          </w:p>
        </w:tc>
      </w:tr>
      <w:tr>
        <w:tc>
          <w:tcPr>
            <w:tcW w:type="pct" w:w="74%"/>
            <w:tcBorders>
              <w:top w:val="single" w:color="D8D8D8" w:sz="4"/>
              <w:left w:val="single" w:color="D8D8D8" w:sz="4"/>
              <w:bottom w:val="single" w:color="D8D8D8" w:sz="4"/>
              <w:right w:val="single" w:color="D8D8D8" w:sz="4"/>
            </w:tcBorders>
            <w:tcMar>
              <w:top w:type="dxa" w:w="80"/>
              <w:left w:type="dxa" w:w="15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Autoévaluation : « Je peux expliquer un chemin. »</w:t>
            </w:r>
          </w:p>
        </w:tc>
        <w:tc>
          <w:tcPr>
            <w:tcW w:type="pct" w:w="26%"/>
            <w:tcBorders>
              <w:top w:val="single" w:color="D8D8D8" w:sz="4"/>
              <w:left w:val="single" w:color="D8D8D8" w:sz="4"/>
              <w:bottom w:val="single" w:color="D8D8D8" w:sz="4"/>
              <w:right w:val="single" w:color="D8D8D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6B7280"/>
                <w:sz w:val="18"/>
                <w:szCs w:val="18"/>
              </w:rPr>
              <w:t xml:space="preserve">Individuel</w:t>
            </w:r>
          </w:p>
        </w:tc>
      </w:tr>
    </w:tbl>
    <w:p>
      <w:pPr>
        <w:spacing w:after="100"/>
      </w:pPr>
      <w:r>
        <w:t xml:space="preserve"/>
      </w:r>
    </w:p>
    <w:tbl>
      <w:tblPr>
        <w:tblW w:type="pct" w:w="100%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8300"/>
        <w:gridCol w:w="1400"/>
      </w:tblGrid>
      <w:tr>
        <w:tc>
          <w:tcPr>
            <w:tcBorders>
              <w:top w:val="none"/>
              <w:left w:val="none"/>
              <w:bottom w:val="none"/>
              <w:right w:val="none"/>
            </w:tcBorders>
            <w:shd w:fill="E7F2EB" w:val="clear"/>
            <w:tcMar>
              <w:top w:type="dxa" w:w="110"/>
              <w:left w:type="dxa" w:w="200"/>
              <w:bottom w:type="dxa" w:w="11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3E7C59"/>
                <w:sz w:val="24"/>
                <w:szCs w:val="24"/>
              </w:rPr>
              <w:t xml:space="preserve">✅   Évaluation (formative)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  <w:shd w:fill="E7F2EB" w:val="clear"/>
            <w:tcMar>
              <w:top w:type="dxa" w:w="110"/>
              <w:left w:type="dxa" w:w="80"/>
              <w:bottom w:type="dxa" w:w="110"/>
              <w:right w:type="dxa" w:w="2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3E7C59"/>
                <w:sz w:val="20"/>
                <w:szCs w:val="20"/>
              </w:rPr>
              <w:t xml:space="preserve"/>
            </w:r>
          </w:p>
        </w:tc>
      </w:tr>
    </w:tbl>
    <w:p>
      <w:pPr>
        <w:pStyle w:val="ListParagraph"/>
        <w:numPr>
          <w:ilvl w:val="0"/>
          <w:numId w:val="2"/>
        </w:numPr>
        <w:spacing w:after="40" w:before="20"/>
      </w:pPr>
      <w:r>
        <w:rPr>
          <w:rFonts w:ascii="Calibri" w:cs="Calibri" w:eastAsia="Calibri" w:hAnsi="Calibri"/>
          <w:sz w:val="21"/>
          <w:szCs w:val="21"/>
        </w:rPr>
        <w:t xml:space="preserve">Observation de la production orale (donne des directions claires).</w:t>
      </w:r>
    </w:p>
    <w:p>
      <w:pPr>
        <w:pStyle w:val="ListParagraph"/>
        <w:numPr>
          <w:ilvl w:val="0"/>
          <w:numId w:val="2"/>
        </w:numPr>
        <w:spacing w:after="40" w:before="20"/>
      </w:pPr>
      <w:r>
        <w:rPr>
          <w:rFonts w:ascii="Calibri" w:cs="Calibri" w:eastAsia="Calibri" w:hAnsi="Calibri"/>
          <w:sz w:val="21"/>
          <w:szCs w:val="21"/>
        </w:rPr>
        <w:t xml:space="preserve">Réussite des exercices ①, ② et ③ de la fiche.</w:t>
      </w:r>
    </w:p>
    <w:p>
      <w:pPr>
        <w:spacing w:after="100"/>
      </w:pPr>
      <w:r>
        <w:t xml:space="preserve"/>
      </w:r>
    </w:p>
    <w:tbl>
      <w:tblPr>
        <w:tblW w:type="pct" w:w="100%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8300"/>
        <w:gridCol w:w="1400"/>
      </w:tblGrid>
      <w:tr>
        <w:tc>
          <w:tcPr>
            <w:tcBorders>
              <w:top w:val="none"/>
              <w:left w:val="none"/>
              <w:bottom w:val="none"/>
              <w:right w:val="none"/>
            </w:tcBorders>
            <w:shd w:fill="E4EEF6" w:val="clear"/>
            <w:tcMar>
              <w:top w:type="dxa" w:w="110"/>
              <w:left w:type="dxa" w:w="200"/>
              <w:bottom w:type="dxa" w:w="11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E5E8C"/>
                <w:sz w:val="24"/>
                <w:szCs w:val="24"/>
              </w:rPr>
              <w:t xml:space="preserve">🔀   Différenciation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  <w:shd w:fill="E4EEF6" w:val="clear"/>
            <w:tcMar>
              <w:top w:type="dxa" w:w="110"/>
              <w:left w:type="dxa" w:w="80"/>
              <w:bottom w:type="dxa" w:w="110"/>
              <w:right w:type="dxa" w:w="2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2E5E8C"/>
                <w:sz w:val="20"/>
                <w:szCs w:val="20"/>
              </w:rPr>
              <w:t xml:space="preserve"/>
            </w:r>
          </w:p>
        </w:tc>
      </w:tr>
    </w:tbl>
    <w:p>
      <w:pPr>
        <w:pStyle w:val="ListParagraph"/>
        <w:numPr>
          <w:ilvl w:val="0"/>
          <w:numId w:val="2"/>
        </w:numPr>
        <w:spacing w:after="40" w:before="20"/>
      </w:pPr>
      <w:r>
        <w:rPr>
          <w:rFonts w:ascii="Calibri" w:cs="Calibri" w:eastAsia="Calibri" w:hAnsi="Calibri"/>
          <w:sz w:val="21"/>
          <w:szCs w:val="21"/>
        </w:rPr>
        <w:t xml:space="preserve">Soutien : fournir une banque de verbes et de directions.</w:t>
      </w:r>
    </w:p>
    <w:p>
      <w:pPr>
        <w:pStyle w:val="ListParagraph"/>
        <w:numPr>
          <w:ilvl w:val="0"/>
          <w:numId w:val="2"/>
        </w:numPr>
        <w:spacing w:after="40" w:before="20"/>
      </w:pPr>
      <w:r>
        <w:rPr>
          <w:rFonts w:ascii="Calibri" w:cs="Calibri" w:eastAsia="Calibri" w:hAnsi="Calibri"/>
          <w:sz w:val="21"/>
          <w:szCs w:val="21"/>
        </w:rPr>
        <w:t xml:space="preserve">Enrichissement : donner un itinéraire avec deux correspondances.</w:t>
      </w:r>
    </w:p>
    <w:p>
      <w:pPr>
        <w:spacing w:after="100"/>
      </w:pPr>
      <w:r>
        <w:t xml:space="preserve"/>
      </w:r>
    </w:p>
    <w:tbl>
      <w:tblPr>
        <w:tblW w:type="pct" w:w="100%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8300"/>
        <w:gridCol w:w="1400"/>
      </w:tblGrid>
      <w:tr>
        <w:tc>
          <w:tcPr>
            <w:tcBorders>
              <w:top w:val="none"/>
              <w:left w:val="none"/>
              <w:bottom w:val="none"/>
              <w:right w:val="none"/>
            </w:tcBorders>
            <w:shd w:fill="E4EEF6" w:val="clear"/>
            <w:tcMar>
              <w:top w:type="dxa" w:w="110"/>
              <w:left w:type="dxa" w:w="200"/>
              <w:bottom w:type="dxa" w:w="11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E5E8C"/>
                <w:sz w:val="24"/>
                <w:szCs w:val="24"/>
              </w:rPr>
              <w:t xml:space="preserve">➕   Prolongements possibles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  <w:shd w:fill="E4EEF6" w:val="clear"/>
            <w:tcMar>
              <w:top w:type="dxa" w:w="110"/>
              <w:left w:type="dxa" w:w="80"/>
              <w:bottom w:type="dxa" w:w="110"/>
              <w:right w:type="dxa" w:w="2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2E5E8C"/>
                <w:sz w:val="20"/>
                <w:szCs w:val="20"/>
              </w:rPr>
              <w:t xml:space="preserve"/>
            </w:r>
          </w:p>
        </w:tc>
      </w:tr>
    </w:tbl>
    <w:p>
      <w:pPr>
        <w:pStyle w:val="ListParagraph"/>
        <w:numPr>
          <w:ilvl w:val="0"/>
          <w:numId w:val="2"/>
        </w:numPr>
        <w:spacing w:after="40" w:before="20"/>
      </w:pPr>
      <w:r>
        <w:rPr>
          <w:rFonts w:ascii="Calibri" w:cs="Calibri" w:eastAsia="Calibri" w:hAnsi="Calibri"/>
          <w:sz w:val="21"/>
          <w:szCs w:val="21"/>
        </w:rPr>
        <w:t xml:space="preserve">Enchaîner avec la fiche « Une journée au Vieux-Port » (même destination).</w:t>
      </w:r>
    </w:p>
    <w:p>
      <w:pPr>
        <w:pStyle w:val="ListParagraph"/>
        <w:numPr>
          <w:ilvl w:val="0"/>
          <w:numId w:val="2"/>
        </w:numPr>
        <w:spacing w:after="40" w:before="20"/>
      </w:pPr>
      <w:r>
        <w:rPr>
          <w:rFonts w:ascii="Calibri" w:cs="Calibri" w:eastAsia="Calibri" w:hAnsi="Calibri"/>
          <w:sz w:val="21"/>
          <w:szCs w:val="21"/>
        </w:rPr>
        <w:t xml:space="preserve">Comprendre un message diffusé dans le métro / l'autobus.</w:t>
      </w:r>
    </w:p>
    <w:p>
      <w:pPr>
        <w:spacing w:after="100"/>
      </w:pPr>
      <w:r>
        <w:t xml:space="preserve"/>
      </w:r>
    </w:p>
    <w:p>
      <w:pPr>
        <w:spacing w:after="60" w:before="60"/>
        <w:jc w:val="left"/>
      </w:pPr>
      <w:r>
        <w:rPr>
          <w:rFonts w:ascii="Calibri" w:cs="Calibri" w:eastAsia="Calibri" w:hAnsi="Calibri"/>
          <w:b/>
          <w:bCs/>
          <w:color w:val="242A32"/>
          <w:sz w:val="21"/>
          <w:szCs w:val="21"/>
        </w:rPr>
        <w:t xml:space="preserve">Rappel audio — </w:t>
      </w:r>
      <w:r>
        <w:rPr>
          <w:rFonts w:ascii="Calibri" w:cs="Calibri" w:eastAsia="Calibri" w:hAnsi="Calibri"/>
          <w:color w:val="242A32"/>
          <w:sz w:val="21"/>
          <w:szCs w:val="21"/>
        </w:rPr>
        <w:t xml:space="preserve">pour générer le fichier son, lancer dans le terminal : </w:t>
      </w:r>
      <w:r>
        <w:rPr>
          <w:rFonts w:ascii="Calibri" w:cs="Calibri" w:eastAsia="Calibri" w:hAnsi="Calibri"/>
          <w:b/>
          <w:bCs/>
          <w:color w:val="6E1F2C"/>
          <w:sz w:val="21"/>
          <w:szCs w:val="21"/>
        </w:rPr>
        <w:t xml:space="preserve">cd ~/Downloads &amp;&amp; python3 audio_deplacement.py</w:t>
      </w:r>
    </w:p>
    <w:p>
      <w:pPr>
        <w:spacing w:after="60" w:before="40"/>
        <w:jc w:val="left"/>
      </w:pPr>
      <w:r>
        <w:rPr>
          <w:rFonts w:ascii="Calibri" w:cs="Calibri" w:eastAsia="Calibri" w:hAnsi="Calibri"/>
          <w:i/>
          <w:iCs/>
          <w:color w:val="6B7280"/>
          <w:sz w:val="19"/>
          <w:szCs w:val="19"/>
        </w:rPr>
        <w:t xml:space="preserve">Fichiers liés : Fiche_Deplacement_ELEVE.docx · Fiche_Deplacement_REPONSES.docx · audio_deplacement.py</w:t>
      </w:r>
    </w:p>
    <w:sectPr>
      <w:headerReference w:type="default" r:id="rId7"/>
      <w:footerReference w:type="default" r:id="rId8"/>
      <w:pgSz w:w="11906" w:h="16838" w:orient="portrait"/>
      <w:pgMar w:top="900" w:right="1000" w:bottom="9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6B7280"/>
        <w:sz w:val="15"/>
        <w:szCs w:val="15"/>
      </w:rPr>
      <w:t xml:space="preserve">Programme d'études Francisation (MÉES)  ·  Trouver son chemin à Montréal  ·  Page </w:t>
    </w:r>
    <w:r>
      <w:rPr>
        <w:rFonts w:ascii="Calibri" w:cs="Calibri" w:eastAsia="Calibri" w:hAnsi="Calibri"/>
        <w:color w:val="6B7280"/>
        <w:sz w:val="15"/>
        <w:szCs w:val="15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i/>
        <w:iCs/>
        <w:color w:val="6B7280"/>
        <w:sz w:val="16"/>
        <w:szCs w:val="16"/>
      </w:rPr>
      <w:t xml:space="preserve">Plan de cours — Francisation Niveau 4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2026-07-01T14:30:47.784Z</dcterms:created>
  <dcterms:modified xsi:type="dcterms:W3CDTF">2026-07-01T14:30:47.784Z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