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Step-by-step method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Multivariate forecasting of the total PV generation of the SENELEC grid with PatchTST</w:t>
      </w:r>
    </w:p>
    <w:p>
      <w:pPr>
        <w:spacing w:after="60"/>
        <w:jc w:val="center"/>
      </w:pPr>
      <w:r>
        <w:rPr>
          <w:sz w:val="22"/>
          <w:szCs w:val="22"/>
        </w:rPr>
        <w:t xml:space="preserve">Abdoulaye FAYE — UADB / EDTSS</w:t>
      </w:r>
    </w:p>
    <w:p>
      <w:pPr>
        <w:spacing w:after="300"/>
        <w:jc w:val="center"/>
      </w:pPr>
      <w:r>
        <w:rPr>
          <w:i/>
          <w:iCs/>
          <w:sz w:val="19"/>
          <w:szCs w:val="19"/>
        </w:rPr>
        <w:t xml:space="preserve">Methodological document accompanying the notebooks</w:t>
      </w:r>
    </w:p>
    <w:p>
      <w:pPr>
        <w:pStyle w:val="Heading1"/>
        <w:keepNext/>
      </w:pPr>
      <w:r>
        <w:t xml:space="preserve">Purpose of the document</w:t>
      </w:r>
    </w:p>
    <w:p>
      <w:pPr>
        <w:spacing w:after="120" w:line="276"/>
        <w:jc w:val="both"/>
      </w:pPr>
      <w:r>
        <w:t xml:space="preserve">This document describes step by step the procedure followed to build, evaluate and select a PatchTST model forecasting the total photovoltaic generation of the SENELEC grid, according to the specification </w:t>
      </w:r>
      <w:r>
        <w:rPr>
          <w:rFonts w:ascii="Consolas" w:cs="Consolas" w:eastAsia="Consolas" w:hAnsi="Consolas"/>
          <w:sz w:val="20"/>
          <w:szCs w:val="20"/>
        </w:rPr>
        <w:t xml:space="preserve">projet.md</w:t>
      </w:r>
      <w:r>
        <w:t xml:space="preserve">. For each step, it states </w:t>
      </w:r>
      <w:r>
        <w:rPr>
          <w:b/>
          <w:bCs/>
        </w:rPr>
        <w:t xml:space="preserve">what is done</w:t>
      </w:r>
      <w:r>
        <w:t xml:space="preserve">, </w:t>
      </w:r>
      <w:r>
        <w:rPr>
          <w:b/>
          <w:bCs/>
        </w:rPr>
        <w:t xml:space="preserve">why</w:t>
      </w:r>
      <w:r>
        <w:t xml:space="preserve">, </w:t>
      </w:r>
      <w:r>
        <w:rPr>
          <w:b/>
          <w:bCs/>
        </w:rPr>
        <w:t xml:space="preserve">where the code is</w:t>
      </w:r>
      <w:r>
        <w:t xml:space="preserve"> and </w:t>
      </w:r>
      <w:r>
        <w:rPr>
          <w:b/>
          <w:bCs/>
        </w:rPr>
        <w:t xml:space="preserve">how to check it</w:t>
      </w:r>
      <w:r>
        <w:t xml:space="preserve">. It is intended both for the reader who wants to understand the method and for the one who wants to reproduce it.</w:t>
      </w:r>
    </w:p>
    <w:p>
      <w:pPr>
        <w:pBdr>
          <w:left w:val="single" w:color="C0392B" w:sz="18" w:space="6"/>
        </w:pBdr>
        <w:shd w:fill="F4F6F6" w:color="auto" w:val="clear"/>
        <w:spacing w:after="160" w:before="80"/>
        <w:ind w:left="200" w:right="200"/>
        <w:jc w:val="both"/>
      </w:pPr>
      <w:r>
        <w:rPr>
          <w:b/>
          <w:bCs/>
          <w:sz w:val="20"/>
          <w:szCs w:val="20"/>
        </w:rPr>
        <w:t xml:space="preserve">Deliberate deviation from `projet.md`.</w:t>
      </w:r>
      <w:r>
        <w:rPr>
          <w:sz w:val="20"/>
          <w:szCs w:val="20"/>
        </w:rPr>
        <w:t xml:space="preserve"> The specification describes a univariate problem; the request then evolved towards a </w:t>
      </w:r>
      <w:r>
        <w:rPr>
          <w:b/>
          <w:bCs/>
          <w:sz w:val="20"/>
          <w:szCs w:val="20"/>
        </w:rPr>
        <w:t xml:space="preserve">multivariate forecast without the individual PV productions as input variables</w:t>
      </w:r>
      <w:r>
        <w:rPr>
          <w:sz w:val="20"/>
          <w:szCs w:val="20"/>
        </w:rPr>
        <w:t xml:space="preserve">, with cyclic variables. Since the log contains no meteorological data, the 5 % noise test "on the weather" is applied to all the exogenous covariates.</w:t>
      </w:r>
    </w:p>
    <w:p>
      <w:pPr>
        <w:pStyle w:val="Heading1"/>
        <w:keepNext/>
      </w:pPr>
      <w:r>
        <w:t xml:space="preserve">Step 0 — Project organisation</w:t>
      </w:r>
    </w:p>
    <w:p>
      <w:pPr>
        <w:keepNext/>
        <w:spacing w:after="80" w:before="160"/>
        <w:jc w:val="center"/>
      </w:pPr>
      <w:r>
        <w:rPr>
          <w:b/>
          <w:bCs/>
          <w:sz w:val="19"/>
          <w:szCs w:val="19"/>
        </w:rPr>
        <w:t xml:space="preserve">Table A.</w:t>
      </w:r>
      <w:r>
        <w:rPr>
          <w:sz w:val="19"/>
          <w:szCs w:val="19"/>
        </w:rPr>
        <w:t xml:space="preserve"> Tree of the deliverables.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61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data/</w:t>
            </w:r>
          </w:p>
        </w:tc>
        <w:tc>
          <w:tcPr>
            <w:tcW w:type="dxa" w:w="61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energie.xlsx (hourly log), projet.md (specification)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src/patchtst_pv.py</w:t>
            </w:r>
          </w:p>
        </w:tc>
        <w:tc>
          <w:tcPr>
            <w:tcW w:type="dxa" w:w="61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commented core module: data, covariates, PatchTST, training, metrics, protocol, score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src/analysis.py</w:t>
            </w:r>
          </w:p>
        </w:tc>
        <w:tc>
          <w:tcPr>
            <w:tcW w:type="dxa" w:w="61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baselines (persistence, mean, Ridge), DM tests, figures, cross-validation, XAI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src/run_experiments.py</w:t>
            </w:r>
          </w:p>
        </w:tc>
        <w:tc>
          <w:tcPr>
            <w:tcW w:type="dxa" w:w="61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runs configurations 1 → 4 in sequence (one factor at a time)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notebooks/00 … 05</w:t>
            </w:r>
          </w:p>
        </w:tc>
        <w:tc>
          <w:tcPr>
            <w:tcW w:type="dxa" w:w="61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EDA; one configuration per notebook; final model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figures/</w:t>
            </w:r>
          </w:p>
        </w:tc>
        <w:tc>
          <w:tcPr>
            <w:tcW w:type="dxa" w:w="61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all figures (300 dpi PNG), including the flowcharts flow_config1…4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tables/</w:t>
            </w:r>
          </w:p>
        </w:tc>
        <w:tc>
          <w:tcPr>
            <w:tcW w:type="dxa" w:w="61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comparison tables (CSV) and Excel summary workbook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models/best_patchtst.pt</w:t>
            </w:r>
          </w:p>
        </w:tc>
        <w:tc>
          <w:tcPr>
            <w:tcW w:type="dxa" w:w="61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weights of the final model + configuration + normalisation parameters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cache/</w:t>
            </w:r>
          </w:p>
        </w:tc>
        <w:tc>
          <w:tcPr>
            <w:tcW w:type="dxa" w:w="61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results per configuration and per seed (forecasts, weights, learning histories)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Reproducing the study.</w:t>
      </w:r>
      <w:r>
        <w:t xml:space="preserve"> (1) </w:t>
      </w:r>
      <w:r>
        <w:rPr>
          <w:rFonts w:ascii="Consolas" w:cs="Consolas" w:eastAsia="Consolas" w:hAnsi="Consolas"/>
          <w:sz w:val="20"/>
          <w:szCs w:val="20"/>
        </w:rPr>
        <w:t xml:space="preserve">python src/run_experiments.py</w:t>
      </w:r>
      <w:r>
        <w:t xml:space="preserve"> trains and evaluates every configuration (several hours on CPU); (2) notebooks 00 to 05 can then be executed in order: they read the cache. Deleting a folder </w:t>
      </w:r>
      <w:r>
        <w:rPr>
          <w:rFonts w:ascii="Consolas" w:cs="Consolas" w:eastAsia="Consolas" w:hAnsi="Consolas"/>
          <w:sz w:val="20"/>
          <w:szCs w:val="20"/>
        </w:rPr>
        <w:t xml:space="preserve">cache/&lt;configuration&gt;/</w:t>
      </w:r>
      <w:r>
        <w:t xml:space="preserve"> re-runs its training.</w:t>
      </w:r>
    </w:p>
    <w:p>
      <w:pPr>
        <w:pStyle w:val="Heading1"/>
        <w:keepNext/>
      </w:pPr>
      <w:r>
        <w:t xml:space="preserve">Step 1 — Loading and checking the data (notebook 00)</w:t>
      </w:r>
    </w:p>
    <w:p>
      <w:pPr>
        <w:spacing w:after="120" w:line="276"/>
        <w:jc w:val="both"/>
      </w:pPr>
      <w:r>
        <w:t xml:space="preserve">The log covers 38,160 hours, from 01/01/2019 to 09/05/2023. The hourly grid is completed for the 288 missing hours (eight jumps of one to three days): windowing requires a regular grid. </w:t>
      </w:r>
      <w:r>
        <w:rPr>
          <w:b/>
          <w:bCs/>
        </w:rPr>
        <w:t xml:space="preserve">Why</w:t>
      </w:r>
      <w:r>
        <w:t xml:space="preserve">: deleting these hours would shift every window that contains them.</w:t>
      </w:r>
    </w:p>
    <w:p>
      <w:pPr>
        <w:pStyle w:val="Heading1"/>
        <w:keepNext/>
      </w:pPr>
      <w:r>
        <w:t xml:space="preserve">Step 2 — Construction of the target PV_total</w:t>
      </w:r>
    </w:p>
    <w:p>
      <w:pPr>
        <w:spacing w:after="120" w:line="276"/>
        <w:jc w:val="both"/>
      </w:pPr>
      <w:r>
        <w:t xml:space="preserve">The target is the sum of the eleven PV plants. For each plant: (a) clipping above 1.2 × the 99.9 % quantile </w:t>
      </w:r>
      <w:r>
        <w:rPr>
          <w:b/>
          <w:bCs/>
        </w:rPr>
        <w:t xml:space="preserve">of the training period</w:t>
      </w:r>
      <w:r>
        <w:t xml:space="preserve">; (b) zero value outside the period of existence; (c) causal imputation of gaps. Code: </w:t>
      </w:r>
      <w:r>
        <w:rPr>
          <w:rFonts w:ascii="Consolas" w:cs="Consolas" w:eastAsia="Consolas" w:hAnsi="Consolas"/>
          <w:sz w:val="20"/>
          <w:szCs w:val="20"/>
        </w:rPr>
        <w:t xml:space="preserve">build_target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impute_series</w:t>
      </w:r>
      <w:r>
        <w:t xml:space="preserve">.</w:t>
      </w:r>
    </w:p>
    <w:p>
      <w:pPr>
        <w:keepNext/>
        <w:spacing w:after="80" w:before="160"/>
        <w:jc w:val="center"/>
      </w:pPr>
      <w:r>
        <w:rPr>
          <w:b/>
          <w:bCs/>
          <w:sz w:val="19"/>
          <w:szCs w:val="19"/>
        </w:rPr>
        <w:t xml:space="preserve">Table B.</w:t>
      </w:r>
      <w:r>
        <w:rPr>
          <w:sz w:val="19"/>
          <w:szCs w:val="19"/>
        </w:rPr>
        <w:t xml:space="preserve"> Traceability of the target construction, per plant.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5"/>
        <w:gridCol w:w="1682"/>
        <w:gridCol w:w="1682"/>
        <w:gridCol w:w="917"/>
        <w:gridCol w:w="994"/>
        <w:gridCol w:w="994"/>
        <w:gridCol w:w="922"/>
      </w:tblGrid>
      <w:tr>
        <w:trPr>
          <w:tblHeader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Plant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Commissioning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Last record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Threshold (MW)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Clipped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Imputed gaps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Mean (MW)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PV-Mbour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01/01/2019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09/05/2023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22.7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1032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3.97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PV-CICAD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01/01/2019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11/04/2023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4.4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710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0.26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PV Kahone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01/01/2019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25/01/2021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19.1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454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1.57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PV ERS Kahone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26/01/2021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09/05/2023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18.1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244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1.97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PV Scaling Kahone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26/01/2021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09/05/2023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39.3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779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3.21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PV Kael Touba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26/03/2021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09/05/2023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30.2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2.80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PV-Bokhol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01/01/2019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09/05/2023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23.1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901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4.16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PV Mékhé Mérina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01/01/2019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09/05/2023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24.3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522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5.63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PV S Mekhe Santhiou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01/01/2019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09/05/2023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25.2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1066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5.58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PV DIASS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12/06/2019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09/05/2023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22.3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829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3.45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PV Sakal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01/01/2019</w:t>
            </w:r>
          </w:p>
        </w:tc>
        <w:tc>
          <w:tcPr>
            <w:tcW w:type="dxa" w:w="16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09/05/2023</w:t>
            </w:r>
          </w:p>
        </w:tc>
        <w:tc>
          <w:tcPr>
            <w:tcW w:type="dxa" w:w="9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21.1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99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976</w:t>
            </w:r>
          </w:p>
        </w:tc>
        <w:tc>
          <w:tcPr>
            <w:tcW w:type="dxa" w:w="92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4.85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Check</w:t>
      </w:r>
      <w:r>
        <w:t xml:space="preserve">: notebook 00 asserts that the normalisation is computed on the training period only and that no individual PV column, nor any total that contains it, enters the model.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3105150"/>
            <wp:effectExtent t="0" r="0" b="0" l="0"/>
            <wp:docPr id="1" name="fig01_pv_total_series.png" descr="**Figure A.** Target series, capacity envelope and temporal split." title="**Figure A.** Target series, capacity envelope and tempor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A.</w:t>
      </w:r>
      <w:r>
        <w:rPr>
          <w:sz w:val="19"/>
          <w:szCs w:val="19"/>
        </w:rPr>
        <w:t xml:space="preserve"> Target series, capacity envelope and temporal split.</w:t>
      </w:r>
    </w:p>
    <w:p>
      <w:pPr>
        <w:pStyle w:val="Heading1"/>
        <w:keepNext/>
      </w:pPr>
      <w:r>
        <w:t xml:space="preserve">Step 3 — Exploratory analysis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Seasonality: dominant 24 h cycle (ACF(24) ≈ 0.97 on training), 12 h harmonic, annual modulation.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Non-stationarity: mean production grows by 47 % between 2019 and 2022 (commissionings).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Correlations: strong with solar geometry (≈ 0.94), weak with the grid context once the mean cycle is removed.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Consequence: day-ahead persistence will be a hard baseline to beat.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047875"/>
            <wp:effectExtent t="0" r="0" b="0" l="0"/>
            <wp:docPr id="1" name="fig03_seasonality.png" descr="**Figure B.** Hour × month profile, autocorrelation and periodogram." title="**Figure B.** Hour × month profile, autocorrelation and p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B.</w:t>
      </w:r>
      <w:r>
        <w:rPr>
          <w:sz w:val="19"/>
          <w:szCs w:val="19"/>
        </w:rPr>
        <w:t xml:space="preserve"> Hour × month profile, autocorrelation and periodogram.</w:t>
      </w:r>
    </w:p>
    <w:p>
      <w:pPr>
        <w:pStyle w:val="Heading1"/>
        <w:keepNext/>
      </w:pPr>
      <w:r>
        <w:t xml:space="preserve">Step 4 — Covariates</w:t>
      </w:r>
    </w:p>
    <w:p>
      <w:pPr>
        <w:spacing w:after="120" w:line="276"/>
        <w:jc w:val="both"/>
      </w:pPr>
      <w:r>
        <w:t xml:space="preserve">Twelve channels: the target; three grid channels (aggregated thermal, Taiba wind, Manantali import); six cyclic encodings (sin/cos of the hour, day of year, day of week); two solar-geometry variables (cos θz, Haurwitz clear-sky irradiance, pvlib). The offset between timestamps and solar time is estimated on training: 0.50 h. Code: </w:t>
      </w:r>
      <w:r>
        <w:rPr>
          <w:rFonts w:ascii="Consolas" w:cs="Consolas" w:eastAsia="Consolas" w:hAnsi="Consolas"/>
          <w:sz w:val="20"/>
          <w:szCs w:val="20"/>
        </w:rPr>
        <w:t xml:space="preserve">cyclic_covariates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solar_covariates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estimate_offset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grid_covariates</w:t>
      </w:r>
      <w: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1990725"/>
            <wp:effectExtent t="0" r="0" b="0" l="0"/>
            <wp:docPr id="1" name="fig04_covariates.png" descr="**Figure C.** Cyclic covariates, solar geometry and grid context." title="**Figure C.** Cyclic covariates, solar geometry and grid 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C.</w:t>
      </w:r>
      <w:r>
        <w:rPr>
          <w:sz w:val="19"/>
          <w:szCs w:val="19"/>
        </w:rPr>
        <w:t xml:space="preserve"> Cyclic covariates, solar geometry and grid context.</w:t>
      </w:r>
    </w:p>
    <w:p>
      <w:pPr>
        <w:pStyle w:val="Heading1"/>
        <w:keepNext/>
      </w:pPr>
      <w:r>
        <w:t xml:space="preserve">Step 5 — Temporal split and normalisation</w:t>
      </w:r>
    </w:p>
    <w:p>
      <w:pPr>
        <w:spacing w:after="120" w:line="276"/>
        <w:jc w:val="both"/>
      </w:pPr>
      <w:r>
        <w:t xml:space="preserve">Train: 01/01/2019 → 31/12/2021 (26,304 h); Validation: 01/01/2022 → 30/09/2022 (6,552 h); Test: 01/10/2022 → 09/05/2023 (5,304 h). No shuffling. The global normalisation is fitted on Train; inside the model, a reversible normalisation (RevIN) is applied window by window to the </w:t>
      </w:r>
      <w:r>
        <w:rPr>
          <w:b/>
          <w:bCs/>
        </w:rPr>
        <w:t xml:space="preserve">stochastic channels only</w:t>
      </w:r>
      <w:r>
        <w:t xml:space="preserve">.</w:t>
      </w:r>
    </w:p>
    <w:p>
      <w:pPr>
        <w:pBdr>
          <w:left w:val="single" w:color="C0392B" w:sz="18" w:space="6"/>
        </w:pBdr>
        <w:shd w:fill="F4F6F6" w:color="auto" w:val="clear"/>
        <w:spacing w:after="160" w:before="80"/>
        <w:ind w:left="200" w:right="200"/>
        <w:jc w:val="both"/>
      </w:pPr>
      <w:r>
        <w:rPr>
          <w:b/>
          <w:bCs/>
          <w:sz w:val="20"/>
          <w:szCs w:val="20"/>
        </w:rPr>
        <w:t xml:space="preserve">Correction made during the study.</w:t>
      </w:r>
      <w:r>
        <w:rPr>
          <w:sz w:val="20"/>
          <w:szCs w:val="20"/>
        </w:rPr>
        <w:t xml:space="preserve"> A first version applied RevIN to every channel. Over a 7-day window, the day of year barely changes: standardising it erased the season and created an artificial ramp. Integrated gradients revealed it (24 % of the attribution on past </w:t>
      </w:r>
      <w:r>
        <w:rPr>
          <w:rFonts w:ascii="Consolas" w:cs="Consolas" w:eastAsia="Consolas" w:hAnsi="Consolas"/>
          <w:sz w:val="20"/>
          <w:szCs w:val="20"/>
        </w:rPr>
        <w:t xml:space="preserve">doy_sin</w:t>
      </w:r>
      <w:r>
        <w:rPr>
          <w:sz w:val="20"/>
          <w:szCs w:val="20"/>
        </w:rPr>
        <w:t xml:space="preserve">). All the results presented were recomputed after the correction.</w:t>
      </w:r>
    </w:p>
    <w:p>
      <w:pPr>
        <w:pStyle w:val="Heading1"/>
        <w:keepNext/>
      </w:pPr>
      <w:r>
        <w:t xml:space="preserve">Step 6 — PatchTST model and variants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790825"/>
            <wp:effectExtent t="0" r="0" b="0" l="0"/>
            <wp:docPr id="1" name="fig_architecture.png" descr="**Figure D.** PatchTST-CA-X architecture and CI / CA / X / g variants." title="**Figure D.** PatchTST-CA-X architecture and CI / CA / X / 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D.</w:t>
      </w:r>
      <w:r>
        <w:rPr>
          <w:sz w:val="19"/>
          <w:szCs w:val="19"/>
        </w:rPr>
        <w:t xml:space="preserve"> PatchTST-CA-X architecture and CI / CA / X / g variants.</w:t>
      </w:r>
    </w:p>
    <w:p>
      <w:pPr>
        <w:spacing w:after="120" w:line="276"/>
        <w:jc w:val="both"/>
      </w:pPr>
      <w:r>
        <w:t xml:space="preserve">Class </w:t>
      </w:r>
      <w:r>
        <w:rPr>
          <w:rFonts w:ascii="Consolas" w:cs="Consolas" w:eastAsia="Consolas" w:hAnsi="Consolas"/>
          <w:sz w:val="20"/>
          <w:szCs w:val="20"/>
        </w:rPr>
        <w:t xml:space="preserve">PatchTST</w:t>
      </w:r>
      <w:r>
        <w:t xml:space="preserve"> of the module. Patches of length P (stride P/2) are projected to dimension 64; a 2-layer Transformer encoder is shared across channels. </w:t>
      </w:r>
      <w:r>
        <w:rPr>
          <w:b/>
          <w:bCs/>
        </w:rPr>
        <w:t xml:space="preserve">CI</w:t>
      </w:r>
      <w:r>
        <w:t xml:space="preserve">: only the target feeds the head; </w:t>
      </w:r>
      <w:r>
        <w:rPr>
          <w:b/>
          <w:bCs/>
        </w:rPr>
        <w:t xml:space="preserve">CA</w:t>
      </w:r>
      <w:r>
        <w:t xml:space="preserve">: cross-channel attention at each patch position; </w:t>
      </w:r>
      <w:r>
        <w:rPr>
          <w:b/>
          <w:bCs/>
        </w:rPr>
        <w:t xml:space="preserve">X</w:t>
      </w:r>
      <w:r>
        <w:t xml:space="preserve">: step-by-step correction by the future deterministic covariates; </w:t>
      </w:r>
      <w:r>
        <w:rPr>
          <w:b/>
          <w:bCs/>
        </w:rPr>
        <w:t xml:space="preserve">g</w:t>
      </w:r>
      <w:r>
        <w:t xml:space="preserve">: physical night gate.</w:t>
      </w:r>
    </w:p>
    <w:p>
      <w:pPr>
        <w:pStyle w:val="Heading1"/>
        <w:keepNext/>
      </w:pPr>
      <w:r>
        <w:t xml:space="preserve">Step 7 — Training and evaluation protocol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Training on Train, early stopping on Val (patience 4, at most 25 epochs), 20 % of the hourly origins drawn at each epoch, 5 seeds.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Accuracy over every hourly origin of the Test set: RMSE, MAE, nRMSE = RMSE/mean, R², MBE.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Robustness: standard deviation over 5 seeds; 5 % Gaussian noise on the exogenous channels (rejected if the RMSE rises by more than 15 %).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Stability: 30-day rolling forecast without re-training; drift = RMSE(D24–30)/RMSE(D1–7) (target &lt; 1.2), raw D30/D1 ratio reported.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Efficiency: inference time for one sample on one core (&lt; 100 ms); weight size (&lt; 50 MB).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Score = 0.4/nRMSE + 0.3/σ + 0.3/drift + bonus; selection on the normalised score (criteria mapped to [0, 1]).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Diebold-Mariano tests against persistence and the 7-day mean.</w:t>
      </w:r>
    </w:p>
    <w:p>
      <w:pPr>
        <w:pStyle w:val="Heading1"/>
        <w:keepNext/>
      </w:pPr>
      <w:r>
        <w:t xml:space="preserve">Step 8 — Configuration 1 — patch length P (notebook 01)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419475" cy="5105400"/>
            <wp:effectExtent t="0" r="0" b="0" l="0"/>
            <wp:docPr id="1" name="flow_config1.png" descr="**Figure E.** Flowchart of configuration 1." title="**Figure E.** Flowchart of configuration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E.</w:t>
      </w:r>
      <w:r>
        <w:rPr>
          <w:sz w:val="19"/>
          <w:szCs w:val="19"/>
        </w:rPr>
        <w:t xml:space="preserve"> Flowchart of configuration 1.</w:t>
      </w:r>
    </w:p>
    <w:p>
      <w:pPr>
        <w:keepNext/>
        <w:spacing w:after="80" w:before="160"/>
        <w:jc w:val="center"/>
      </w:pPr>
      <w:r>
        <w:rPr>
          <w:b/>
          <w:bCs/>
          <w:sz w:val="19"/>
          <w:szCs w:val="19"/>
        </w:rPr>
        <w:t xml:space="preserve">Table C.</w:t>
      </w:r>
      <w:r>
        <w:rPr>
          <w:sz w:val="19"/>
          <w:szCs w:val="19"/>
        </w:rPr>
        <w:t xml:space="preserve"> Results of configuration 1 (mean over 5 seeds).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977"/>
        <w:gridCol w:w="827"/>
        <w:gridCol w:w="902"/>
        <w:gridCol w:w="977"/>
        <w:gridCol w:w="902"/>
        <w:gridCol w:w="902"/>
        <w:gridCol w:w="982"/>
      </w:tblGrid>
      <w:tr>
        <w:trPr>
          <w:tblHeader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Configuration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RMSE (MW)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σ (MW)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nRMSE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Noise 5 %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Drift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Inference (ms)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Norm. score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PatchTST-CAX_P12_L168_H24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9.02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0.097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0.204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0.4 %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0.58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2.9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0.800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PatchTST-CAX_P24_L168_H24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9.13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0.161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0.206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0.6 %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0.58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2.3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0.257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PatchTST-CAX_P48_L168_H24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9.20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0.103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0.208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0.7 %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0.55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1.6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0.374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Persistence D-1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10.39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0.000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0.235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7-day mean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10.82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0.000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0.244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</w:tr>
    </w:tbl>
    <w:p>
      <w:pPr>
        <w:spacing w:after="200" w:before="40"/>
      </w:pPr>
      <w:r>
        <w:rPr>
          <w:i/>
          <w:iCs/>
          <w:sz w:val="17"/>
          <w:szCs w:val="17"/>
        </w:rPr>
        <w:t xml:space="preserve">Highlighted row: selected configuration (PatchTST-CAX_P12_L168_H24). Persistence and 7-day mean: same test origins.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524125"/>
            <wp:effectExtent t="0" r="0" b="0" l="0"/>
            <wp:docPr id="1" name="fig_config1_rosary.png" descr="**Figure Ebis.** Seed rosary and drift — configuration 1." title="**Figure Ebis.** Seed rosary and drift — configuration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Ebis.</w:t>
      </w:r>
      <w:r>
        <w:rPr>
          <w:sz w:val="19"/>
          <w:szCs w:val="19"/>
        </w:rPr>
        <w:t xml:space="preserve"> Seed rosary and drift — configuration 1.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228850"/>
            <wp:effectExtent t="0" r="0" b="0" l="0"/>
            <wp:docPr id="1" name="fig_config1_observed_predicted.png" descr="**Figure Eter.** Observed vs predicted — best model of configuration 1." title="**Figure Eter.** Observed vs predicted — best model of con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Eter.</w:t>
      </w:r>
      <w:r>
        <w:rPr>
          <w:sz w:val="19"/>
          <w:szCs w:val="19"/>
        </w:rPr>
        <w:t xml:space="preserve"> Observed vs predicted — best model of configuration 1.</w:t>
      </w:r>
    </w:p>
    <w:p>
      <w:pPr>
        <w:pStyle w:val="Heading1"/>
        <w:keepNext/>
      </w:pPr>
      <w:r>
        <w:t xml:space="preserve">Step 9 — Configuration 2 — history L (notebook 02)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419475" cy="5067300"/>
            <wp:effectExtent t="0" r="0" b="0" l="0"/>
            <wp:docPr id="1" name="flow_config2.png" descr="**Figure F.** Flowchart of configuration 2." title="**Figure F.** Flowchart of configuration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F.</w:t>
      </w:r>
      <w:r>
        <w:rPr>
          <w:sz w:val="19"/>
          <w:szCs w:val="19"/>
        </w:rPr>
        <w:t xml:space="preserve"> Flowchart of configuration 2.</w:t>
      </w:r>
    </w:p>
    <w:p>
      <w:pPr>
        <w:keepNext/>
        <w:spacing w:after="80" w:before="160"/>
        <w:jc w:val="center"/>
      </w:pPr>
      <w:r>
        <w:rPr>
          <w:b/>
          <w:bCs/>
          <w:sz w:val="19"/>
          <w:szCs w:val="19"/>
        </w:rPr>
        <w:t xml:space="preserve">Table D.</w:t>
      </w:r>
      <w:r>
        <w:rPr>
          <w:sz w:val="19"/>
          <w:szCs w:val="19"/>
        </w:rPr>
        <w:t xml:space="preserve"> Results of configuration 2 (mean over 5 seeds).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977"/>
        <w:gridCol w:w="827"/>
        <w:gridCol w:w="902"/>
        <w:gridCol w:w="977"/>
        <w:gridCol w:w="902"/>
        <w:gridCol w:w="902"/>
        <w:gridCol w:w="982"/>
      </w:tblGrid>
      <w:tr>
        <w:trPr>
          <w:tblHeader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Configuration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RMSE (MW)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σ (MW)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nRMSE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Noise 5 %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Drift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Inference (ms)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Norm. score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PatchTST-CAX_P12_L96_H24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9.29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0.074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0.210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0.58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2.5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0.568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PatchTST-CAX_P12_L168_H24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9.02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0.097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0.204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0.4 %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0.58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2.9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0.701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PatchTST-CAX_P12_L336_H24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9.49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0.146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0.215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0.3 %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0.62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4.7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0.100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Persistence D-1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10.39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0.000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0.235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7-day mean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10.82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0.000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0.244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</w:tr>
    </w:tbl>
    <w:p>
      <w:pPr>
        <w:spacing w:after="200" w:before="40"/>
      </w:pPr>
      <w:r>
        <w:rPr>
          <w:i/>
          <w:iCs/>
          <w:sz w:val="17"/>
          <w:szCs w:val="17"/>
        </w:rPr>
        <w:t xml:space="preserve">Highlighted row: selected configuration (PatchTST-CAX_P12_L168_H24). Persistence and 7-day mean: same test origins.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524125"/>
            <wp:effectExtent t="0" r="0" b="0" l="0"/>
            <wp:docPr id="1" name="fig_config2_rosary.png" descr="**Figure Fbis.** Seed rosary and drift — configuration 2." title="**Figure Fbis.** Seed rosary and drift — configuration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Fbis.</w:t>
      </w:r>
      <w:r>
        <w:rPr>
          <w:sz w:val="19"/>
          <w:szCs w:val="19"/>
        </w:rPr>
        <w:t xml:space="preserve"> Seed rosary and drift — configuration 2.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228850"/>
            <wp:effectExtent t="0" r="0" b="0" l="0"/>
            <wp:docPr id="1" name="fig_config2_observed_predicted.png" descr="**Figure Fter.** Observed vs predicted — best model of configuration 2." title="**Figure Fter.** Observed vs predicted — best model of con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Fter.</w:t>
      </w:r>
      <w:r>
        <w:rPr>
          <w:sz w:val="19"/>
          <w:szCs w:val="19"/>
        </w:rPr>
        <w:t xml:space="preserve"> Observed vs predicted — best model of configuration 2.</w:t>
      </w:r>
    </w:p>
    <w:p>
      <w:pPr>
        <w:pStyle w:val="Heading1"/>
        <w:keepNext/>
      </w:pPr>
      <w:r>
        <w:t xml:space="preserve">Step 10 — Configuration 3 — channel handling (notebook 03)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419475" cy="4648200"/>
            <wp:effectExtent t="0" r="0" b="0" l="0"/>
            <wp:docPr id="1" name="flow_config3.png" descr="**Figure G.** Flowchart of configuration 3." title="**Figure G.** Flowchart of configuration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G.</w:t>
      </w:r>
      <w:r>
        <w:rPr>
          <w:sz w:val="19"/>
          <w:szCs w:val="19"/>
        </w:rPr>
        <w:t xml:space="preserve"> Flowchart of configuration 3.</w:t>
      </w:r>
    </w:p>
    <w:p>
      <w:pPr>
        <w:keepNext/>
        <w:spacing w:after="80" w:before="160"/>
        <w:jc w:val="center"/>
      </w:pPr>
      <w:r>
        <w:rPr>
          <w:b/>
          <w:bCs/>
          <w:sz w:val="19"/>
          <w:szCs w:val="19"/>
        </w:rPr>
        <w:t xml:space="preserve">Table E.</w:t>
      </w:r>
      <w:r>
        <w:rPr>
          <w:sz w:val="19"/>
          <w:szCs w:val="19"/>
        </w:rPr>
        <w:t xml:space="preserve"> Results of configuration 3 (mean over 5 seeds).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977"/>
        <w:gridCol w:w="827"/>
        <w:gridCol w:w="902"/>
        <w:gridCol w:w="977"/>
        <w:gridCol w:w="902"/>
        <w:gridCol w:w="902"/>
        <w:gridCol w:w="982"/>
      </w:tblGrid>
      <w:tr>
        <w:trPr>
          <w:tblHeader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Configuration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RMSE (MW)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σ (MW)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nRMSE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Noise 5 %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Drift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Inference (ms)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Norm. score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PatchTST-CI_P12_L168_H24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9.47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0.089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0.214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0.57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0.9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0.400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PatchTST-CIX_P12_L168_H24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9.11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0.191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0.206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0.3 %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0.61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1.1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0.524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PatchTST-CA_P12_L168_H24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9.39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0.248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0.212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-0.0 %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0.59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2.5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0.172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PatchTST-CAX_P12_L168_H24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9.02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0.097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0.204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0.4 %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0.58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2.9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0.784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PatchTST-CAXg_P12_L168_H24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9.02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0.094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0.204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112.0 %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0.59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2.6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0.788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Persistence D-1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10.39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0.000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0.235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7-day mean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10.82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0.000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0.244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–</w:t>
            </w:r>
          </w:p>
        </w:tc>
      </w:tr>
    </w:tbl>
    <w:p>
      <w:pPr>
        <w:spacing w:after="200" w:before="40"/>
      </w:pPr>
      <w:r>
        <w:rPr>
          <w:i/>
          <w:iCs/>
          <w:sz w:val="17"/>
          <w:szCs w:val="17"/>
        </w:rPr>
        <w:t xml:space="preserve">Highlighted row: selected configuration (PatchTST-CAX_P12_L168_H24). Persistence and 7-day mean: same test origins.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533650"/>
            <wp:effectExtent t="0" r="0" b="0" l="0"/>
            <wp:docPr id="1" name="fig_config3_rosary.png" descr="**Figure Gbis.** Seed rosary and drift — configuration 3." title="**Figure Gbis.** Seed rosary and drift — configuration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Gbis.</w:t>
      </w:r>
      <w:r>
        <w:rPr>
          <w:sz w:val="19"/>
          <w:szCs w:val="19"/>
        </w:rPr>
        <w:t xml:space="preserve"> Seed rosary and drift — configuration 3.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228850"/>
            <wp:effectExtent t="0" r="0" b="0" l="0"/>
            <wp:docPr id="1" name="fig_config3_observed_predicted.png" descr="**Figure Gter.** Observed vs predicted — best model of configuration 3." title="**Figure Gter.** Observed vs predicted — best model of con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Gter.</w:t>
      </w:r>
      <w:r>
        <w:rPr>
          <w:sz w:val="19"/>
          <w:szCs w:val="19"/>
        </w:rPr>
        <w:t xml:space="preserve"> Observed vs predicted — best model of configuration 3.</w:t>
      </w:r>
    </w:p>
    <w:p>
      <w:pPr>
        <w:pStyle w:val="Heading1"/>
        <w:keepNext/>
      </w:pPr>
      <w:r>
        <w:t xml:space="preserve">Step 11 — Configuration 4 — horizon H (notebook 04)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419475" cy="4829175"/>
            <wp:effectExtent t="0" r="0" b="0" l="0"/>
            <wp:docPr id="1" name="flow_config4.png" descr="**Figure H.** Flowchart of configuration 4." title="**Figure H.** Flowchart of configuration 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H.</w:t>
      </w:r>
      <w:r>
        <w:rPr>
          <w:sz w:val="19"/>
          <w:szCs w:val="19"/>
        </w:rPr>
        <w:t xml:space="preserve"> Flowchart of configuration 4.</w:t>
      </w:r>
    </w:p>
    <w:p>
      <w:pPr>
        <w:keepNext/>
        <w:spacing w:after="80" w:before="160"/>
        <w:jc w:val="center"/>
      </w:pPr>
      <w:r>
        <w:rPr>
          <w:b/>
          <w:bCs/>
          <w:sz w:val="19"/>
          <w:szCs w:val="19"/>
        </w:rPr>
        <w:t xml:space="preserve">Table F.</w:t>
      </w:r>
      <w:r>
        <w:rPr>
          <w:sz w:val="19"/>
          <w:szCs w:val="19"/>
        </w:rPr>
        <w:t xml:space="preserve"> Results of configuration 4 (mean over 5 seeds).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977"/>
        <w:gridCol w:w="827"/>
        <w:gridCol w:w="902"/>
        <w:gridCol w:w="977"/>
        <w:gridCol w:w="902"/>
        <w:gridCol w:w="902"/>
        <w:gridCol w:w="982"/>
      </w:tblGrid>
      <w:tr>
        <w:trPr>
          <w:tblHeader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Configuration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RMSE (MW)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σ (MW)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nRMSE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Noise 5 %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Drift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Inference (ms)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Norm. score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PatchTST-CAX_P12_L168_H1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4.93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0.743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0.111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0.3 %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0.58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2.9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0.500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PatchTST-CAX_P12_L168_H6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7.74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0.185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0.175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0.4 %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0.55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2.7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0.569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PatchTST-CAX_P12_L168_H12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8.61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0.055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0.194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0.58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2.6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0.571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PatchTST-CAX_P12_L168_H24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9.02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0.097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0.204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0.4 %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0.58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2.9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0.527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PatchTST-CAX_P12_L168_H168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11.33</w:t>
            </w:r>
          </w:p>
        </w:tc>
        <w:tc>
          <w:tcPr>
            <w:tcW w:type="dxa" w:w="82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0.096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0.256</w:t>
            </w:r>
          </w:p>
        </w:tc>
        <w:tc>
          <w:tcPr>
            <w:tcW w:type="dxa" w:w="9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0.4 %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0.60</w:t>
            </w:r>
          </w:p>
        </w:tc>
        <w:tc>
          <w:tcPr>
            <w:tcW w:type="dxa" w:w="90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3.0</w:t>
            </w:r>
          </w:p>
        </w:tc>
        <w:tc>
          <w:tcPr>
            <w:tcW w:type="dxa" w:w="98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0.382</w:t>
            </w:r>
          </w:p>
        </w:tc>
      </w:tr>
    </w:tbl>
    <w:p>
      <w:pPr>
        <w:spacing w:after="200" w:before="40"/>
      </w:pPr>
      <w:r>
        <w:rPr>
          <w:i/>
          <w:iCs/>
          <w:sz w:val="17"/>
          <w:szCs w:val="17"/>
        </w:rPr>
        <w:t xml:space="preserve">Highlighted row: best score (PatchTST-CAX_P12_L168_H12); the final horizon remains day-ahead (24 h), set by the use case.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514600"/>
            <wp:effectExtent t="0" r="0" b="0" l="0"/>
            <wp:docPr id="1" name="fig_config4_rosary.png" descr="**Figure Hbis.** Seed rosary and drift — configuration 4." title="**Figure Hbis.** Seed rosary and drift — configuration 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Hbis.</w:t>
      </w:r>
      <w:r>
        <w:rPr>
          <w:sz w:val="19"/>
          <w:szCs w:val="19"/>
        </w:rPr>
        <w:t xml:space="preserve"> Seed rosary and drift — configuration 4.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228850"/>
            <wp:effectExtent t="0" r="0" b="0" l="0"/>
            <wp:docPr id="1" name="fig_config4_observed_predicted.png" descr="**Figure Hter.** Observed vs predicted — best model of configuration 4." title="**Figure Hter.** Observed vs predicted — best model of con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Hter.</w:t>
      </w:r>
      <w:r>
        <w:rPr>
          <w:sz w:val="19"/>
          <w:szCs w:val="19"/>
        </w:rPr>
        <w:t xml:space="preserve"> Observed vs predicted — best model of configuration 4.</w:t>
      </w:r>
    </w:p>
    <w:p>
      <w:pPr>
        <w:pStyle w:val="Heading1"/>
        <w:keepNext/>
      </w:pPr>
      <w:r>
        <w:t xml:space="preserve">Step 12 — Final model (notebook 05)</w:t>
      </w:r>
    </w:p>
    <w:p>
      <w:pPr>
        <w:spacing w:after="120" w:line="276"/>
        <w:jc w:val="both"/>
      </w:pPr>
      <w:r>
        <w:t xml:space="preserve">The architecture selected in configurations 1 to 3 is evaluated at the operational day-ahead horizon (24 h). The horizon is not chosen by the score, because comparing horizons means comparing different tasks. Notebook 05 adds: comparison with Ridge and with the univariate PatchTST, a noise-robustness curve, monthly RMSE, a 5-fold TimeSeriesSplit cross-validation, the "capacity index" ablation, explainability, and saving to </w:t>
      </w:r>
      <w:r>
        <w:rPr>
          <w:rFonts w:ascii="Consolas" w:cs="Consolas" w:eastAsia="Consolas" w:hAnsi="Consolas"/>
          <w:sz w:val="20"/>
          <w:szCs w:val="20"/>
        </w:rPr>
        <w:t xml:space="preserve">models/best_patchtst.pt</w:t>
      </w:r>
      <w:r>
        <w:t xml:space="preserve">. The saved seed is chosen on the validation loss, never on the test set.</w:t>
      </w:r>
    </w:p>
    <w:p>
      <w:pPr>
        <w:keepNext/>
        <w:spacing w:after="80" w:before="160"/>
        <w:jc w:val="center"/>
      </w:pPr>
      <w:r>
        <w:rPr>
          <w:b/>
          <w:bCs/>
          <w:sz w:val="19"/>
          <w:szCs w:val="19"/>
        </w:rPr>
        <w:t xml:space="preserve">Table G.</w:t>
      </w:r>
      <w:r>
        <w:rPr>
          <w:sz w:val="19"/>
          <w:szCs w:val="19"/>
        </w:rPr>
        <w:t xml:space="preserve"> Final model vs baselines (day-ahead horizon, full test set).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5"/>
        <w:gridCol w:w="1197"/>
        <w:gridCol w:w="1197"/>
        <w:gridCol w:w="1105"/>
        <w:gridCol w:w="1105"/>
        <w:gridCol w:w="1107"/>
      </w:tblGrid>
      <w:tr>
        <w:trPr>
          <w:tblHeader/>
        </w:trPr>
        <w:tc>
          <w:tcPr>
            <w:tcW w:type="dxa" w:w="331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Model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RMSE (MW)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MAE (MW)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nRMSE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R²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MBE (MW)</w:t>
            </w:r>
          </w:p>
        </w:tc>
      </w:tr>
      <w:tr>
        <w:trPr>
          <w:cantSplit/>
        </w:trPr>
        <w:tc>
          <w:tcPr>
            <w:tcW w:type="dxa" w:w="331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Persistence D-1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10.39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4.97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0.235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0.965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331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7-day mean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10.82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5.31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0.244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0.962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-0.03</w:t>
            </w:r>
          </w:p>
        </w:tc>
      </w:tr>
      <w:tr>
        <w:trPr>
          <w:cantSplit/>
        </w:trPr>
        <w:tc>
          <w:tcPr>
            <w:tcW w:type="dxa" w:w="331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Multi-output Ridge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9.20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4.87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0.208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0.973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-0.69</w:t>
            </w:r>
          </w:p>
        </w:tc>
      </w:tr>
      <w:tr>
        <w:trPr>
          <w:cantSplit/>
        </w:trPr>
        <w:tc>
          <w:tcPr>
            <w:tcW w:type="dxa" w:w="331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PatchTST-CI_P12_L168_H24 (mean 5 seeds)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9.47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5.48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0.214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0.971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0.46</w:t>
            </w:r>
          </w:p>
        </w:tc>
      </w:tr>
      <w:tr>
        <w:trPr>
          <w:cantSplit/>
        </w:trPr>
        <w:tc>
          <w:tcPr>
            <w:tcW w:type="dxa" w:w="331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PatchTST-CAX_P12_L168_H24 (mean 5 seeds)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9.02</w:t>
            </w:r>
          </w:p>
        </w:tc>
        <w:tc>
          <w:tcPr>
            <w:tcW w:type="dxa" w:w="119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5.21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0.204</w:t>
            </w:r>
          </w:p>
        </w:tc>
        <w:tc>
          <w:tcPr>
            <w:tcW w:type="dxa" w:w="11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0.974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-0.01</w:t>
            </w:r>
          </w:p>
        </w:tc>
      </w:tr>
    </w:tbl>
    <w:p>
      <w:pPr>
        <w:spacing w:after="200" w:before="40"/>
      </w:pPr>
      <w:r>
        <w:rPr>
          <w:i/>
          <w:iCs/>
          <w:sz w:val="17"/>
          <w:szCs w:val="17"/>
        </w:rPr>
        <w:t xml:space="preserve">Diebold-Mariano: final model better than persistence (p = 0.003) and than the 7-day mean (p = 0.002); gap with Ridge not significant (p = 0.42).</w:t>
      </w:r>
    </w:p>
    <w:p>
      <w:pPr>
        <w:keepNext/>
        <w:spacing w:after="80" w:before="160"/>
        <w:jc w:val="center"/>
      </w:pPr>
      <w:r>
        <w:rPr>
          <w:b/>
          <w:bCs/>
          <w:sz w:val="19"/>
          <w:szCs w:val="19"/>
        </w:rPr>
        <w:t xml:space="preserve">Table H.</w:t>
      </w:r>
      <w:r>
        <w:rPr>
          <w:sz w:val="19"/>
          <w:szCs w:val="19"/>
        </w:rPr>
        <w:t xml:space="preserve"> TimeSeriesSplit cross-validation (5 folds).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"/>
        <w:gridCol w:w="2210"/>
        <w:gridCol w:w="2763"/>
        <w:gridCol w:w="1013"/>
        <w:gridCol w:w="1289"/>
        <w:gridCol w:w="1107"/>
      </w:tblGrid>
      <w:tr>
        <w:trPr>
          <w:tblHeader/>
        </w:trPr>
        <w:tc>
          <w:tcPr>
            <w:tcW w:type="dxa" w:w="64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Fold</w:t>
            </w:r>
          </w:p>
        </w:tc>
        <w:tc>
          <w:tcPr>
            <w:tcW w:type="dxa" w:w="22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Training</w:t>
            </w:r>
          </w:p>
        </w:tc>
        <w:tc>
          <w:tcPr>
            <w:tcW w:type="dxa" w:w="276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Test</w:t>
            </w:r>
          </w:p>
        </w:tc>
        <w:tc>
          <w:tcPr>
            <w:tcW w:type="dxa" w:w="10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RMSE</w:t>
            </w:r>
          </w:p>
        </w:tc>
        <w:tc>
          <w:tcPr>
            <w:tcW w:type="dxa" w:w="128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RMSE pers.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Gain</w:t>
            </w:r>
          </w:p>
        </w:tc>
      </w:tr>
      <w:tr>
        <w:trPr>
          <w:cantSplit/>
        </w:trPr>
        <w:tc>
          <w:tcPr>
            <w:tcW w:type="dxa" w:w="64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2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2019-01 → 2019-08</w:t>
            </w:r>
          </w:p>
        </w:tc>
        <w:tc>
          <w:tcPr>
            <w:tcW w:type="dxa" w:w="276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2019-09-23 → 2020-06-13</w:t>
            </w:r>
          </w:p>
        </w:tc>
        <w:tc>
          <w:tcPr>
            <w:tcW w:type="dxa" w:w="10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7.67</w:t>
            </w:r>
          </w:p>
        </w:tc>
        <w:tc>
          <w:tcPr>
            <w:tcW w:type="dxa" w:w="128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7.86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2.4 %</w:t>
            </w:r>
          </w:p>
        </w:tc>
      </w:tr>
      <w:tr>
        <w:trPr>
          <w:cantSplit/>
        </w:trPr>
        <w:tc>
          <w:tcPr>
            <w:tcW w:type="dxa" w:w="64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2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2019-01 → 2020-03</w:t>
            </w:r>
          </w:p>
        </w:tc>
        <w:tc>
          <w:tcPr>
            <w:tcW w:type="dxa" w:w="276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2020-06-14 → 2021-03-05</w:t>
            </w:r>
          </w:p>
        </w:tc>
        <w:tc>
          <w:tcPr>
            <w:tcW w:type="dxa" w:w="10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10.18</w:t>
            </w:r>
          </w:p>
        </w:tc>
        <w:tc>
          <w:tcPr>
            <w:tcW w:type="dxa" w:w="128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11.67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12.8 %</w:t>
            </w:r>
          </w:p>
        </w:tc>
      </w:tr>
      <w:tr>
        <w:trPr>
          <w:cantSplit/>
        </w:trPr>
        <w:tc>
          <w:tcPr>
            <w:tcW w:type="dxa" w:w="64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2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2019-01 → 2020-11</w:t>
            </w:r>
          </w:p>
        </w:tc>
        <w:tc>
          <w:tcPr>
            <w:tcW w:type="dxa" w:w="276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2021-03-06 → 2021-11-25</w:t>
            </w:r>
          </w:p>
        </w:tc>
        <w:tc>
          <w:tcPr>
            <w:tcW w:type="dxa" w:w="10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12.09</w:t>
            </w:r>
          </w:p>
        </w:tc>
        <w:tc>
          <w:tcPr>
            <w:tcW w:type="dxa" w:w="128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14.42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16.2 %</w:t>
            </w:r>
          </w:p>
        </w:tc>
      </w:tr>
      <w:tr>
        <w:trPr>
          <w:cantSplit/>
        </w:trPr>
        <w:tc>
          <w:tcPr>
            <w:tcW w:type="dxa" w:w="64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2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2019-01 → 2021-06</w:t>
            </w:r>
          </w:p>
        </w:tc>
        <w:tc>
          <w:tcPr>
            <w:tcW w:type="dxa" w:w="276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2021-11-26 → 2022-08-17</w:t>
            </w:r>
          </w:p>
        </w:tc>
        <w:tc>
          <w:tcPr>
            <w:tcW w:type="dxa" w:w="10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10.86</w:t>
            </w:r>
          </w:p>
        </w:tc>
        <w:tc>
          <w:tcPr>
            <w:tcW w:type="dxa" w:w="128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13.35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18.7 %</w:t>
            </w:r>
          </w:p>
        </w:tc>
      </w:tr>
      <w:tr>
        <w:trPr>
          <w:cantSplit/>
        </w:trPr>
        <w:tc>
          <w:tcPr>
            <w:tcW w:type="dxa" w:w="64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2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2019-01 → 2022-01</w:t>
            </w:r>
          </w:p>
        </w:tc>
        <w:tc>
          <w:tcPr>
            <w:tcW w:type="dxa" w:w="276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2022-08-18 → 2023-05-09</w:t>
            </w:r>
          </w:p>
        </w:tc>
        <w:tc>
          <w:tcPr>
            <w:tcW w:type="dxa" w:w="10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9.94</w:t>
            </w:r>
          </w:p>
        </w:tc>
        <w:tc>
          <w:tcPr>
            <w:tcW w:type="dxa" w:w="128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12.03</w:t>
            </w:r>
          </w:p>
        </w:tc>
        <w:tc>
          <w:tcPr>
            <w:tcW w:type="dxa" w:w="11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17.3 %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762625" cy="2809875"/>
            <wp:effectExtent t="0" r="0" b="0" l="0"/>
            <wp:docPr id="1" name="fig_final_rosary.png" descr="**Figure I.** Rosary of the 5 seeds of the final model and of the univariate PatchTST, with the baselines." title="**Figure I.** Rosary of the 5 seeds of the final model and 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I.</w:t>
      </w:r>
      <w:r>
        <w:rPr>
          <w:sz w:val="19"/>
          <w:szCs w:val="19"/>
        </w:rPr>
        <w:t xml:space="preserve"> Rosary of the 5 seeds of the final model and of the univariate PatchTST, with the baselines.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105025"/>
            <wp:effectExtent t="0" r="0" b="0" l="0"/>
            <wp:docPr id="1" name="fig_final_stability.png" descr="**Figure J.** 30-day rolling forecast without re-training and monthly RMSE over the test set." title="**Figure J.** 30-day rolling forecast without re-training 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J.</w:t>
      </w:r>
      <w:r>
        <w:rPr>
          <w:sz w:val="19"/>
          <w:szCs w:val="19"/>
        </w:rPr>
        <w:t xml:space="preserve"> 30-day rolling forecast without re-training and monthly RMSE over the test set.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1828800"/>
            <wp:effectExtent t="0" r="0" b="0" l="0"/>
            <wp:docPr id="1" name="fig_final_residuals.png" descr="**Figure K.** Residuals of the final model." title="**Figure K.** Residuals of the final mod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K.</w:t>
      </w:r>
      <w:r>
        <w:rPr>
          <w:sz w:val="19"/>
          <w:szCs w:val="19"/>
        </w:rPr>
        <w:t xml:space="preserve"> Residuals of the final model.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076450"/>
            <wp:effectExtent t="0" r="0" b="0" l="0"/>
            <wp:docPr id="1" name="fig_final_xai.png" descr="**Figure L.** Explainability: occlusion, integrated gradients, cross-channel attention." title="**Figure L.** Explainability: occlusion, integrated grad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sz w:val="19"/>
          <w:szCs w:val="19"/>
        </w:rPr>
        <w:t xml:space="preserve">Figure L.</w:t>
      </w:r>
      <w:r>
        <w:rPr>
          <w:sz w:val="19"/>
          <w:szCs w:val="19"/>
        </w:rPr>
        <w:t xml:space="preserve"> Explainability: occlusion, integrated gradients, cross-channel attention.</w:t>
      </w:r>
    </w:p>
    <w:p>
      <w:pPr>
        <w:pStyle w:val="Heading1"/>
        <w:keepNext/>
      </w:pPr>
      <w:r>
        <w:t xml:space="preserve">Step 13 — Quality checks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End-to-end execution of every notebook (</w:t>
      </w:r>
      <w:r>
        <w:rPr>
          <w:rFonts w:ascii="Consolas" w:cs="Consolas" w:eastAsia="Consolas" w:hAnsi="Consolas"/>
          <w:sz w:val="20"/>
          <w:szCs w:val="20"/>
        </w:rPr>
        <w:t xml:space="preserve">nbclient</w:t>
      </w:r>
      <w:r>
        <w:t xml:space="preserve">), with embedded outputs and figures.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Anti-leakage assertions: order of the segments, normalisation on Train, forbidden columns absent.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Reloading </w:t>
      </w:r>
      <w:r>
        <w:rPr>
          <w:rFonts w:ascii="Consolas" w:cs="Consolas" w:eastAsia="Consolas" w:hAnsi="Consolas"/>
          <w:sz w:val="20"/>
          <w:szCs w:val="20"/>
        </w:rPr>
        <w:t xml:space="preserve">best_patchtst.pt</w:t>
      </w:r>
      <w:r>
        <w:t xml:space="preserve"> and checking identical forecasts.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Tables of the paper regenerated from the cached forecasts (no number typed by hand).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8C8D"/>
        <w:sz w:val="16"/>
        <w:szCs w:val="16"/>
      </w:rPr>
      <w:t xml:space="preserve">Method — PatchTST total PV SENELEC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imes New Roman" w:cs="Times New Roman" w:eastAsia="Times New Roman" w:hAnsi="Times New Roman"/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0a56ab7d2d13ef2d2a24602a5da56e5eb65e46.png"/><Relationship Id="rId10" Type="http://schemas.openxmlformats.org/officeDocument/2006/relationships/image" Target="media/8e36bcffbbe7e06c9adfd68be40774c17e3f104d.png"/><Relationship Id="rId11" Type="http://schemas.openxmlformats.org/officeDocument/2006/relationships/image" Target="media/d1274cd6f1f4b7cf31ff4dc2d6d4b5423e2862aa.png"/><Relationship Id="rId12" Type="http://schemas.openxmlformats.org/officeDocument/2006/relationships/image" Target="media/88473f251d3cbb9f699580b15ec8650e3c9e84b9.png"/><Relationship Id="rId13" Type="http://schemas.openxmlformats.org/officeDocument/2006/relationships/image" Target="media/ca2dfc0bce520475ef5803ef528c0de1be8c3a5f.png"/><Relationship Id="rId14" Type="http://schemas.openxmlformats.org/officeDocument/2006/relationships/image" Target="media/367952b322baefd7d4a0d26eb5cf5ef599a90ec4.png"/><Relationship Id="rId15" Type="http://schemas.openxmlformats.org/officeDocument/2006/relationships/image" Target="media/31e207b2db22135ef5b180d22d0532ae318242b0.png"/><Relationship Id="rId16" Type="http://schemas.openxmlformats.org/officeDocument/2006/relationships/image" Target="media/dae17c4cd2cb6e6c60d8ac07848fd608358bef60.png"/><Relationship Id="rId17" Type="http://schemas.openxmlformats.org/officeDocument/2006/relationships/image" Target="media/3c316654c5a23d05a618985a7bc1fb651f46b82c.png"/><Relationship Id="rId18" Type="http://schemas.openxmlformats.org/officeDocument/2006/relationships/image" Target="media/7fb2e8db87ad0bbb36577ce174c7dce47ea73afa.png"/><Relationship Id="rId19" Type="http://schemas.openxmlformats.org/officeDocument/2006/relationships/image" Target="media/5afb8b938719bd6d5cfc161ea8875ce1b3fa9ae0.png"/><Relationship Id="rId20" Type="http://schemas.openxmlformats.org/officeDocument/2006/relationships/image" Target="media/fa54c8928c1eea48e9ea5826ba2d9bab8e48a826.png"/><Relationship Id="rId21" Type="http://schemas.openxmlformats.org/officeDocument/2006/relationships/image" Target="media/86f06fea62acdf874c584ad438f20c7142592705.png"/><Relationship Id="rId22" Type="http://schemas.openxmlformats.org/officeDocument/2006/relationships/image" Target="media/9fd7fb650044d841d3fb1f71957f7d940bafef99.png"/><Relationship Id="rId23" Type="http://schemas.openxmlformats.org/officeDocument/2006/relationships/image" Target="media/80bff16af50e51b44964127eb4d1495b658a934d.png"/><Relationship Id="rId24" Type="http://schemas.openxmlformats.org/officeDocument/2006/relationships/image" Target="media/d7a41a2d1847f7a3bb08959f9baf64c05439d703.png"/><Relationship Id="rId25" Type="http://schemas.openxmlformats.org/officeDocument/2006/relationships/image" Target="media/ffde5b27bd1aa89bb36ef424206eb5ee844da6dd.png"/><Relationship Id="rId26" Type="http://schemas.openxmlformats.org/officeDocument/2006/relationships/image" Target="media/cbdb3fda7f6254852e87c3eae34229f2c251d46e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Step-by-step method</dc:title>
  <dc:creator>Abdoulaye FAYE — UADB / EDTSS</dc:creator>
  <cp:lastModifiedBy>Un-named</cp:lastModifiedBy>
  <cp:revision>1</cp:revision>
  <dcterms:created xsi:type="dcterms:W3CDTF">2026-10-02T10:54:32.882Z</dcterms:created>
  <dcterms:modified xsi:type="dcterms:W3CDTF">2026-10-02T10:54:32.890Z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