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Vem genomför de beslut som fattas?</w:t>
      </w:r>
    </w:p>
    <w:p>
      <w:r>
        <w:t xml:space="preserve">Nästan aldrig de som fattade dem. Riksdagen stiftar lagar och beslutar om budgeten, och regeringen styr. Men det är myndigheter, kommuner och regioner som gör det mesta av arbetet. Skola, vård, äldreomsorg, bostadsplanering och kollektivtrafik ligger till stor del hos kommuner och regioner, som har egna folkvalda och egen beskattningsrätt.</w:t>
      </w:r>
    </w:p>
    <w:p>
      <w:r>
        <w:t xml:space="preserve">Statens myndigheter är självständiga. Ingen minister får bestämma hur en myndighet ska besluta i ett enskilt fall. Det skyddar mot godtycke, men det gör också kedjan från beslut till verklighet lång.</w:t>
      </w:r>
    </w:p>
    <w:p>
      <w:pPr>
        <w:pStyle w:val="Heading2"/>
      </w:pPr>
      <w:r>
        <w:rPr>
          <w:b/>
        </w:rPr>
        <w:t xml:space="preserve">Varför blir besluten inte alltid som det var tänkt?</w:t>
      </w:r>
    </w:p>
    <w:p>
      <w:r>
        <w:t xml:space="preserve">Därför att varje led tolkar, prioriterar och anpassar. En lag kan vara tydlig i riksdagen och otydlig i en kommun med ont om pengar. Ett mål kan krocka med ett annat mål hos samma myndighet. Och verkligheten ändras medan besluten genomförs.</w:t>
      </w:r>
    </w:p>
    <w:p>
      <w:r>
        <w:t xml:space="preserve">Det är inte konstigt, och det är inte alltid fel. Lokal anpassning är ofta en styrka. Men det betyder att ett beslut behöver följas hela vägen, inte bara fattas.</w:t>
      </w:r>
    </w:p>
    <w:p>
      <w:pPr>
        <w:pStyle w:val="Heading2"/>
      </w:pPr>
      <w:r>
        <w:rPr>
          <w:b/>
        </w:rPr>
        <w:t xml:space="preserve">Varför faller helheten mellan stolarna?</w:t>
      </w:r>
    </w:p>
    <w:p>
      <w:r>
        <w:t xml:space="preserve">Därför att ansvaret är uppdelat i sektorer. Trafikverket bygger vägar, Naturvårdsverket skyddar naturen och kommunerna planerar bostäder. Var och en kan göra ett gott jobb inom sitt område och ändå bidra till ett resultat som ingen ville ha.</w:t>
      </w:r>
    </w:p>
    <w:p>
      <w:r>
        <w:t xml:space="preserve">En ny väg kan till exempel vara lönsam enligt Trafikverkets kalkyler, öka biltrafiken och därmed försvåra klimatmålet, och samtidigt styra var kommunen bygger. Ingen fattade ett felaktigt beslut, men ingen ansvarade för helheten. Det kallas ibland</w:t>
      </w:r>
      <w:r>
        <w:t xml:space="preserve"> </w:t>
      </w:r>
      <w:r>
        <w:rPr>
          <w:b/>
        </w:rPr>
        <w:t xml:space="preserve">stuprörsstyrning</w:t>
      </w:r>
      <w:r>
        <w:t xml:space="preserve">: varje område styrs uppifrån och ned, men inget styr det som händer mellan dem.</w:t>
      </w:r>
    </w:p>
    <w:p>
      <w:pPr>
        <w:pStyle w:val="Heading2"/>
      </w:pPr>
      <w:r>
        <w:rPr>
          <w:b/>
        </w:rPr>
        <w:t xml:space="preserve">Vad mäter staten för att se om det går bra?</w:t>
      </w:r>
    </w:p>
    <w:p>
      <w:r>
        <w:t xml:space="preserve">Mest ekonomin. BNP, sysselsättning och statsfinanser följs noga och styr mycket av debatten. Sedan 2017 redovisar regeringen också femton nya mått på välfärd i vårpropositionen: fem ekonomiska, fem miljömässiga och fem sociala, till exempel utsläpp av växthusgaser, tillit och livstillfredsställelse.</w:t>
      </w:r>
    </w:p>
    <w:p>
      <w:r>
        <w:t xml:space="preserve">Det är ett steg, men de nya måtten har liten plats jämfört med BNP. De redovisas, men de styr sällan budgeten. Det som mäts men inte används påverkar lite.</w:t>
      </w:r>
    </w:p>
    <w:p>
      <w:pPr>
        <w:pStyle w:val="Heading2"/>
      </w:pPr>
      <w:r>
        <w:rPr>
          <w:b/>
        </w:rPr>
        <w:t xml:space="preserve">Hur vet vi om ett beslut fungerade?</w:t>
      </w:r>
    </w:p>
    <w:p>
      <w:r>
        <w:t xml:space="preserve">Ofta vet vi inte. Riksrevisionen granskar statens verksamhet, och myndigheterna följer upp sina uppdrag. Men uppföljningen gäller oftast om pengarna har använts rätt och om aktiviteterna har genomförts. Mer sällan frågar man vad som faktiskt förändrades, för vilka och med vilka följder för andra delar av samhället.</w:t>
      </w:r>
    </w:p>
    <w:p>
      <w:r>
        <w:t xml:space="preserve">Ett lärande system behöver kunna säga: det här fungerade inte, vi ändrar kurs. Det är svårt i politiken, där ett erkänt misslyckande lätt blir ett vapen för motståndaren. Därför behövs uppföljning som är oberoende och som görs mot målen, inte mot hur mycket som har gjorts.</w:t>
      </w:r>
    </w:p>
    <w:p>
      <w:pPr>
        <w:pStyle w:val="Heading2"/>
      </w:pPr>
      <w:r>
        <w:rPr>
          <w:b/>
        </w:rPr>
        <w:t xml:space="preserve">Blir det inte planekonomi om staten ska styra mot en helhet?</w:t>
      </w:r>
    </w:p>
    <w:p>
      <w:r>
        <w:t xml:space="preserve">Nej, och det är viktigt att säga tydligt. Invändningen bygger på en verklig erfarenhet. Planekonomierna i Östeuropa försökte styra allt från ett centrum och misslyckades, både ekonomiskt och miljömässigt.</w:t>
      </w:r>
    </w:p>
    <w:p>
      <w:r>
        <w:t xml:space="preserve">Att styra mot en helhet betyder något annat: att ha gemensamma mål, mäta om man närmar sig dem och se till att olika beslut inte motverkar varandra. Klimatramverket är ett exempel. Riksdagen har satt målet, regeringen redovisar vägen och ett oberoende råd granskar, men det är fortfarande företag, kommuner och hushåll som bestämmer hur. Styrning mot en helhet handlar om riktning, inte om detaljer.</w:t>
      </w:r>
    </w:p>
    <w:p>
      <w:pPr>
        <w:pStyle w:val="Heading2"/>
      </w:pPr>
      <w:r>
        <w:rPr>
          <w:b/>
        </w:rPr>
        <w:t xml:space="preserve">Så vad är egentligen svaret?</w:t>
      </w:r>
    </w:p>
    <w:p>
      <w:r>
        <w:t xml:space="preserve">Ett beslut i riksdagen är början, inte slutet. Kedjan till verkligheten är lång, ansvaret är uppdelat och det som mäts mest är ekonomin. Därför faller helheten lätt mellan stolarna.</w:t>
      </w:r>
    </w:p>
    <w:p>
      <w:r>
        <w:t xml:space="preserve">Det som behövs är inte mer central styrning, utan gemensamma mål, bredare mått och uppföljning som visar om vi rör oss åt rätt håll. Då kan alla göra sitt inom sitt område och ändå dra åt samma håll.</w:t>
      </w:r>
    </w:p>
    <w:p>
      <w:r>
        <w:rPr>
          <w:b/>
        </w:rPr>
        <w:t xml:space="preserve">Frågan är inte hur många beslut som fattas, utan om de tillsammans tar oss dit vi vill.</w:t>
      </w:r>
    </w:p>
    <w:p>
      <w:pPr>
        <w:pStyle w:val="Heading2"/>
      </w:pPr>
      <w:r>
        <w:rPr>
          <w:b/>
        </w:rPr>
        <w:t xml:space="preserve">Kopplingar till andra delar av samhället</w:t>
      </w:r>
    </w:p>
    <w:p>
      <w:pPr>
        <w:pStyle w:val="ListParagraph"/>
        <w:numPr>
          <w:ilvl w:val="0"/>
          <w:numId w:val="1"/>
        </w:numPr>
      </w:pPr>
      <w:hyperlink r:id="rId3">
        <w:r>
          <w:rPr>
            <w:rStyle w:val="Hyperlink"/>
          </w:rPr>
          <w:t xml:space="preserve">Politik och förändring – Ekonomiska systemet</w:t>
        </w:r>
      </w:hyperlink>
    </w:p>
    <w:p>
      <w:pPr>
        <w:pStyle w:val="ListParagraph"/>
        <w:numPr>
          <w:ilvl w:val="0"/>
          <w:numId w:val="1"/>
        </w:numPr>
      </w:pPr>
      <w:hyperlink r:id="rId4">
        <w:r>
          <w:rPr>
            <w:rStyle w:val="Hyperlink"/>
          </w:rPr>
          <w:t xml:space="preserve">Tillväxt och utveckling – Ekonomiska systemet</w:t>
        </w:r>
      </w:hyperlink>
    </w:p>
    <w:p>
      <w:pPr>
        <w:pStyle w:val="ListParagraph"/>
        <w:numPr>
          <w:ilvl w:val="0"/>
          <w:numId w:val="1"/>
        </w:numPr>
      </w:pPr>
      <w:hyperlink r:id="rId5">
        <w:r>
          <w:rPr>
            <w:rStyle w:val="Hyperlink"/>
          </w:rPr>
          <w:t xml:space="preserve">Omställning o möjligheter – Ekologiska systemet</w:t>
        </w:r>
      </w:hyperlink>
    </w:p>
    <w:p>
      <w:pPr>
        <w:pStyle w:val="Heading2"/>
      </w:pPr>
      <w:r>
        <w:rPr>
          <w:b/>
        </w:rPr>
        <w:t xml:space="preserve">Externa källor</w:t>
      </w:r>
    </w:p>
    <w:p>
      <w:pPr>
        <w:pStyle w:val="ListParagraph"/>
        <w:numPr>
          <w:ilvl w:val="0"/>
          <w:numId w:val="1"/>
        </w:numPr>
      </w:pPr>
      <w:hyperlink r:id="rId6">
        <w:r>
          <w:rPr>
            <w:rStyle w:val="Hyperlink"/>
          </w:rPr>
          <w:t xml:space="preserve">Regeringsformen, 12 kap. 2 § (lagen.nu)</w:t>
        </w:r>
      </w:hyperlink>
    </w:p>
    <w:p>
      <w:pPr>
        <w:pStyle w:val="ListParagraph"/>
        <w:numPr>
          <w:ilvl w:val="0"/>
          <w:numId w:val="1"/>
        </w:numPr>
      </w:pPr>
      <w:hyperlink r:id="rId7">
        <w:r>
          <w:rPr>
            <w:rStyle w:val="Hyperlink"/>
          </w:rPr>
          <w:t xml:space="preserve">Riksdagen, 2017 års ekonomiska vårproposition (Nya mått på välfärd)</w:t>
        </w:r>
      </w:hyperlink>
    </w:p>
    <w:p>
      <w:pPr>
        <w:pStyle w:val="ListParagraph"/>
        <w:numPr>
          <w:ilvl w:val="0"/>
          <w:numId w:val="1"/>
        </w:numPr>
      </w:pPr>
      <w:hyperlink r:id="rId8">
        <w:r>
          <w:rPr>
            <w:rStyle w:val="Hyperlink"/>
          </w:rPr>
          <w:t xml:space="preserve">Naturvårdsverket, Sveriges klimatmål och klimatpolitiska ramverk</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L4QH64kSVHpkGdbIWnHGs_YDm2Jclg7N/edit" TargetMode="External"/><Relationship Id="rId4" Type="http://schemas.openxmlformats.org/officeDocument/2006/relationships/hyperlink" Target="https://sites.google.com/d/14QVbFQiJRCtYD7ZtGj_vXc7KmXcKbV-A/p/1ypMy1rGUb4x3mUzzTUb4as8fIIjmku_A/edit" TargetMode="External"/><Relationship Id="rId5" Type="http://schemas.openxmlformats.org/officeDocument/2006/relationships/hyperlink" Target="https://sites.google.com/d/14QVbFQiJRCtYD7ZtGj_vXc7KmXcKbV-A/p/1kr-Ws5GbMIewLrsyeEMl_FRY9JDaYssH/edit" TargetMode="External"/><Relationship Id="rId6" Type="http://schemas.openxmlformats.org/officeDocument/2006/relationships/hyperlink" Target="https://lagen.nu/1974:152" TargetMode="External"/><Relationship Id="rId7" Type="http://schemas.openxmlformats.org/officeDocument/2006/relationships/hyperlink" Target="https://www.riksdagen.se/sv/dokument-och-lagar/dokument/proposition/2017-ars-ekonomiska-varproposition_h403100/html/" TargetMode="External"/><Relationship Id="rId8" Type="http://schemas.openxmlformats.org/officeDocument/2006/relationships/hyperlink" Target="https://www.naturvardsverket.se/amnesomraden/klimatomstallningen/sveriges-klimatarbete/sveriges-klimatmal-och-klimatpolitiska-ramverk/" TargetMode="External"/></Relationships>
</file>