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har vissa människor mycket mer pengar än andra?</w:t>
      </w:r>
    </w:p>
    <w:p>
      <w:r>
        <w:t xml:space="preserve">Därför att skillnader i inkomst och ägande förstärker varandra över tid. Inkomster från arbete skiljer sig åt, men ägande av företag, bostäder, mark och finansiella tillgångar påverkar människors ekonomiska situation ännu mer.</w:t>
      </w:r>
    </w:p>
    <w:p>
      <w:r>
        <w:t xml:space="preserve">Den som redan äger tillgångar får inkomster från dem och har lättare att spara och investera. Därför är förmögenheter mer ojämnt fördelade än inkomster. I världen som helhet äger den rikaste tiondelen omkring 76 procent av alla förmögenheter, medan den fattigaste hälften äger 2 procent.</w:t>
      </w:r>
    </w:p>
    <w:p>
      <w:r>
        <w:t xml:space="preserve">Ekonomiska skillnader handlar alltså inte bara om vad människor tjänar just nu, utan också om vilka resurser de har tillgång till och kan bygga vidare på.</w:t>
      </w:r>
    </w:p>
    <w:p>
      <w:pPr>
        <w:pStyle w:val="Heading2"/>
      </w:pPr>
      <w:r>
        <w:rPr>
          <w:b/>
        </w:rPr>
        <w:t xml:space="preserve">Varför påverkar pengar människors möjligheter så olika?</w:t>
      </w:r>
    </w:p>
    <w:p>
      <w:r>
        <w:t xml:space="preserve">Därför att ekonomiska marginaler ger handlingsutrymme. Den som har marginaler kan lättare hantera oväntade utgifter, utbilda sig, byta arbete, starta verksamhet eller investera.</w:t>
      </w:r>
    </w:p>
    <w:p>
      <w:r>
        <w:t xml:space="preserve">Den som har små marginaler behöver i stället prioritera det mest nödvändiga och får mindre utrymme att agera långsiktigt.</w:t>
      </w:r>
    </w:p>
    <w:p>
      <w:r>
        <w:t xml:space="preserve">Skillnader i resurser blir därmed skillnader i människors faktiska möjligheter att forma sina liv.</w:t>
      </w:r>
    </w:p>
    <w:p>
      <w:pPr>
        <w:pStyle w:val="Heading2"/>
      </w:pPr>
      <w:r>
        <w:rPr>
          <w:b/>
        </w:rPr>
        <w:t xml:space="preserve">Hur påverkar ägande samhällsutvecklingen?</w:t>
      </w:r>
    </w:p>
    <w:p>
      <w:r>
        <w:t xml:space="preserve">Ägande ger kontroll över resurser och därmed inflytande över hur de används. Den som äger företag, kapital eller andra betydelsefulla tillgångar kan påverka investeringar, produktion och ekonomisk utveckling.</w:t>
      </w:r>
    </w:p>
    <w:p>
      <w:r>
        <w:t xml:space="preserve">Ägande kan vara spritt mellan många människor eller koncentrerat till ett mindre antal aktörer. Hur ägandet är fördelat påverkar därmed också var den ekonomiska makten finns.</w:t>
      </w:r>
    </w:p>
    <w:p>
      <w:r>
        <w:t xml:space="preserve">Ägande är därför inte bara en ekonomisk fråga. Det handlar också om inflytande och ansvar för hur resurser används. Vem som bör äga det alla är beroende av tas upp på sidan</w:t>
      </w:r>
      <w:r>
        <w:t xml:space="preserve"> </w:t>
      </w:r>
      <w:hyperlink r:id="rId3">
        <w:r>
          <w:rPr>
            <w:rStyle w:val="Hyperlink"/>
          </w:rPr>
          <w:t xml:space="preserve">Ägande o grundtrygghet</w:t>
        </w:r>
      </w:hyperlink>
      <w:r>
        <w:t xml:space="preserve">.</w:t>
      </w:r>
    </w:p>
    <w:p>
      <w:pPr>
        <w:pStyle w:val="Heading2"/>
      </w:pPr>
      <w:r>
        <w:rPr>
          <w:b/>
        </w:rPr>
        <w:t xml:space="preserve">Hur koncentreras ekonomisk makt?</w:t>
      </w:r>
    </w:p>
    <w:p>
      <w:r>
        <w:t xml:space="preserve">Genom att ägande, kapital eller kontroll över viktiga resurser samlas hos ett begränsat antal aktörer. Den som kontrollerar stora ekonomiska resurser får större möjlighet att påverka investeringar, företag och andra beslut.</w:t>
      </w:r>
    </w:p>
    <w:p>
      <w:r>
        <w:t xml:space="preserve">Makt kan också förstärkas genom att ekonomiska resurser ger tillgång till nätverk, kunskap och positioner som i sin tur gör det lättare att påverka utvecklingen.</w:t>
      </w:r>
    </w:p>
    <w:p>
      <w:r>
        <w:t xml:space="preserve">Konkurrens brukar beskrivas som motsatsen till maktkoncentration. Den pressar priser och driver fram nya lösningar, och det är tillväxtanhängarnas starka argument. Men konkurrens har också vinnare, och vinnarna kan bli så stora att de köper upp eller slår ut sina konkurrenter. De största vinnarna är i dag multinationella koncerner med dotterbolag i många länder, vilket gör dem svåra både att beskatta och att styra för ett enskilt land. År 2022 flyttades omkring 35 procent av de multinationella företagens utlandsvinster till skatteparadis, enligt EU:s skatteobservatorium. Det motsvarar nästan tio procent av världens bolagsskatteintäkter. Länderna enades 2021 om en global minimiskatt på 15 procent, men i januari 2026 gick de med på att undanta amerikanska koncerner från viktiga delar av den.</w:t>
      </w:r>
    </w:p>
    <w:p>
      <w:r>
        <w:t xml:space="preserve">Koncentration behöver inte innebära att någon formellt bestämmer över hela ekonomin. Det kan räcka att vissa aktörer får betydligt större möjlighet att påverka än andra.</w:t>
      </w:r>
    </w:p>
    <w:p>
      <w:pPr>
        <w:pStyle w:val="Heading2"/>
      </w:pPr>
      <w:r>
        <w:rPr>
          <w:b/>
        </w:rPr>
        <w:t xml:space="preserve">Vem bestämmer egentligen över ekonomin?</w:t>
      </w:r>
    </w:p>
    <w:p>
      <w:r>
        <w:t xml:space="preserve">Ingen enskild aktör. Ekonomin formas genom många beslut och relationer mellan hushåll, företag, banker, offentlig sektor och andra organisationer.</w:t>
      </w:r>
    </w:p>
    <w:p>
      <w:r>
        <w:t xml:space="preserve">Samtidigt har aktörerna olika mycket makt. Ägande, kapital, politiska mandat, kunskap och kontroll över viktiga resurser ger olika möjligheter att påverka.</w:t>
      </w:r>
    </w:p>
    <w:p>
      <w:r>
        <w:t xml:space="preserve">Ekonomin formas därför både av miljontals vardagliga beslut och av beslut från aktörer med stort ekonomiskt eller politiskt inflytande.</w:t>
      </w:r>
    </w:p>
    <w:p>
      <w:pPr>
        <w:pStyle w:val="Heading2"/>
      </w:pPr>
      <w:r>
        <w:rPr>
          <w:b/>
        </w:rPr>
        <w:t xml:space="preserve">Vem tjänar på att ekonomin växer?</w:t>
      </w:r>
    </w:p>
    <w:p>
      <w:r>
        <w:t xml:space="preserve">Inte alla lika mycket. Ekonomisk tillväxt kan ge ökade inkomster och skapa möjligheter till investeringar och utveckling, men vinsterna fördelas inte automatiskt lika.</w:t>
      </w:r>
    </w:p>
    <w:p>
      <w:r>
        <w:t xml:space="preserve">Vem som får del av ökade resurser påverkas bland annat av löner, ägande, skatter, investeringar och hur ekonomins institutioner är utformade. Tillväxt kan därför skapa mer resurser samtidigt som skillnaderna mellan människor består eller ökar.</w:t>
      </w:r>
    </w:p>
    <w:p>
      <w:r>
        <w:t xml:space="preserve">Fördelningen påverkar också naturen. Den rikaste tiondelen av världens befolkning stod 2019 för ungefär hälften av alla utsläpp från konsumtion, och den rikaste procenten för 16 procent. Frågan om tillväxt kan alltså inte skiljas från frågan om hur det som skapas fördelas, och vem som orsakar belastningen.</w:t>
      </w:r>
    </w:p>
    <w:p>
      <w:pPr>
        <w:pStyle w:val="Heading2"/>
      </w:pPr>
      <w:r>
        <w:rPr>
          <w:b/>
        </w:rPr>
        <w:t xml:space="preserve">Hur påverkar ekonomisk makt demokratin?</w:t>
      </w:r>
    </w:p>
    <w:p>
      <w:r>
        <w:t xml:space="preserve">Stora ekonomiska resurser kan ge större möjligheter att påverka samhällsutvecklingen, till exempel investeringar, opinionsbildning och andra delar av samhällslivet.</w:t>
      </w:r>
    </w:p>
    <w:p>
      <w:r>
        <w:t xml:space="preserve">Demokratin bygger samtidigt på principen att människor ska ha lika möjlighet att påverka gemensamma beslut. Om ekonomiska resurser blir mycket ojämnt fördelade uppstår därför en spänning mellan ekonomisk makt och demokratisk makt.</w:t>
      </w:r>
    </w:p>
    <w:p>
      <w:r>
        <w:t xml:space="preserve">Ett hållbart samhälle behöver kunna hantera den spänningen genom tydliga regler, öppenhet, ansvar och möjligheter till demokratiskt inflytande.</w:t>
      </w:r>
    </w:p>
    <w:p>
      <w:pPr>
        <w:pStyle w:val="Heading2"/>
      </w:pPr>
      <w:r>
        <w:rPr>
          <w:b/>
        </w:rPr>
        <w:t xml:space="preserve">Så vad är egentligen svaret?</w:t>
      </w:r>
    </w:p>
    <w:p>
      <w:r>
        <w:t xml:space="preserve">Ekonomisk makt följer i hög grad tillgången till resurser, ägande och kapital. Därför är fördelningen av ekonomiska resurser också en fördelning av möjligheter och inflytande.</w:t>
      </w:r>
    </w:p>
    <w:p>
      <w:r>
        <w:t xml:space="preserve">Det betyder inte att alla ekonomiska skillnader är ett problem. Den centrala frågan är om skillnaderna blir så stora att människors handlingsutrymme och möjligheter att påverka samhället skiljer sig kraftigt åt.</w:t>
      </w:r>
    </w:p>
    <w:p>
      <w:r>
        <w:t xml:space="preserve">Ett hållbart ekonomiskt system behöver därför inte bara skapa resurser. Det behöver också hantera hur resurser, makt och ansvar fördelas, så att ekonomin kan fungera tillsammans med det demokratiska och sociala systemet.</w:t>
      </w:r>
    </w:p>
    <w:p>
      <w:r>
        <w:rPr>
          <w:b/>
        </w:rPr>
        <w:t xml:space="preserve">Frågan är alltså inte bara hur mycket ekonomin skapar, utan vem som får påverka vad som skapas och hur resurserna används.</w:t>
      </w:r>
    </w:p>
    <w:p>
      <w:pPr>
        <w:pStyle w:val="Heading2"/>
      </w:pPr>
      <w:r>
        <w:rPr>
          <w:b/>
        </w:rPr>
        <w:t xml:space="preserve">Kopplingar till andra delar av samhället</w:t>
      </w:r>
    </w:p>
    <w:p>
      <w:pPr>
        <w:pStyle w:val="ListParagraph"/>
        <w:numPr>
          <w:ilvl w:val="0"/>
          <w:numId w:val="1"/>
        </w:numPr>
      </w:pPr>
      <w:hyperlink r:id="rId5">
        <w:r>
          <w:rPr>
            <w:rStyle w:val="Hyperlink"/>
          </w:rPr>
          <w:t xml:space="preserve">Människans fotavtryck – Ekologiska systemet</w:t>
        </w:r>
      </w:hyperlink>
    </w:p>
    <w:p>
      <w:pPr>
        <w:pStyle w:val="ListParagraph"/>
        <w:numPr>
          <w:ilvl w:val="0"/>
          <w:numId w:val="1"/>
        </w:numPr>
      </w:pPr>
      <w:hyperlink r:id="rId6">
        <w:r>
          <w:rPr>
            <w:rStyle w:val="Hyperlink"/>
          </w:rPr>
          <w:t xml:space="preserve">Resurser o material – Ekologiska systemet</w:t>
        </w:r>
      </w:hyperlink>
    </w:p>
    <w:p>
      <w:pPr>
        <w:pStyle w:val="ListParagraph"/>
        <w:numPr>
          <w:ilvl w:val="0"/>
          <w:numId w:val="1"/>
        </w:numPr>
      </w:pPr>
      <w:hyperlink r:id="rId7">
        <w:r>
          <w:rPr>
            <w:rStyle w:val="Hyperlink"/>
          </w:rPr>
          <w:t xml:space="preserve">Makt och maktbalans – Demokratiska systemet</w:t>
        </w:r>
      </w:hyperlink>
    </w:p>
    <w:p>
      <w:pPr>
        <w:pStyle w:val="ListParagraph"/>
        <w:numPr>
          <w:ilvl w:val="0"/>
          <w:numId w:val="1"/>
        </w:numPr>
      </w:pPr>
      <w:hyperlink r:id="rId8">
        <w:r>
          <w:rPr>
            <w:rStyle w:val="Hyperlink"/>
          </w:rPr>
          <w:t xml:space="preserve">Spänningar och konflikter – Sociala o kulturella systemet</w:t>
        </w:r>
      </w:hyperlink>
    </w:p>
    <w:p>
      <w:pPr>
        <w:pStyle w:val="ListParagraph"/>
        <w:numPr>
          <w:ilvl w:val="0"/>
          <w:numId w:val="1"/>
        </w:numPr>
      </w:pPr>
      <w:hyperlink r:id="rId9">
        <w:r>
          <w:rPr>
            <w:rStyle w:val="Hyperlink"/>
          </w:rPr>
          <w:t xml:space="preserve">Tillit o gemenskap – Sociala o kulturella systemet</w:t>
        </w:r>
      </w:hyperlink>
    </w:p>
    <w:p>
      <w:pPr>
        <w:pStyle w:val="Heading2"/>
      </w:pPr>
      <w:r>
        <w:rPr>
          <w:b/>
        </w:rPr>
        <w:t xml:space="preserve">Externa källor</w:t>
      </w:r>
    </w:p>
    <w:p>
      <w:pPr>
        <w:pStyle w:val="ListParagraph"/>
        <w:numPr>
          <w:ilvl w:val="0"/>
          <w:numId w:val="1"/>
        </w:numPr>
      </w:pPr>
      <w:hyperlink r:id="rId10">
        <w:r>
          <w:rPr>
            <w:rStyle w:val="Hyperlink"/>
          </w:rPr>
          <w:t xml:space="preserve">Chancel m.fl., World Inequality Report (2022)</w:t>
        </w:r>
      </w:hyperlink>
    </w:p>
    <w:p>
      <w:pPr>
        <w:pStyle w:val="ListParagraph"/>
        <w:numPr>
          <w:ilvl w:val="0"/>
          <w:numId w:val="1"/>
        </w:numPr>
      </w:pPr>
      <w:hyperlink r:id="rId11">
        <w:r>
          <w:rPr>
            <w:rStyle w:val="Hyperlink"/>
          </w:rPr>
          <w:t xml:space="preserve">Oxfam och SEI, Climate Equality: A Planet for the 99% (2023)</w:t>
        </w:r>
      </w:hyperlink>
    </w:p>
    <w:p>
      <w:pPr>
        <w:pStyle w:val="ListParagraph"/>
        <w:numPr>
          <w:ilvl w:val="0"/>
          <w:numId w:val="1"/>
        </w:numPr>
      </w:pPr>
      <w:hyperlink r:id="rId12">
        <w:r>
          <w:rPr>
            <w:rStyle w:val="Hyperlink"/>
          </w:rPr>
          <w:t xml:space="preserve">EU Tax Observatory, Global Tax Evasion Report 2024 (refererad i The Nassau Guardian, 2023)</w:t>
        </w:r>
      </w:hyperlink>
    </w:p>
    <w:p>
      <w:pPr>
        <w:pStyle w:val="ListParagraph"/>
        <w:numPr>
          <w:ilvl w:val="0"/>
          <w:numId w:val="1"/>
        </w:numPr>
      </w:pPr>
      <w:hyperlink r:id="rId13">
        <w:r>
          <w:rPr>
            <w:rStyle w:val="Hyperlink"/>
          </w:rPr>
          <w:t xml:space="preserve">Bloomberg Tax, Countries agree to carve out US business from global minimum tax (2026)</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fdCPqyCEdPfHo2kjkP-sW8t7LI3hhwjI/edit" TargetMode="External"/><Relationship Id="rId4" Type="http://schemas.openxmlformats.org/officeDocument/2006/relationships/hyperlink" Target="https://sites.google.com/d/14QVbFQiJRCtYD7ZtGj_vXc7KmXcKbV-A/p/1fdCPqyCEdPfHo2kjkP-sW8t7LI3hhwjI/edit" TargetMode="External"/><Relationship Id="rId5" Type="http://schemas.openxmlformats.org/officeDocument/2006/relationships/hyperlink" Target="https://sites.google.com/d/14QVbFQiJRCtYD7ZtGj_vXc7KmXcKbV-A/p/1Uj0evxW7g-LzhsuofaQd30cac5-6wuPW/edit" TargetMode="External"/><Relationship Id="rId6" Type="http://schemas.openxmlformats.org/officeDocument/2006/relationships/hyperlink" Target="https://sites.google.com/d/14QVbFQiJRCtYD7ZtGj_vXc7KmXcKbV-A/p/1V-WdlQFCsl56gE9vzInZdHWeSUS3Lnzu/edit" TargetMode="External"/><Relationship Id="rId7" Type="http://schemas.openxmlformats.org/officeDocument/2006/relationships/hyperlink" Target="https://sites.google.com/d/14QVbFQiJRCtYD7ZtGj_vXc7KmXcKbV-A/p/1fWNFfKFP0h0GlZNb7InPMMSU-_LsBPYu/edit" TargetMode="External"/><Relationship Id="rId8" Type="http://schemas.openxmlformats.org/officeDocument/2006/relationships/hyperlink" Target="https://sites.google.com/d/14QVbFQiJRCtYD7ZtGj_vXc7KmXcKbV-A/p/1FX02Os0EuflFIxaKkErpHO5955KUQ92T/edit" TargetMode="External"/><Relationship Id="rId9" Type="http://schemas.openxmlformats.org/officeDocument/2006/relationships/hyperlink" Target="https://sites.google.com/d/14QVbFQiJRCtYD7ZtGj_vXc7KmXcKbV-A/p/1kBKmoCNAKd-gQHCsQLkXh3cvkiDfFVNQ/edit" TargetMode="External"/><Relationship Id="rId10" Type="http://schemas.openxmlformats.org/officeDocument/2006/relationships/hyperlink" Target="https://wir2022.wid.world/" TargetMode="External"/><Relationship Id="rId11" Type="http://schemas.openxmlformats.org/officeDocument/2006/relationships/hyperlink" Target="https://www.oxfam.org.uk/mc/qer7km/" TargetMode="External"/><Relationship Id="rId12" Type="http://schemas.openxmlformats.org/officeDocument/2006/relationships/hyperlink" Target="https://www.thenassauguardian.com/business/eu-report-highlights-benefits-flaws-of-global-minimum-corporate-tax/article_e0a876e8-7269-11ee-b132-0b13cf217668.html" TargetMode="External"/><Relationship Id="rId13" Type="http://schemas.openxmlformats.org/officeDocument/2006/relationships/hyperlink" Target="https://news.bloomberglaw.com/tax-insights-and-commentary/countries-agree-to-carve-out-us-business-from-global-minimum-tax" TargetMode="External"/></Relationships>
</file>